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60" w:after="6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Commission file number 001-42829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FIGURE TECHNOLOGY SOLUTIONS,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335" w:type="dxa"/>
        <w:jc w:val="center"/>
        <w:tblInd w:w="0" w:type="dxa"/>
        <w:tblLayout w:type="fixed"/>
        <w:tblCellMar>
          <w:top w:w="28" w:type="dxa"/>
          <w:left w:w="28" w:type="dxa"/>
          <w:bottom w:w="28" w:type="dxa"/>
          <w:right w:w="28" w:type="dxa"/>
        </w:tblCellMar>
      </w:tblPr>
      <w:tblGrid>
        <w:gridCol w:w="1215"/>
        <w:gridCol w:w="1069"/>
        <w:gridCol w:w="1075"/>
        <w:gridCol w:w="109"/>
        <w:gridCol w:w="109"/>
        <w:gridCol w:w="109"/>
        <w:gridCol w:w="481"/>
        <w:gridCol w:w="481"/>
        <w:gridCol w:w="687"/>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99-2556408</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 West Liberty Street, Suite 600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(917) 789-8049</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FIGR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60" w:after="60"/>
        <w:jc w:val="left"/>
        <w:rPr/>
      </w:pPr>
      <w:r>
        <w:rPr>
          <w:rFonts w:ascii="Times New Roman;serif" w:hAnsi="Times New Roman;serif"/>
          <w:b w:val="false"/>
          <w:color w:val="000000"/>
          <w:sz w:val="20"/>
        </w:rPr>
        <w:t xml:space="preserve">Yes ☒ No </w:t>
      </w:r>
      <w:r>
        <w:rPr>
          <w:color w:val="000000"/>
        </w:rPr>
        <w:t>☐</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60" w:after="60"/>
        <w:jc w:val="left"/>
        <w:rPr/>
      </w:pPr>
      <w:r>
        <w:rPr>
          <w:rFonts w:ascii="Times New Roman;serif" w:hAnsi="Times New Roman;serif"/>
          <w:b w:val="false"/>
          <w:color w:val="000000"/>
          <w:sz w:val="20"/>
        </w:rPr>
        <w:t xml:space="preserve">Yes ☒ No </w:t>
      </w:r>
      <w:r>
        <w:rPr>
          <w:color w:val="000000"/>
        </w:rPr>
        <w:t>☐</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01"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60"/>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68" w:before="60" w:after="60"/>
        <w:jc w:val="left"/>
        <w:rPr>
          <w:rFonts w:ascii="Times New Roman;serif" w:hAnsi="Times New Roman;serif"/>
          <w:b w:val="false"/>
          <w:color w:val="000000"/>
          <w:sz w:val="20"/>
        </w:rPr>
      </w:pPr>
      <w:r>
        <w:rPr>
          <w:rFonts w:ascii="Times New Roman;serif" w:hAnsi="Times New Roman;serif"/>
          <w:b w:val="false"/>
          <w:color w:val="000000"/>
          <w:sz w:val="20"/>
        </w:rPr>
        <w:t>As of August 7, 2026, registrant had outstanding 185,672,153 shares of Class A common stock, net of treasury shares, 37,893,047 shares of Class B common stock and 812,672 shares of Blockchain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3"/>
        <w:gridCol w:w="240"/>
        <w:gridCol w:w="241"/>
        <w:gridCol w:w="2895"/>
        <w:gridCol w:w="2852"/>
        <w:gridCol w:w="2857"/>
        <w:gridCol w:w="246"/>
        <w:gridCol w:w="246"/>
        <w:gridCol w:w="355"/>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2950ca049c49cb847949a91d5d442a_19">
              <w:r>
                <w:rPr>
                  <w:rStyle w:val="InternetLink"/>
                  <w:rFonts w:ascii="Times New Roman;serif" w:hAnsi="Times New Roman;serif"/>
                  <w:b/>
                  <w:color w:val="0000FF"/>
                  <w:sz w:val="20"/>
                  <w:u w:val="single"/>
                </w:rPr>
                <w:t>Part I. Financial Information</w:t>
              </w:r>
            </w:hyperlink>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2">
              <w:r>
                <w:rPr>
                  <w:rStyle w:val="InternetLink"/>
                  <w:rFonts w:ascii="Times New Roman;serif" w:hAnsi="Times New Roman;serif"/>
                  <w:b w:val="false"/>
                  <w:color w:val="0000FF"/>
                  <w:sz w:val="20"/>
                  <w:u w:val="single"/>
                </w:rPr>
                <w:t>Item 1.</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2">
              <w:r>
                <w:rPr>
                  <w:rStyle w:val="InternetLink"/>
                  <w:rFonts w:ascii="Times New Roman;serif" w:hAnsi="Times New Roman;serif"/>
                  <w:b w:val="false"/>
                  <w:color w:val="0000FF"/>
                  <w:sz w:val="20"/>
                  <w:u w:val="single"/>
                </w:rPr>
                <w:t>Financial Statements</w:t>
              </w:r>
            </w:hyperlink>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1">
              <w:r>
                <w:rPr>
                  <w:rStyle w:val="InternetLink"/>
                  <w:rFonts w:ascii="Times New Roman;serif" w:hAnsi="Times New Roman;serif"/>
                  <w:b w:val="false"/>
                  <w:color w:val="000080"/>
                  <w:sz w:val="20"/>
                  <w:u w:val="single"/>
                </w:rPr>
                <w:t xml:space="preserve">Condensed Consolidated Balance Sheets as of </w:t>
              </w:r>
            </w:hyperlink>
            <w:hyperlink w:anchor="ic82950ca049c49cb847949a91d5d442a_31">
              <w:r>
                <w:rPr>
                  <w:rStyle w:val="InternetLink"/>
                  <w:rFonts w:ascii="Times New Roman;serif" w:hAnsi="Times New Roman;serif"/>
                  <w:b w:val="false"/>
                  <w:color w:val="000080"/>
                  <w:sz w:val="20"/>
                  <w:u w:val="single"/>
                </w:rPr>
                <w:t>June 30</w:t>
              </w:r>
            </w:hyperlink>
            <w:hyperlink w:anchor="ic82950ca049c49cb847949a91d5d442a_31">
              <w:r>
                <w:rPr>
                  <w:rStyle w:val="InternetLink"/>
                  <w:rFonts w:ascii="Times New Roman;serif" w:hAnsi="Times New Roman;serif"/>
                  <w:b w:val="false"/>
                  <w:color w:val="000080"/>
                  <w:sz w:val="20"/>
                  <w:u w:val="single"/>
                </w:rPr>
                <w:t>, 2026 and December 31, 2025</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31">
              <w:r>
                <w:rPr>
                  <w:rStyle w:val="InternetLink"/>
                  <w:rFonts w:ascii="Times New Roman;serif" w:hAnsi="Times New Roman;serif"/>
                  <w:b w:val="false"/>
                  <w:color w:val="0000FF"/>
                  <w:sz w:val="20"/>
                  <w:u w:val="single"/>
                </w:rPr>
                <w:t>6</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4">
              <w:r>
                <w:rPr>
                  <w:rStyle w:val="InternetLink"/>
                  <w:rFonts w:ascii="Times New Roman;serif" w:hAnsi="Times New Roman;serif"/>
                  <w:b w:val="false"/>
                  <w:color w:val="000080"/>
                  <w:sz w:val="20"/>
                  <w:u w:val="single"/>
                </w:rPr>
                <w:t xml:space="preserve">Condensed Consolidated Statements of Operations for the Three </w:t>
              </w:r>
            </w:hyperlink>
            <w:hyperlink w:anchor="ic82950ca049c49cb847949a91d5d442a_34">
              <w:r>
                <w:rPr>
                  <w:rStyle w:val="InternetLink"/>
                  <w:rFonts w:ascii="Times New Roman;serif" w:hAnsi="Times New Roman;serif"/>
                  <w:b w:val="false"/>
                  <w:color w:val="000080"/>
                  <w:sz w:val="20"/>
                  <w:u w:val="single"/>
                </w:rPr>
                <w:t>and S</w:t>
              </w:r>
            </w:hyperlink>
            <w:hyperlink w:anchor="ic82950ca049c49cb847949a91d5d442a_34">
              <w:r>
                <w:rPr>
                  <w:rStyle w:val="InternetLink"/>
                  <w:rFonts w:ascii="Times New Roman;serif" w:hAnsi="Times New Roman;serif"/>
                  <w:b w:val="false"/>
                  <w:color w:val="000080"/>
                  <w:sz w:val="20"/>
                  <w:u w:val="single"/>
                </w:rPr>
                <w:t xml:space="preserve">ix </w:t>
              </w:r>
            </w:hyperlink>
            <w:hyperlink w:anchor="ic82950ca049c49cb847949a91d5d442a_34">
              <w:r>
                <w:rPr>
                  <w:rStyle w:val="InternetLink"/>
                  <w:rFonts w:ascii="Times New Roman;serif" w:hAnsi="Times New Roman;serif"/>
                  <w:b w:val="false"/>
                  <w:color w:val="000080"/>
                  <w:sz w:val="20"/>
                  <w:u w:val="single"/>
                </w:rPr>
                <w:t>Months Ended</w:t>
              </w:r>
            </w:hyperlink>
            <w:hyperlink w:anchor="ic82950ca049c49cb847949a91d5d442a_34">
              <w:r>
                <w:rPr>
                  <w:rStyle w:val="InternetLink"/>
                  <w:rFonts w:ascii="Times New Roman;serif" w:hAnsi="Times New Roman;serif"/>
                  <w:b w:val="false"/>
                  <w:color w:val="000080"/>
                  <w:sz w:val="20"/>
                  <w:u w:val="single"/>
                </w:rPr>
                <w:t xml:space="preserve"> June 30</w:t>
              </w:r>
            </w:hyperlink>
            <w:hyperlink w:anchor="ic82950ca049c49cb847949a91d5d442a_34">
              <w:r>
                <w:rPr>
                  <w:rStyle w:val="InternetLink"/>
                  <w:rFonts w:ascii="Times New Roman;serif" w:hAnsi="Times New Roman;serif"/>
                  <w:b w:val="false"/>
                  <w:color w:val="000080"/>
                  <w:sz w:val="20"/>
                  <w:u w:val="single"/>
                </w:rPr>
                <w:t>, 2026 and 2025</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34">
              <w:r>
                <w:rPr>
                  <w:rStyle w:val="InternetLink"/>
                  <w:rFonts w:ascii="Times New Roman;serif" w:hAnsi="Times New Roman;serif"/>
                  <w:b w:val="false"/>
                  <w:color w:val="0000FF"/>
                  <w:sz w:val="20"/>
                  <w:u w:val="single"/>
                </w:rPr>
                <w:t>7</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7">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c82950ca049c49cb847949a91d5d442a_37">
              <w:r>
                <w:rPr>
                  <w:rStyle w:val="InternetLink"/>
                  <w:rFonts w:ascii="Times New Roman;serif" w:hAnsi="Times New Roman;serif"/>
                  <w:b w:val="false"/>
                  <w:color w:val="000080"/>
                  <w:sz w:val="20"/>
                  <w:u w:val="single"/>
                </w:rPr>
                <w:t>and S</w:t>
              </w:r>
            </w:hyperlink>
            <w:hyperlink w:anchor="ic82950ca049c49cb847949a91d5d442a_37">
              <w:r>
                <w:rPr>
                  <w:rStyle w:val="InternetLink"/>
                  <w:rFonts w:ascii="Times New Roman;serif" w:hAnsi="Times New Roman;serif"/>
                  <w:b w:val="false"/>
                  <w:color w:val="000080"/>
                  <w:sz w:val="20"/>
                  <w:u w:val="single"/>
                </w:rPr>
                <w:t>i</w:t>
              </w:r>
            </w:hyperlink>
            <w:hyperlink w:anchor="ic82950ca049c49cb847949a91d5d442a_37">
              <w:r>
                <w:rPr>
                  <w:rStyle w:val="InternetLink"/>
                  <w:rFonts w:ascii="Times New Roman;serif" w:hAnsi="Times New Roman;serif"/>
                  <w:b w:val="false"/>
                  <w:color w:val="000080"/>
                  <w:sz w:val="20"/>
                  <w:u w:val="single"/>
                </w:rPr>
                <w:t xml:space="preserve">x </w:t>
              </w:r>
            </w:hyperlink>
            <w:hyperlink w:anchor="ic82950ca049c49cb847949a91d5d442a_37">
              <w:r>
                <w:rPr>
                  <w:rStyle w:val="InternetLink"/>
                  <w:rFonts w:ascii="Times New Roman;serif" w:hAnsi="Times New Roman;serif"/>
                  <w:b w:val="false"/>
                  <w:color w:val="000080"/>
                  <w:sz w:val="20"/>
                  <w:u w:val="single"/>
                </w:rPr>
                <w:t>Months Ended</w:t>
              </w:r>
            </w:hyperlink>
            <w:hyperlink w:anchor="ic82950ca049c49cb847949a91d5d442a_37">
              <w:r>
                <w:rPr>
                  <w:rStyle w:val="InternetLink"/>
                  <w:rFonts w:ascii="Times New Roman;serif" w:hAnsi="Times New Roman;serif"/>
                  <w:b w:val="false"/>
                  <w:color w:val="000080"/>
                  <w:sz w:val="20"/>
                  <w:u w:val="single"/>
                </w:rPr>
                <w:t xml:space="preserve"> June 30</w:t>
              </w:r>
            </w:hyperlink>
            <w:hyperlink w:anchor="ic82950ca049c49cb847949a91d5d442a_37">
              <w:r>
                <w:rPr>
                  <w:rStyle w:val="InternetLink"/>
                  <w:rFonts w:ascii="Times New Roman;serif" w:hAnsi="Times New Roman;serif"/>
                  <w:b w:val="false"/>
                  <w:color w:val="000080"/>
                  <w:sz w:val="20"/>
                  <w:u w:val="single"/>
                </w:rPr>
                <w:t>, 2026 and 2025</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37">
              <w:r>
                <w:rPr>
                  <w:rStyle w:val="InternetLink"/>
                  <w:rFonts w:ascii="Times New Roman;serif" w:hAnsi="Times New Roman;serif"/>
                  <w:b w:val="false"/>
                  <w:color w:val="0000FF"/>
                  <w:sz w:val="20"/>
                  <w:u w:val="single"/>
                </w:rPr>
                <w:t>8</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0">
              <w:r>
                <w:rPr>
                  <w:rStyle w:val="InternetLink"/>
                  <w:rFonts w:ascii="Times New Roman;serif" w:hAnsi="Times New Roman;serif"/>
                  <w:b w:val="false"/>
                  <w:color w:val="000080"/>
                  <w:sz w:val="20"/>
                  <w:u w:val="single"/>
                </w:rPr>
                <w:t xml:space="preserve">Condensed Consolidated Statements of Cash Flows for the </w:t>
              </w:r>
            </w:hyperlink>
            <w:hyperlink w:anchor="ic82950ca049c49cb847949a91d5d442a_40">
              <w:r>
                <w:rPr>
                  <w:rStyle w:val="InternetLink"/>
                  <w:rFonts w:ascii="Times New Roman;serif" w:hAnsi="Times New Roman;serif"/>
                  <w:b w:val="false"/>
                  <w:color w:val="000080"/>
                  <w:sz w:val="20"/>
                  <w:u w:val="single"/>
                </w:rPr>
                <w:t>Six</w:t>
              </w:r>
            </w:hyperlink>
            <w:hyperlink w:anchor="ic82950ca049c49cb847949a91d5d442a_40">
              <w:r>
                <w:rPr>
                  <w:rStyle w:val="InternetLink"/>
                  <w:rFonts w:ascii="Times New Roman;serif" w:hAnsi="Times New Roman;serif"/>
                  <w:b w:val="false"/>
                  <w:color w:val="000080"/>
                  <w:sz w:val="20"/>
                  <w:u w:val="single"/>
                </w:rPr>
                <w:t xml:space="preserve"> Months Ended </w:t>
              </w:r>
            </w:hyperlink>
            <w:hyperlink w:anchor="ic82950ca049c49cb847949a91d5d442a_40">
              <w:r>
                <w:rPr>
                  <w:rStyle w:val="InternetLink"/>
                  <w:rFonts w:ascii="Times New Roman;serif" w:hAnsi="Times New Roman;serif"/>
                  <w:b w:val="false"/>
                  <w:color w:val="000080"/>
                  <w:sz w:val="20"/>
                  <w:u w:val="single"/>
                </w:rPr>
                <w:t>Jun</w:t>
              </w:r>
            </w:hyperlink>
            <w:hyperlink w:anchor="ic82950ca049c49cb847949a91d5d442a_40">
              <w:r>
                <w:rPr>
                  <w:rStyle w:val="InternetLink"/>
                  <w:rFonts w:ascii="Times New Roman;serif" w:hAnsi="Times New Roman;serif"/>
                  <w:b w:val="false"/>
                  <w:color w:val="000080"/>
                  <w:sz w:val="20"/>
                  <w:u w:val="single"/>
                </w:rPr>
                <w:t>e 30</w:t>
              </w:r>
            </w:hyperlink>
            <w:hyperlink w:anchor="ic82950ca049c49cb847949a91d5d442a_40">
              <w:r>
                <w:rPr>
                  <w:rStyle w:val="InternetLink"/>
                  <w:rFonts w:ascii="Times New Roman;serif" w:hAnsi="Times New Roman;serif"/>
                  <w:b w:val="false"/>
                  <w:color w:val="000080"/>
                  <w:sz w:val="20"/>
                  <w:u w:val="single"/>
                </w:rPr>
                <w:t>, 2026 and 2025</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40">
              <w:r>
                <w:rPr>
                  <w:rStyle w:val="InternetLink"/>
                  <w:rFonts w:ascii="Times New Roman;serif" w:hAnsi="Times New Roman;serif"/>
                  <w:b w:val="false"/>
                  <w:color w:val="0000FF"/>
                  <w:sz w:val="20"/>
                  <w:u w:val="single"/>
                </w:rPr>
                <w:t>10</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3">
              <w:r>
                <w:rPr>
                  <w:rStyle w:val="InternetLink"/>
                  <w:rFonts w:ascii="Times New Roman;serif" w:hAnsi="Times New Roman;serif"/>
                  <w:b w:val="false"/>
                  <w:color w:val="0000FF"/>
                  <w:sz w:val="20"/>
                  <w:u w:val="single"/>
                </w:rPr>
                <w:t>Notes to Condensed Consolidated Financial Statements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43">
              <w:r>
                <w:rPr>
                  <w:rStyle w:val="InternetLink"/>
                  <w:rFonts w:ascii="Times New Roman;serif" w:hAnsi="Times New Roman;serif"/>
                  <w:b w:val="false"/>
                  <w:color w:val="0000FF"/>
                  <w:sz w:val="20"/>
                  <w:u w:val="single"/>
                </w:rPr>
                <w:t>11</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6">
              <w:r>
                <w:rPr>
                  <w:rStyle w:val="InternetLink"/>
                  <w:rFonts w:ascii="Times New Roman;serif" w:hAnsi="Times New Roman;serif"/>
                  <w:b w:val="false"/>
                  <w:color w:val="0000FF"/>
                  <w:sz w:val="20"/>
                  <w:u w:val="single"/>
                </w:rPr>
                <w:t>Note 1</w:t>
              </w:r>
            </w:hyperlink>
            <w:hyperlink w:anchor="ic82950ca049c49cb847949a91d5d442a_46">
              <w:r>
                <w:rPr>
                  <w:rStyle w:val="InternetLink"/>
                  <w:color w:val="000080"/>
                  <w:u w:val="single"/>
                </w:rPr>
                <w:t xml:space="preserve"> </w:t>
              </w:r>
            </w:hyperlink>
            <w:hyperlink w:anchor="ic82950ca049c49cb847949a91d5d442a_46">
              <w:r>
                <w:rPr>
                  <w:rStyle w:val="InternetLink"/>
                  <w:color w:val="000080"/>
                  <w:u w:val="single"/>
                </w:rPr>
                <w:t xml:space="preserve">– </w:t>
              </w:r>
            </w:hyperlink>
            <w:hyperlink w:anchor="ic82950ca049c49cb847949a91d5d442a_46">
              <w:r>
                <w:rPr>
                  <w:rStyle w:val="InternetLink"/>
                  <w:rFonts w:ascii="Times New Roman;serif" w:hAnsi="Times New Roman;serif"/>
                  <w:b w:val="false"/>
                  <w:color w:val="0000FF"/>
                  <w:sz w:val="20"/>
                  <w:u w:val="single"/>
                </w:rPr>
                <w:t>Business and Organization</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46">
              <w:r>
                <w:rPr>
                  <w:rStyle w:val="InternetLink"/>
                  <w:rFonts w:ascii="Times New Roman;serif" w:hAnsi="Times New Roman;serif"/>
                  <w:b w:val="false"/>
                  <w:color w:val="0000FF"/>
                  <w:sz w:val="20"/>
                  <w:u w:val="single"/>
                </w:rPr>
                <w:t>11</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55">
              <w:r>
                <w:rPr>
                  <w:rStyle w:val="InternetLink"/>
                  <w:rFonts w:ascii="Times New Roman;serif" w:hAnsi="Times New Roman;serif"/>
                  <w:b w:val="false"/>
                  <w:color w:val="0000FF"/>
                  <w:sz w:val="20"/>
                  <w:u w:val="single"/>
                </w:rPr>
                <w:t>Note 2 – Summary of Significant Accounting Policies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55">
              <w:r>
                <w:rPr>
                  <w:rStyle w:val="InternetLink"/>
                  <w:rFonts w:ascii="Times New Roman;serif" w:hAnsi="Times New Roman;serif"/>
                  <w:b w:val="false"/>
                  <w:color w:val="0000FF"/>
                  <w:sz w:val="20"/>
                  <w:u w:val="single"/>
                </w:rPr>
                <w:t>11</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166">
              <w:r>
                <w:rPr>
                  <w:rStyle w:val="InternetLink"/>
                  <w:rFonts w:ascii="Times New Roman;serif" w:hAnsi="Times New Roman;serif"/>
                  <w:b w:val="false"/>
                  <w:color w:val="0000FF"/>
                  <w:sz w:val="20"/>
                  <w:u w:val="single"/>
                </w:rPr>
                <w:t>Note 3 – Investments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166">
              <w:r>
                <w:rPr>
                  <w:rStyle w:val="InternetLink"/>
                  <w:rFonts w:ascii="Times New Roman;serif" w:hAnsi="Times New Roman;serif"/>
                  <w:b w:val="false"/>
                  <w:color w:val="0000FF"/>
                  <w:sz w:val="20"/>
                  <w:u w:val="single"/>
                </w:rPr>
                <w:t>17</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184">
              <w:r>
                <w:rPr>
                  <w:rStyle w:val="InternetLink"/>
                  <w:rFonts w:ascii="Times New Roman;serif" w:hAnsi="Times New Roman;serif"/>
                  <w:b w:val="false"/>
                  <w:color w:val="0000FF"/>
                  <w:sz w:val="20"/>
                  <w:u w:val="single"/>
                </w:rPr>
                <w:t>Note 4 – Servicing</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184">
              <w:r>
                <w:rPr>
                  <w:rStyle w:val="InternetLink"/>
                  <w:rFonts w:ascii="Times New Roman;serif" w:hAnsi="Times New Roman;serif"/>
                  <w:b w:val="false"/>
                  <w:color w:val="0000FF"/>
                  <w:sz w:val="20"/>
                  <w:u w:val="single"/>
                </w:rPr>
                <w:t>21</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187">
              <w:r>
                <w:rPr>
                  <w:rStyle w:val="InternetLink"/>
                  <w:rFonts w:ascii="Times New Roman;serif" w:hAnsi="Times New Roman;serif"/>
                  <w:b w:val="false"/>
                  <w:color w:val="0000FF"/>
                  <w:sz w:val="20"/>
                  <w:u w:val="single"/>
                </w:rPr>
                <w:t>Note 5 – Loans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187">
              <w:r>
                <w:rPr>
                  <w:rStyle w:val="InternetLink"/>
                  <w:rFonts w:ascii="Times New Roman;serif" w:hAnsi="Times New Roman;serif"/>
                  <w:b w:val="false"/>
                  <w:color w:val="0000FF"/>
                  <w:sz w:val="20"/>
                  <w:u w:val="single"/>
                </w:rPr>
                <w:t>22</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190">
              <w:r>
                <w:rPr>
                  <w:rStyle w:val="InternetLink"/>
                  <w:rFonts w:ascii="Times New Roman;serif" w:hAnsi="Times New Roman;serif"/>
                  <w:b w:val="false"/>
                  <w:color w:val="0000FF"/>
                  <w:sz w:val="20"/>
                  <w:u w:val="single"/>
                </w:rPr>
                <w:t>Note 6 – Debt</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190">
              <w:r>
                <w:rPr>
                  <w:rStyle w:val="InternetLink"/>
                  <w:rFonts w:ascii="Times New Roman;serif" w:hAnsi="Times New Roman;serif"/>
                  <w:b w:val="false"/>
                  <w:color w:val="0000FF"/>
                  <w:sz w:val="20"/>
                  <w:u w:val="single"/>
                </w:rPr>
                <w:t>24</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02">
              <w:r>
                <w:rPr>
                  <w:rStyle w:val="InternetLink"/>
                  <w:rFonts w:ascii="Times New Roman;serif" w:hAnsi="Times New Roman;serif"/>
                  <w:b w:val="false"/>
                  <w:color w:val="0000FF"/>
                  <w:sz w:val="20"/>
                  <w:u w:val="single"/>
                </w:rPr>
                <w:t>Note 7 – Equity</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202">
              <w:r>
                <w:rPr>
                  <w:rStyle w:val="InternetLink"/>
                  <w:rFonts w:ascii="Times New Roman;serif" w:hAnsi="Times New Roman;serif"/>
                  <w:b w:val="false"/>
                  <w:color w:val="0000FF"/>
                  <w:sz w:val="20"/>
                  <w:u w:val="single"/>
                </w:rPr>
                <w:t>28</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50">
              <w:r>
                <w:rPr>
                  <w:rStyle w:val="InternetLink"/>
                  <w:rFonts w:ascii="Times New Roman;serif" w:hAnsi="Times New Roman;serif"/>
                  <w:b w:val="false"/>
                  <w:color w:val="0000FF"/>
                  <w:sz w:val="20"/>
                  <w:u w:val="single"/>
                </w:rPr>
                <w:t>Note 8 – Net Income (Loss) Per Share</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250">
              <w:r>
                <w:rPr>
                  <w:rStyle w:val="InternetLink"/>
                  <w:rFonts w:ascii="Times New Roman;serif" w:hAnsi="Times New Roman;serif"/>
                  <w:b w:val="false"/>
                  <w:color w:val="0000FF"/>
                  <w:sz w:val="20"/>
                  <w:u w:val="single"/>
                </w:rPr>
                <w:t>31</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53">
              <w:r>
                <w:rPr>
                  <w:rStyle w:val="InternetLink"/>
                  <w:rFonts w:ascii="Times New Roman;serif" w:hAnsi="Times New Roman;serif"/>
                  <w:b w:val="false"/>
                  <w:color w:val="0000FF"/>
                  <w:sz w:val="20"/>
                  <w:u w:val="single"/>
                </w:rPr>
                <w:t>Note 9 – Variable Interest Entities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253">
              <w:r>
                <w:rPr>
                  <w:rStyle w:val="InternetLink"/>
                  <w:rFonts w:ascii="Times New Roman;serif" w:hAnsi="Times New Roman;serif"/>
                  <w:b w:val="false"/>
                  <w:color w:val="0000FF"/>
                  <w:sz w:val="20"/>
                  <w:u w:val="single"/>
                </w:rPr>
                <w:t>32</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56">
              <w:r>
                <w:rPr>
                  <w:rStyle w:val="InternetLink"/>
                  <w:rFonts w:ascii="Times New Roman;serif" w:hAnsi="Times New Roman;serif"/>
                  <w:b w:val="false"/>
                  <w:color w:val="0000FF"/>
                  <w:sz w:val="20"/>
                  <w:u w:val="single"/>
                </w:rPr>
                <w:t>Note 10 – Commitments and Contingencies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256">
              <w:r>
                <w:rPr>
                  <w:rStyle w:val="InternetLink"/>
                  <w:rFonts w:ascii="Times New Roman;serif" w:hAnsi="Times New Roman;serif"/>
                  <w:b w:val="false"/>
                  <w:color w:val="0000FF"/>
                  <w:sz w:val="20"/>
                  <w:u w:val="single"/>
                </w:rPr>
                <w:t>33</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65">
              <w:r>
                <w:rPr>
                  <w:rStyle w:val="InternetLink"/>
                  <w:rFonts w:ascii="Times New Roman;serif" w:hAnsi="Times New Roman;serif"/>
                  <w:b w:val="false"/>
                  <w:color w:val="0000FF"/>
                  <w:sz w:val="20"/>
                  <w:u w:val="single"/>
                </w:rPr>
                <w:t>Note 11 – Related Party Transactions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265">
              <w:r>
                <w:rPr>
                  <w:rStyle w:val="InternetLink"/>
                  <w:rFonts w:ascii="Times New Roman;serif" w:hAnsi="Times New Roman;serif"/>
                  <w:b w:val="false"/>
                  <w:color w:val="0000FF"/>
                  <w:sz w:val="20"/>
                  <w:u w:val="single"/>
                </w:rPr>
                <w:t>36</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68">
              <w:r>
                <w:rPr>
                  <w:rStyle w:val="InternetLink"/>
                  <w:rFonts w:ascii="Times New Roman;serif" w:hAnsi="Times New Roman;serif"/>
                  <w:b w:val="false"/>
                  <w:color w:val="0000FF"/>
                  <w:sz w:val="20"/>
                  <w:u w:val="single"/>
                </w:rPr>
                <w:t>Note 12 – Fair Value Measurements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268">
              <w:r>
                <w:rPr>
                  <w:rStyle w:val="InternetLink"/>
                  <w:rFonts w:ascii="Times New Roman;serif" w:hAnsi="Times New Roman;serif"/>
                  <w:b w:val="false"/>
                  <w:color w:val="0000FF"/>
                  <w:sz w:val="20"/>
                  <w:u w:val="single"/>
                </w:rPr>
                <w:t>38</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280">
              <w:r>
                <w:rPr>
                  <w:rStyle w:val="InternetLink"/>
                  <w:rFonts w:ascii="Times New Roman;serif" w:hAnsi="Times New Roman;serif"/>
                  <w:b w:val="false"/>
                  <w:color w:val="0000FF"/>
                  <w:sz w:val="20"/>
                  <w:u w:val="single"/>
                </w:rPr>
                <w:t>Note 13 – Income Taxes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280">
              <w:r>
                <w:rPr>
                  <w:rStyle w:val="InternetLink"/>
                  <w:rFonts w:ascii="Times New Roman;serif" w:hAnsi="Times New Roman;serif"/>
                  <w:b w:val="false"/>
                  <w:color w:val="0000FF"/>
                  <w:sz w:val="20"/>
                  <w:u w:val="single"/>
                </w:rPr>
                <w:t>42</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01">
              <w:r>
                <w:rPr>
                  <w:rStyle w:val="InternetLink"/>
                  <w:rFonts w:ascii="Times New Roman;serif" w:hAnsi="Times New Roman;serif"/>
                  <w:b w:val="false"/>
                  <w:color w:val="0000FF"/>
                  <w:sz w:val="20"/>
                  <w:u w:val="single"/>
                </w:rPr>
                <w:t>Note 14 – Subsequent Events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301">
              <w:r>
                <w:rPr>
                  <w:rStyle w:val="InternetLink"/>
                  <w:rFonts w:ascii="Times New Roman;serif" w:hAnsi="Times New Roman;serif"/>
                  <w:b w:val="false"/>
                  <w:color w:val="0000FF"/>
                  <w:sz w:val="20"/>
                  <w:u w:val="single"/>
                </w:rPr>
                <w:t>43</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07">
              <w:r>
                <w:rPr>
                  <w:rStyle w:val="InternetLink"/>
                  <w:rFonts w:ascii="Times New Roman;serif" w:hAnsi="Times New Roman;serif"/>
                  <w:b w:val="false"/>
                  <w:color w:val="0000FF"/>
                  <w:sz w:val="20"/>
                  <w:u w:val="single"/>
                </w:rPr>
                <w:t>Item 2.</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0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307">
              <w:r>
                <w:rPr>
                  <w:rStyle w:val="InternetLink"/>
                  <w:rFonts w:ascii="Times New Roman;serif" w:hAnsi="Times New Roman;serif"/>
                  <w:b w:val="false"/>
                  <w:color w:val="0000FF"/>
                  <w:sz w:val="20"/>
                  <w:u w:val="single"/>
                </w:rPr>
                <w:t>44</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79">
              <w:r>
                <w:rPr>
                  <w:rStyle w:val="InternetLink"/>
                  <w:rFonts w:ascii="Times New Roman;serif" w:hAnsi="Times New Roman;serif"/>
                  <w:b w:val="false"/>
                  <w:color w:val="0000FF"/>
                  <w:sz w:val="20"/>
                  <w:u w:val="single"/>
                </w:rPr>
                <w:t>Item 3.</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79">
              <w:r>
                <w:rPr>
                  <w:rStyle w:val="InternetLink"/>
                  <w:rFonts w:ascii="Times New Roman;serif" w:hAnsi="Times New Roman;serif"/>
                  <w:b w:val="false"/>
                  <w:color w:val="0000FF"/>
                  <w:sz w:val="20"/>
                  <w:u w:val="single"/>
                </w:rPr>
                <w:t>Quantitative And Qualitative Disclosures About Market Risk</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2950ca049c49cb847949a91d5d442a_379">
              <w:r>
                <w:rPr>
                  <w:rStyle w:val="InternetLink"/>
                  <w:rFonts w:ascii="Times New Roman;serif" w:hAnsi="Times New Roman;serif"/>
                  <w:b w:val="false"/>
                  <w:color w:val="0000FF"/>
                  <w:sz w:val="20"/>
                  <w:u w:val="single"/>
                </w:rPr>
                <w:t>66</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82">
              <w:r>
                <w:rPr>
                  <w:rStyle w:val="InternetLink"/>
                  <w:rFonts w:ascii="Times New Roman;serif" w:hAnsi="Times New Roman;serif"/>
                  <w:b w:val="false"/>
                  <w:color w:val="0000FF"/>
                  <w:sz w:val="20"/>
                  <w:u w:val="single"/>
                </w:rPr>
                <w:t>Item 4.</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82">
              <w:r>
                <w:rPr>
                  <w:rStyle w:val="InternetLink"/>
                  <w:rFonts w:ascii="Times New Roman;serif" w:hAnsi="Times New Roman;serif"/>
                  <w:b w:val="false"/>
                  <w:color w:val="0000FF"/>
                  <w:sz w:val="20"/>
                  <w:u w:val="single"/>
                </w:rPr>
                <w:t>Controls And Procedures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2950ca049c49cb847949a91d5d442a_382">
              <w:r>
                <w:rPr>
                  <w:rStyle w:val="InternetLink"/>
                  <w:rFonts w:ascii="Times New Roman;serif" w:hAnsi="Times New Roman;serif"/>
                  <w:b w:val="false"/>
                  <w:color w:val="0000FF"/>
                  <w:sz w:val="20"/>
                  <w:u w:val="single"/>
                </w:rPr>
                <w:t>66</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2950ca049c49cb847949a91d5d442a_385">
              <w:r>
                <w:rPr>
                  <w:rStyle w:val="InternetLink"/>
                  <w:rFonts w:ascii="Times New Roman;serif" w:hAnsi="Times New Roman;serif"/>
                  <w:b/>
                  <w:color w:val="0000FF"/>
                  <w:sz w:val="20"/>
                  <w:u w:val="single"/>
                </w:rPr>
                <w:t>Part II. Other Information</w:t>
              </w:r>
            </w:hyperlink>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88">
              <w:r>
                <w:rPr>
                  <w:rStyle w:val="InternetLink"/>
                  <w:rFonts w:ascii="Times New Roman;serif" w:hAnsi="Times New Roman;serif"/>
                  <w:b w:val="false"/>
                  <w:color w:val="0000FF"/>
                  <w:sz w:val="20"/>
                  <w:u w:val="single"/>
                </w:rPr>
                <w:t>Item 1.</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88">
              <w:r>
                <w:rPr>
                  <w:rStyle w:val="InternetLink"/>
                  <w:rFonts w:ascii="Times New Roman;serif" w:hAnsi="Times New Roman;serif"/>
                  <w:b w:val="false"/>
                  <w:color w:val="0000FF"/>
                  <w:sz w:val="20"/>
                  <w:u w:val="single"/>
                </w:rPr>
                <w:t>Legal Proceedings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2950ca049c49cb847949a91d5d442a_388">
              <w:r>
                <w:rPr>
                  <w:rStyle w:val="InternetLink"/>
                  <w:rFonts w:ascii="Times New Roman;serif" w:hAnsi="Times New Roman;serif"/>
                  <w:b w:val="false"/>
                  <w:color w:val="0000FF"/>
                  <w:sz w:val="20"/>
                  <w:u w:val="single"/>
                </w:rPr>
                <w:t>67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91">
              <w:r>
                <w:rPr>
                  <w:rStyle w:val="InternetLink"/>
                  <w:rFonts w:ascii="Times New Roman;serif" w:hAnsi="Times New Roman;serif"/>
                  <w:b w:val="false"/>
                  <w:color w:val="0000FF"/>
                  <w:sz w:val="20"/>
                  <w:u w:val="single"/>
                </w:rPr>
                <w:t>Item 1A.</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391">
              <w:r>
                <w:rPr>
                  <w:rStyle w:val="InternetLink"/>
                  <w:rFonts w:ascii="Times New Roman;serif" w:hAnsi="Times New Roman;serif"/>
                  <w:b w:val="false"/>
                  <w:color w:val="0000FF"/>
                  <w:sz w:val="20"/>
                  <w:u w:val="single"/>
                </w:rPr>
                <w:t>Risk Factors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2950ca049c49cb847949a91d5d442a_391">
              <w:r>
                <w:rPr>
                  <w:rStyle w:val="InternetLink"/>
                  <w:rFonts w:ascii="Times New Roman;serif" w:hAnsi="Times New Roman;serif"/>
                  <w:b w:val="false"/>
                  <w:color w:val="0000FF"/>
                  <w:sz w:val="20"/>
                  <w:u w:val="single"/>
                </w:rPr>
                <w:t>67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24">
              <w:r>
                <w:rPr>
                  <w:rStyle w:val="InternetLink"/>
                  <w:rFonts w:ascii="Times New Roman;serif" w:hAnsi="Times New Roman;serif"/>
                  <w:b w:val="false"/>
                  <w:color w:val="0000FF"/>
                  <w:sz w:val="20"/>
                  <w:u w:val="single"/>
                </w:rPr>
                <w:t>Item 2.</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24">
              <w:r>
                <w:rPr>
                  <w:rStyle w:val="InternetLink"/>
                  <w:rFonts w:ascii="Times New Roman;serif" w:hAnsi="Times New Roman;serif"/>
                  <w:b w:val="false"/>
                  <w:color w:val="0000FF"/>
                  <w:sz w:val="20"/>
                  <w:u w:val="single"/>
                </w:rPr>
                <w:t>Unregistered Sales Of Equity Securities And Use Of Proceeds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424">
              <w:r>
                <w:rPr>
                  <w:rStyle w:val="InternetLink"/>
                  <w:rFonts w:ascii="Times New Roman;serif" w:hAnsi="Times New Roman;serif"/>
                  <w:b w:val="false"/>
                  <w:color w:val="0000FF"/>
                  <w:sz w:val="20"/>
                  <w:u w:val="single"/>
                </w:rPr>
                <w:t>67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33">
              <w:r>
                <w:rPr>
                  <w:rStyle w:val="InternetLink"/>
                  <w:rFonts w:ascii="Times New Roman;serif" w:hAnsi="Times New Roman;serif"/>
                  <w:b w:val="false"/>
                  <w:color w:val="0000FF"/>
                  <w:sz w:val="20"/>
                  <w:u w:val="single"/>
                </w:rPr>
                <w:t>Item 3.</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33">
              <w:r>
                <w:rPr>
                  <w:rStyle w:val="InternetLink"/>
                  <w:rFonts w:ascii="Times New Roman;serif" w:hAnsi="Times New Roman;serif"/>
                  <w:b w:val="false"/>
                  <w:color w:val="0000FF"/>
                  <w:sz w:val="20"/>
                  <w:u w:val="single"/>
                </w:rPr>
                <w:t>Defaults Upon Senior Securities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950ca049c49cb847949a91d5d442a_433">
              <w:r>
                <w:rPr>
                  <w:rStyle w:val="InternetLink"/>
                  <w:rFonts w:ascii="Times New Roman;serif" w:hAnsi="Times New Roman;serif"/>
                  <w:b w:val="false"/>
                  <w:color w:val="0000FF"/>
                  <w:sz w:val="20"/>
                  <w:u w:val="single"/>
                </w:rPr>
                <w:t>67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36">
              <w:r>
                <w:rPr>
                  <w:rStyle w:val="InternetLink"/>
                  <w:rFonts w:ascii="Times New Roman;serif" w:hAnsi="Times New Roman;serif"/>
                  <w:b w:val="false"/>
                  <w:color w:val="0000FF"/>
                  <w:sz w:val="20"/>
                  <w:u w:val="single"/>
                </w:rPr>
                <w:t>Item 4.</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36">
              <w:r>
                <w:rPr>
                  <w:rStyle w:val="InternetLink"/>
                  <w:rFonts w:ascii="Times New Roman;serif" w:hAnsi="Times New Roman;serif"/>
                  <w:b w:val="false"/>
                  <w:color w:val="0000FF"/>
                  <w:sz w:val="20"/>
                  <w:u w:val="single"/>
                </w:rPr>
                <w:t>Mine Safety Disclosures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2950ca049c49cb847949a91d5d442a_436">
              <w:r>
                <w:rPr>
                  <w:rStyle w:val="InternetLink"/>
                  <w:rFonts w:ascii="Times New Roman;serif" w:hAnsi="Times New Roman;serif"/>
                  <w:b w:val="false"/>
                  <w:color w:val="0000FF"/>
                  <w:sz w:val="20"/>
                  <w:u w:val="single"/>
                </w:rPr>
                <w:t>67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42">
              <w:r>
                <w:rPr>
                  <w:rStyle w:val="InternetLink"/>
                  <w:rFonts w:ascii="Times New Roman;serif" w:hAnsi="Times New Roman;serif"/>
                  <w:b w:val="false"/>
                  <w:color w:val="0000FF"/>
                  <w:sz w:val="20"/>
                  <w:u w:val="single"/>
                </w:rPr>
                <w:t>Item 5.</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42">
              <w:r>
                <w:rPr>
                  <w:rStyle w:val="InternetLink"/>
                  <w:rFonts w:ascii="Times New Roman;serif" w:hAnsi="Times New Roman;serif"/>
                  <w:b w:val="false"/>
                  <w:color w:val="0000FF"/>
                  <w:sz w:val="20"/>
                  <w:u w:val="single"/>
                </w:rPr>
                <w:t>Other Information</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2950ca049c49cb847949a91d5d442a_442">
              <w:r>
                <w:rPr>
                  <w:rStyle w:val="InternetLink"/>
                  <w:rFonts w:ascii="Times New Roman;serif" w:hAnsi="Times New Roman;serif"/>
                  <w:b w:val="false"/>
                  <w:color w:val="0000FF"/>
                  <w:sz w:val="20"/>
                  <w:u w:val="single"/>
                </w:rPr>
                <w:t>68</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48">
              <w:r>
                <w:rPr>
                  <w:rStyle w:val="InternetLink"/>
                  <w:rFonts w:ascii="Times New Roman;serif" w:hAnsi="Times New Roman;serif"/>
                  <w:b w:val="false"/>
                  <w:color w:val="0000FF"/>
                  <w:sz w:val="20"/>
                  <w:u w:val="single"/>
                </w:rPr>
                <w:t>Item 6.</w:t>
              </w:r>
            </w:hyperlink>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448">
              <w:r>
                <w:rPr>
                  <w:rStyle w:val="InternetLink"/>
                  <w:rFonts w:ascii="Times New Roman;serif" w:hAnsi="Times New Roman;serif"/>
                  <w:b w:val="false"/>
                  <w:color w:val="0000FF"/>
                  <w:sz w:val="20"/>
                  <w:u w:val="single"/>
                </w:rPr>
                <w:t>Exhibits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2950ca049c49cb847949a91d5d442a_448">
              <w:r>
                <w:rPr>
                  <w:rStyle w:val="InternetLink"/>
                  <w:rFonts w:ascii="Times New Roman;serif" w:hAnsi="Times New Roman;serif"/>
                  <w:b w:val="false"/>
                  <w:color w:val="0000FF"/>
                  <w:sz w:val="20"/>
                  <w:u w:val="single"/>
                </w:rPr>
                <w:t>68</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2950ca049c49cb847949a91d5d442a_532">
              <w:r>
                <w:rPr>
                  <w:rStyle w:val="InternetLink"/>
                  <w:rFonts w:ascii="Times New Roman;serif" w:hAnsi="Times New Roman;serif"/>
                  <w:b w:val="false"/>
                  <w:color w:val="0000FF"/>
                  <w:sz w:val="20"/>
                  <w:u w:val="single"/>
                </w:rPr>
                <w:t>Signatures</w:t>
              </w:r>
            </w:hyperlink>
          </w:p>
        </w:tc>
        <w:tc>
          <w:tcPr>
            <w:tcW w:w="8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c82950ca049c49cb847949a91d5d442a_532">
              <w:r>
                <w:rPr>
                  <w:rStyle w:val="InternetLink"/>
                  <w:rFonts w:ascii="Times New Roman;serif" w:hAnsi="Times New Roman;serif"/>
                  <w:b w:val="false"/>
                  <w:color w:val="0000FF"/>
                  <w:sz w:val="20"/>
                  <w:u w:val="singl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including without limitation, statements regarding our future financial performance, including our expectations regarding our revenue, expenses, ability to determine reserves, and ability to remain profitable; our ability to maintain, expand, and enter into new relationships with partners and loan purchasers on the secondary market; the timing and anticipated benefits of the proposed acquisition of Kiavi, Inc.; our ability to broaden our network of partners; our ability to develop and achieve market acceptance of new products and services, including On-Chain Public Equity Network (“OPEN”), including its expected capabilities, and our Blockchain Common Stock; anticipated trends, growth rates, and challenges in our business; and the cryptoeconomy, the price, and market capitalization of digital assets; the development and adoption of blockchain technology; our expectations regarding the trading market, liquidity, and trading price of our Class A common stock and Blockchain Common Stock (together with our Class B common stock, our “common stock”); our ability to maintain effective internal control over financial reporting; our expectations regarding the regulatory environment applicable to our lending and digital asset activities; and our ability to maintain required licenses and regulatory approvals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but are not limited to the following: our history of losses and the risk that we may not maintain profitability; our reliance on HELOCs and exposure to fluctuations in the HELOC market and housing values; our ability to attract and retain borrowers, partners, and loan purchasers and to drive adoption of Figure-branded and Partner-branded channels including Figure Connect; loan performance and default rates and the effect of credit performance on access to and pricing of warehouse facilities, whole-loan sales, and securitizations; changes in interest rates and U.S. monetary policy that impact originations, funding costs, and investor demand; legal and regulatory risks affecting lending and mortgage-related activities and the evolving framework for digital assets, including potential changes in the characterization or regulation of certain digital assets and related products; dependence on key third-party providers including cloud, custodial, valuation, and data vendors and risks from outages or service disruptions; technology failures, cybersecurity incidents, or other operational disruptions; protection and enforcement of intellectual property; compliance with licensing, consumer protection, privacy, data security, and sanctions/AML laws, and shifting enforcement priorities at the federal and state levels; our ability to meet our public company reporting and internal control obligations; competition; macroeconomic and geopolitical conditions; our dual-class structure and concentrated voting control and related impacts on corporate governance; equity market volatility affecting our common stock; and the other important factors described under the sections in our Annual Report on Form 10-K for the fiscal year ended December 31, 2025 filed with the Securities and Exchange Commission (the “SEC”) on March 16, 2026, our Quarterly Report on Form 10-Q for the period ended March 31, 2026 filed with the SEC on May 15, 2026 and in our other filings with the SEC. Other sections of this Quarterly Report, including “Management's Discussion and Analysis of Financial Condition and Results of Operations”, include additional factors that could adversely impact our business and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3028"/>
        <w:gridCol w:w="2159"/>
        <w:gridCol w:w="2164"/>
        <w:gridCol w:w="196"/>
        <w:gridCol w:w="871"/>
        <w:gridCol w:w="109"/>
        <w:gridCol w:w="109"/>
        <w:gridCol w:w="109"/>
        <w:gridCol w:w="109"/>
        <w:gridCol w:w="216"/>
        <w:gridCol w:w="962"/>
        <w:gridCol w:w="173"/>
      </w:tblGrid>
      <w:tr>
        <w:trPr/>
        <w:tc>
          <w:tcPr>
            <w:tcW w:w="3028"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1,198,141 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68,637 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($50,353 and $84,867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96,558 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52,016 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1,861,207 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servicing asset,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113,064 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273,151 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assets,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40,420 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2,317,523 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29,501 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third-party loan owners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383,772 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Debt, current ($120,105 and $100,519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Debt, current to related parties ($424,640 and $166,135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166,135 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105,642 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846,009 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230,143 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4,173 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1,080,325 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 $0.0001 par value per share: 100,000,000 shares authorized, no shares issued and outstanding at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 $0.0001 par value per share: 1,000,000,000 shares authorized, 178,794,505 shares issued and outstanding at June 30, 2026; 1,000,000,000 shares authorized, 178,485,407 shares issued and outstanding at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 $0.0001 par value per share: 200,000,000 shares authorized, 37,893,047 shares issued and outstanding at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Blockchain common stock — $0.0001 par value per share: 500,000,000 shares authorized, 6,941,715 and no shares issued and outstanding at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1,415,804 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(186,993)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Figure Technology Solutions, Inc.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1,228,834 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1,237,198 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2,317,523 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3370"/>
                <wp:effectExtent l="0" t="0" r="0" b="0"/>
                <wp:wrapNone/>
                <wp:docPr id="6" name="Frame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807"/>
        <w:gridCol w:w="1449"/>
        <w:gridCol w:w="1427"/>
        <w:gridCol w:w="244"/>
        <w:gridCol w:w="807"/>
        <w:gridCol w:w="116"/>
        <w:gridCol w:w="116"/>
        <w:gridCol w:w="116"/>
        <w:gridCol w:w="116"/>
        <w:gridCol w:w="223"/>
        <w:gridCol w:w="738"/>
        <w:gridCol w:w="116"/>
        <w:gridCol w:w="109"/>
        <w:gridCol w:w="109"/>
        <w:gridCol w:w="109"/>
        <w:gridCol w:w="221"/>
        <w:gridCol w:w="830"/>
        <w:gridCol w:w="109"/>
        <w:gridCol w:w="109"/>
        <w:gridCol w:w="109"/>
        <w:gridCol w:w="109"/>
        <w:gridCol w:w="223"/>
        <w:gridCol w:w="738"/>
        <w:gridCol w:w="155"/>
      </w:tblGrid>
      <w:tr>
        <w:trPr/>
        <w:tc>
          <w:tcPr>
            <w:tcW w:w="1807"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Ecosystem and technology fees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fees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servicing asset,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225,588 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106,077 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product development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processing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noncontrolling interests in consolidated subsidiaries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Figure Technology Solutions, Inc.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per share of Class A, Class B, and Blockchain common stock </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Weighted-average Class A, Class B, and Blockchain common shares outstanding </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221,514,237 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69,718,087 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219,395,921 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69,558,368 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246,969,949 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87,771,893 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247,926,321 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86,763,570 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3370"/>
                <wp:effectExtent l="0" t="0" r="0" b="0"/>
                <wp:wrapNone/>
                <wp:docPr id="7" name="Frame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tbl>
      <w:tblPr>
        <w:tblW w:w="14263" w:type="dxa"/>
        <w:jc w:val="left"/>
        <w:tblInd w:w="0" w:type="dxa"/>
        <w:tblLayout w:type="fixed"/>
        <w:tblCellMar>
          <w:top w:w="28" w:type="dxa"/>
          <w:left w:w="28" w:type="dxa"/>
          <w:bottom w:w="28" w:type="dxa"/>
          <w:right w:w="28" w:type="dxa"/>
        </w:tblCellMar>
      </w:tblPr>
      <w:tblGrid>
        <w:gridCol w:w="659"/>
        <w:gridCol w:w="210"/>
        <w:gridCol w:w="212"/>
        <w:gridCol w:w="525"/>
        <w:gridCol w:w="526"/>
        <w:gridCol w:w="180"/>
        <w:gridCol w:w="251"/>
        <w:gridCol w:w="331"/>
        <w:gridCol w:w="109"/>
        <w:gridCol w:w="480"/>
        <w:gridCol w:w="481"/>
        <w:gridCol w:w="142"/>
        <w:gridCol w:w="341"/>
        <w:gridCol w:w="241"/>
        <w:gridCol w:w="109"/>
        <w:gridCol w:w="435"/>
        <w:gridCol w:w="436"/>
        <w:gridCol w:w="156"/>
        <w:gridCol w:w="196"/>
        <w:gridCol w:w="406"/>
        <w:gridCol w:w="109"/>
        <w:gridCol w:w="368"/>
        <w:gridCol w:w="368"/>
        <w:gridCol w:w="196"/>
        <w:gridCol w:w="196"/>
        <w:gridCol w:w="661"/>
        <w:gridCol w:w="109"/>
        <w:gridCol w:w="196"/>
        <w:gridCol w:w="871"/>
        <w:gridCol w:w="109"/>
        <w:gridCol w:w="196"/>
        <w:gridCol w:w="751"/>
        <w:gridCol w:w="109"/>
        <w:gridCol w:w="196"/>
        <w:gridCol w:w="871"/>
        <w:gridCol w:w="109"/>
        <w:gridCol w:w="361"/>
        <w:gridCol w:w="638"/>
        <w:gridCol w:w="202"/>
        <w:gridCol w:w="196"/>
        <w:gridCol w:w="87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7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7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Blockchain Common Stock</w:t>
            </w:r>
          </w:p>
        </w:tc>
        <w:tc>
          <w:tcPr>
            <w:tcW w:w="18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Inc. Stockholders’</w:t>
              <w:br/>
              <w:t>Equity</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180,812,863 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687,920 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593,103 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3,516,792 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and redemptions of subsidiaries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718,645 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Conversions between Class A common stock and Blockchain common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(6,253,795)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178,794,505 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6,941,715 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882,013 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1,413,110 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428" w:type="dxa"/>
        <w:jc w:val="left"/>
        <w:tblInd w:w="0" w:type="dxa"/>
        <w:tblLayout w:type="fixed"/>
        <w:tblCellMar>
          <w:top w:w="28" w:type="dxa"/>
          <w:left w:w="28" w:type="dxa"/>
          <w:bottom w:w="28" w:type="dxa"/>
          <w:right w:w="28" w:type="dxa"/>
        </w:tblCellMar>
      </w:tblPr>
      <w:tblGrid>
        <w:gridCol w:w="719"/>
        <w:gridCol w:w="263"/>
        <w:gridCol w:w="264"/>
        <w:gridCol w:w="525"/>
        <w:gridCol w:w="526"/>
        <w:gridCol w:w="180"/>
        <w:gridCol w:w="251"/>
        <w:gridCol w:w="331"/>
        <w:gridCol w:w="109"/>
        <w:gridCol w:w="480"/>
        <w:gridCol w:w="481"/>
        <w:gridCol w:w="142"/>
        <w:gridCol w:w="341"/>
        <w:gridCol w:w="241"/>
        <w:gridCol w:w="109"/>
        <w:gridCol w:w="435"/>
        <w:gridCol w:w="436"/>
        <w:gridCol w:w="156"/>
        <w:gridCol w:w="196"/>
        <w:gridCol w:w="406"/>
        <w:gridCol w:w="109"/>
        <w:gridCol w:w="368"/>
        <w:gridCol w:w="368"/>
        <w:gridCol w:w="196"/>
        <w:gridCol w:w="196"/>
        <w:gridCol w:w="661"/>
        <w:gridCol w:w="109"/>
        <w:gridCol w:w="196"/>
        <w:gridCol w:w="871"/>
        <w:gridCol w:w="109"/>
        <w:gridCol w:w="196"/>
        <w:gridCol w:w="751"/>
        <w:gridCol w:w="109"/>
        <w:gridCol w:w="196"/>
        <w:gridCol w:w="871"/>
        <w:gridCol w:w="109"/>
        <w:gridCol w:w="273"/>
        <w:gridCol w:w="775"/>
        <w:gridCol w:w="153"/>
        <w:gridCol w:w="196"/>
        <w:gridCol w:w="87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7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7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Blockchain Common Stock</w:t>
            </w:r>
          </w:p>
        </w:tc>
        <w:tc>
          <w:tcPr>
            <w:tcW w:w="18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Inc. Stockholders’</w:t>
              <w:br/>
              <w:t>Equity</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178,485,407 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5,898,980 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and redemptions of subsidiaries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1,351,833 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569,513 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Conversions between Class A common stock and Blockchain common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(6,941,715)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6,941,715 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Deconsolidation of subsidiary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178,794,505 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6,941,715 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882,013 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1,413,110 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3370"/>
                <wp:effectExtent l="0" t="0" r="0" b="0"/>
                <wp:wrapNone/>
                <wp:docPr id="8" name="Frame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0"/>
        <w:gridCol w:w="211"/>
        <w:gridCol w:w="213"/>
        <w:gridCol w:w="600"/>
        <w:gridCol w:w="451"/>
        <w:gridCol w:w="119"/>
        <w:gridCol w:w="302"/>
        <w:gridCol w:w="265"/>
        <w:gridCol w:w="124"/>
        <w:gridCol w:w="480"/>
        <w:gridCol w:w="481"/>
        <w:gridCol w:w="196"/>
        <w:gridCol w:w="196"/>
        <w:gridCol w:w="241"/>
        <w:gridCol w:w="109"/>
        <w:gridCol w:w="196"/>
        <w:gridCol w:w="736"/>
        <w:gridCol w:w="109"/>
        <w:gridCol w:w="196"/>
        <w:gridCol w:w="751"/>
        <w:gridCol w:w="109"/>
        <w:gridCol w:w="207"/>
        <w:gridCol w:w="779"/>
        <w:gridCol w:w="116"/>
        <w:gridCol w:w="274"/>
        <w:gridCol w:w="779"/>
        <w:gridCol w:w="153"/>
        <w:gridCol w:w="205"/>
        <w:gridCol w:w="773"/>
        <w:gridCol w:w="174"/>
      </w:tblGrid>
      <w:tr>
        <w:trPr/>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17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Inc. Stockholders’</w:t>
              <w:br/>
              <w:t>Equity</w:t>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11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c>
          <w:tcPr>
            <w:tcW w:w="11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69,497,017 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368,530 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442,143 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and redemptions of subsidiaries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equity contributions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29,994 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69,939,160 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395,930 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404,460 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70" w:type="dxa"/>
        <w:jc w:val="left"/>
        <w:tblInd w:w="0" w:type="dxa"/>
        <w:tblLayout w:type="fixed"/>
        <w:tblCellMar>
          <w:top w:w="28" w:type="dxa"/>
          <w:left w:w="28" w:type="dxa"/>
          <w:bottom w:w="28" w:type="dxa"/>
          <w:right w:w="28" w:type="dxa"/>
        </w:tblCellMar>
      </w:tblPr>
      <w:tblGrid>
        <w:gridCol w:w="554"/>
        <w:gridCol w:w="263"/>
        <w:gridCol w:w="264"/>
        <w:gridCol w:w="600"/>
        <w:gridCol w:w="451"/>
        <w:gridCol w:w="119"/>
        <w:gridCol w:w="302"/>
        <w:gridCol w:w="265"/>
        <w:gridCol w:w="124"/>
        <w:gridCol w:w="480"/>
        <w:gridCol w:w="481"/>
        <w:gridCol w:w="196"/>
        <w:gridCol w:w="273"/>
        <w:gridCol w:w="309"/>
        <w:gridCol w:w="109"/>
        <w:gridCol w:w="109"/>
        <w:gridCol w:w="109"/>
        <w:gridCol w:w="871"/>
        <w:gridCol w:w="1051"/>
        <w:gridCol w:w="206"/>
        <w:gridCol w:w="774"/>
        <w:gridCol w:w="116"/>
        <w:gridCol w:w="222"/>
        <w:gridCol w:w="854"/>
        <w:gridCol w:w="125"/>
        <w:gridCol w:w="206"/>
        <w:gridCol w:w="774"/>
        <w:gridCol w:w="116"/>
        <w:gridCol w:w="196"/>
        <w:gridCol w:w="556"/>
        <w:gridCol w:w="109"/>
        <w:gridCol w:w="196"/>
        <w:gridCol w:w="73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18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105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Inc. Stockholders’</w:t>
              <w:br/>
              <w:t>Equity</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1947" w:type="dxa"/>
            <w:gridSpan w:val="6"/>
            <w:tcBorders/>
          </w:tcPr>
          <w:p>
            <w:pPr>
              <w:pStyle w:val="TableContents"/>
              <w:bidi w:val="0"/>
              <w:spacing w:before="0" w:after="283"/>
              <w:jc w:val="left"/>
              <w:rPr>
                <w:sz w:val="4"/>
                <w:szCs w:val="4"/>
              </w:rPr>
            </w:pPr>
            <w:r>
              <w:rPr>
                <w:sz w:val="4"/>
                <w:szCs w:val="4"/>
              </w:rPr>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51" w:type="dxa"/>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69,300,284 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(320,851)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638,876 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and redemptions of subsidiaries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equity contributions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69,939,160 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687,655 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(291,729)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395,930 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3370"/>
                <wp:effectExtent l="0" t="0" r="0" b="0"/>
                <wp:wrapNone/>
                <wp:docPr id="9" name="Frame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285" w:type="dxa"/>
        <w:jc w:val="left"/>
        <w:tblInd w:w="0" w:type="dxa"/>
        <w:tblLayout w:type="fixed"/>
        <w:tblCellMar>
          <w:top w:w="28" w:type="dxa"/>
          <w:left w:w="28" w:type="dxa"/>
          <w:bottom w:w="28" w:type="dxa"/>
          <w:right w:w="28" w:type="dxa"/>
        </w:tblCellMar>
      </w:tblPr>
      <w:tblGrid>
        <w:gridCol w:w="2341"/>
        <w:gridCol w:w="2058"/>
        <w:gridCol w:w="2066"/>
        <w:gridCol w:w="196"/>
        <w:gridCol w:w="871"/>
        <w:gridCol w:w="109"/>
        <w:gridCol w:w="109"/>
        <w:gridCol w:w="109"/>
        <w:gridCol w:w="109"/>
        <w:gridCol w:w="198"/>
        <w:gridCol w:w="747"/>
        <w:gridCol w:w="109"/>
        <w:gridCol w:w="109"/>
        <w:gridCol w:w="154"/>
      </w:tblGrid>
      <w:tr>
        <w:trPr/>
        <w:tc>
          <w:tcPr>
            <w:tcW w:w="234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(used in)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servicing asset,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equity method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digital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fund and equity method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paid in YLDS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internally developed software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exchanged for issuance of warrants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of capitalization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repurchased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loan sales, net of repurchases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 of 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loans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contributions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digital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equity method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digital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(losses) on futures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subsidiary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 prefunding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 prefunding repayment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Principal payments on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debt, related parties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servicing activity on behalf of third-party loan owners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changes in customer deposit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 and warrants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Supplemental cash flow disclosure: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liquidity pool tokens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liquidity pool tokens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assets obtained in exchange for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partner prefunding in YLDS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Domestic Solana Fund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included in capitalized internally developed software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retained in securitization transactions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payments issued through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3370"/>
                <wp:effectExtent l="0" t="0" r="0" b="0"/>
                <wp:wrapNone/>
                <wp:docPr id="10" name="Frame1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1</w:t>
      </w:r>
      <w:r>
        <w:rPr>
          <w:color w:val="000000"/>
        </w:rPr>
        <w:t>—</w:t>
      </w:r>
      <w:r>
        <w:rPr>
          <w:rFonts w:ascii="Times New Roman;serif" w:hAnsi="Times New Roman;serif"/>
          <w:b/>
          <w:color w:val="000000"/>
          <w:sz w:val="20"/>
        </w:rPr>
        <w:t>BUSINESS AND ORGANIZATION</w:t>
      </w:r>
    </w:p>
    <w:p>
      <w:pPr>
        <w:pStyle w:val="TextBody"/>
        <w:bidi w:val="0"/>
        <w:spacing w:lineRule="auto" w:line="288" w:before="0" w:after="180"/>
        <w:jc w:val="both"/>
        <w:rPr/>
      </w:pPr>
      <w:r>
        <w:rPr>
          <w:rFonts w:ascii="Times New Roman;serif" w:hAnsi="Times New Roman;serif"/>
          <w:b w:val="false"/>
          <w:color w:val="000000"/>
          <w:sz w:val="20"/>
        </w:rPr>
        <w:t xml:space="preserve">Figure Technology Solutions, Inc. (“FTS”, “Figure”, or the “Company”) is a financial technology company that has built a suite of blockchain-based products and solutions centered around the vision of promoting efficiency and liquidity in financial markets. The Company offers a technology-enabled loan origination system and pairs this system with a distribution marketplace, Figure Connect, providing access to a deep and broad pool of capital markets partners (together, the “Technology Offering”). In addition, the Company has utilized blockchain technology to develop financial infrastructure for digital assets and credit, providing interest-bearing stablecoin security and Democratized Prime, a </w:t>
      </w:r>
      <w:r>
        <w:rPr>
          <w:rFonts w:ascii="Times New Roman;serif" w:hAnsi="Times New Roman;serif"/>
          <w:b w:val="false"/>
          <w:color w:val="000000"/>
          <w:sz w:val="20"/>
          <w:shd w:fill="FFFFFF" w:val="clear"/>
        </w:rPr>
        <w:t>decentralized, blockchain-based financial marketplace connecting sources and uses of capital.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2025 Corporate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2025, the Company completed a series of corporate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Recombination</w:t>
      </w:r>
      <w:r>
        <w:rPr>
          <w:rFonts w:ascii="Times New Roman;serif" w:hAnsi="Times New Roman;serif"/>
          <w:b w:val="false"/>
          <w:color w:val="000000"/>
          <w:sz w:val="20"/>
        </w:rPr>
        <w:t>: On August 29, 2025, FT Intermediate, Inc. (“FTI”) and Figure Markets Holdings, Inc. (“FMH”), entities under common control, recombined (the “Recombination”). FTI was subsequently renamed Figure Technology Solutions, Inc. As the Recombination was between entities under the common control of the controlling shareholder, Michael Cagney (“Controlling Party”), the transaction was accounted for in a manner similar to a pooling of interests. Accordingly, the Company’s Condensed Consolidated Financial Statements for the prior-year periods have been retrospectively recast to reflect the combined results of FTI and FMH as if they were a single consolidated entity as of the earliest period presented.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Initial Public Offering</w:t>
      </w:r>
      <w:r>
        <w:rPr>
          <w:rFonts w:ascii="Times New Roman;serif" w:hAnsi="Times New Roman;serif"/>
          <w:b w:val="false"/>
          <w:color w:val="000000"/>
          <w:sz w:val="20"/>
        </w:rPr>
        <w:t>: On September 12, 2025, the Company completed its Initial Public Offering (“IPO”) of Class A common stock. In connection with the IPO, all then-outstanding shares of convertible preferred stock were converted into shares of Class A common stock; a dual-class common stock structure was established, consisting of Class A and Class B; and shares held by the Controlling Party were converted into Class B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Recombination and the IPO, refer to “Note 1—Business and Organization” in the Consolidated Financial Statements in the Company’s Annual Report on Form 10-K for the fiscal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Secondary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completed a secondary public offering of 4,375,000 shares of its Blockchain Common Stock (“Blockchain Stock”). The transaction was structured as a synthetic secondary offering in which underwriters purchased 4,375,000 existing shares of the Company’s Class A common stock from selling stockholders and sold them to the Company. The Company then sold newly minted Blockchain Stock to the purchasers. The Company received no cash proceeds from the sale of the Blockchain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the Company utilized approximately $10 million of cash on hand to repurchase 312,500 shares of its Class A common stock from the underwriters at the public offering price of $32.00 (the “Share Repurchase”). The shares acquired in the Share Repurchase are held in treasury. The completion of this transaction resulted in approximately a $10 million reduction in cash and cash equivalents and a corresponding increase in treasury stock, with no net impact on the total number of common shares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2</w:t>
      </w:r>
      <w:r>
        <w:rPr>
          <w:color w:val="000000"/>
        </w:rPr>
        <w:t>—</w:t>
      </w:r>
      <w:r>
        <w:rPr>
          <w:rFonts w:ascii="Times New Roman;serif" w:hAnsi="Times New Roman;serif"/>
          <w:b/>
          <w:color w:val="000000"/>
          <w:sz w:val="20"/>
        </w:rPr>
        <w:t>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for the three and six months ended June 30, 2026 and 2025, have been prepared in accordance with accounting principles generally accepted in the United States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the Company made all adjustments (consisting of normal, recurring and non-recurring adjustments) during the quarter that were considered necessary for the fair statement of the financial position and operating results of the Company. The Condensed Consolidated Financial Statements include the accounts of the Company and the combined wholly-owned subsidiaries over which the Company controls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3370"/>
                <wp:effectExtent l="0" t="0" r="0" b="0"/>
                <wp:wrapNone/>
                <wp:docPr id="11" name="Frame1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financial, and investing decisions of the entity as well as those entities deemed to be variable interest entities (“VIEs”) in which the Company is determined to have a controlling financial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June 30, 2026, are not necessarily indicative of the results for the entire fiscal year ending December 31, 2026, or for any other period. Further, the balance sheet as of December 31, 2025, has been derived from the audited Consolidated Balance Sheet as of this date. There have been no material changes, other than what is discussed herein, to the Company's significant accounting policies as compared to the significant accounting policies disclosed in the Annual Report on Form 10-K for the fiscal year ended December 31, 2025. These unaudited Condensed Consolidated Financial Statements should be read in conjunction with the Consolidated Financial Statements and related notes, together with management’s discussion and analysis of financial position and results of operations, contained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 in Financial Statement Presentation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Marketable Securities Income,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voluntarily elected to change its income statement presentation for net gains and losses on the change in fair value of marketable securities, and the interest income earned on marketable securities, by reclassifying them into a separate line item, “Marketable securities income, net”. Previously, these amounts were included within “Gain on sale of loans, net” and “Interest income”,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change in classification has been applied retrospectively to all periods presented. It had no impact on the Condensed Consolidated Balance Sheets and no effect on previously reported total assets, total liabilities, equity, net income, or earnings per share for any period presented.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impact to the Condensed Consolidated Statements of Operations for the three and six months ended June 30, 2025 and Condensed Consolidated Statements of Cash Flows as a result of this change for the six months ended June 30, 2025.</w:t>
      </w:r>
    </w:p>
    <w:tbl>
      <w:tblPr>
        <w:tblW w:w="7230" w:type="dxa"/>
        <w:jc w:val="left"/>
        <w:tblInd w:w="0" w:type="dxa"/>
        <w:tblLayout w:type="fixed"/>
        <w:tblCellMar>
          <w:top w:w="28" w:type="dxa"/>
          <w:left w:w="28" w:type="dxa"/>
          <w:bottom w:w="28" w:type="dxa"/>
          <w:right w:w="28" w:type="dxa"/>
        </w:tblCellMar>
      </w:tblPr>
      <w:tblGrid>
        <w:gridCol w:w="1308"/>
        <w:gridCol w:w="1151"/>
        <w:gridCol w:w="1155"/>
        <w:gridCol w:w="207"/>
        <w:gridCol w:w="683"/>
        <w:gridCol w:w="115"/>
        <w:gridCol w:w="109"/>
        <w:gridCol w:w="109"/>
        <w:gridCol w:w="109"/>
        <w:gridCol w:w="211"/>
        <w:gridCol w:w="631"/>
        <w:gridCol w:w="119"/>
        <w:gridCol w:w="109"/>
        <w:gridCol w:w="109"/>
        <w:gridCol w:w="109"/>
        <w:gridCol w:w="196"/>
        <w:gridCol w:w="64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Condensed Consolidated Statements of Operations</w:t>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income,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30" w:type="dxa"/>
        <w:jc w:val="left"/>
        <w:tblInd w:w="0" w:type="dxa"/>
        <w:tblLayout w:type="fixed"/>
        <w:tblCellMar>
          <w:top w:w="28" w:type="dxa"/>
          <w:left w:w="28" w:type="dxa"/>
          <w:bottom w:w="28" w:type="dxa"/>
          <w:right w:w="28" w:type="dxa"/>
        </w:tblCellMar>
      </w:tblPr>
      <w:tblGrid>
        <w:gridCol w:w="1308"/>
        <w:gridCol w:w="1151"/>
        <w:gridCol w:w="1155"/>
        <w:gridCol w:w="207"/>
        <w:gridCol w:w="683"/>
        <w:gridCol w:w="115"/>
        <w:gridCol w:w="109"/>
        <w:gridCol w:w="109"/>
        <w:gridCol w:w="109"/>
        <w:gridCol w:w="211"/>
        <w:gridCol w:w="631"/>
        <w:gridCol w:w="119"/>
        <w:gridCol w:w="109"/>
        <w:gridCol w:w="109"/>
        <w:gridCol w:w="109"/>
        <w:gridCol w:w="196"/>
        <w:gridCol w:w="64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Condensed Consolidated Statements of Operations</w:t>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income,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11" w:type="dxa"/>
        <w:jc w:val="left"/>
        <w:tblInd w:w="0" w:type="dxa"/>
        <w:tblLayout w:type="fixed"/>
        <w:tblCellMar>
          <w:top w:w="28" w:type="dxa"/>
          <w:left w:w="28" w:type="dxa"/>
          <w:bottom w:w="28" w:type="dxa"/>
          <w:right w:w="28" w:type="dxa"/>
        </w:tblCellMar>
      </w:tblPr>
      <w:tblGrid>
        <w:gridCol w:w="2068"/>
        <w:gridCol w:w="1821"/>
        <w:gridCol w:w="1825"/>
        <w:gridCol w:w="196"/>
        <w:gridCol w:w="721"/>
        <w:gridCol w:w="109"/>
        <w:gridCol w:w="109"/>
        <w:gridCol w:w="109"/>
        <w:gridCol w:w="109"/>
        <w:gridCol w:w="215"/>
        <w:gridCol w:w="610"/>
        <w:gridCol w:w="121"/>
        <w:gridCol w:w="109"/>
        <w:gridCol w:w="109"/>
        <w:gridCol w:w="109"/>
        <w:gridCol w:w="196"/>
        <w:gridCol w:w="721"/>
        <w:gridCol w:w="154"/>
      </w:tblGrid>
      <w:tr>
        <w:trPr/>
        <w:tc>
          <w:tcPr>
            <w:tcW w:w="206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Condensed Consolidated Statements of Cash Flows</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Customer Deposit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voluntarily elected to change its presentation of cash flow activity in connection with deposits held for customer marketplace transactions. Such activity was previously reflected within operating activities in the “Accounts payable and other liabilities” line item, and are now presented in financing activities in the “Net changes in customer deposit liabilities” line item.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3370"/>
                <wp:effectExtent l="0" t="0" r="0" b="0"/>
                <wp:wrapNone/>
                <wp:docPr id="12" name="Frame1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presentation had no impact on the Condensed Consolidated Financial Statements, other than the reclassification of amounts within the Condensed Consolidated Statements of Cash Flows captions as described herein. The movement between customer deposit liabilities and YLDS (debt) is presented as cash payments and receipts.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to the Condensed Consolidated Statements of Cash Flows as a result of this change for the six months ended June 30, 2025.</w:t>
      </w:r>
    </w:p>
    <w:tbl>
      <w:tblPr>
        <w:tblW w:w="9330" w:type="dxa"/>
        <w:jc w:val="left"/>
        <w:tblInd w:w="0" w:type="dxa"/>
        <w:tblLayout w:type="fixed"/>
        <w:tblCellMar>
          <w:top w:w="28" w:type="dxa"/>
          <w:left w:w="28" w:type="dxa"/>
          <w:bottom w:w="28" w:type="dxa"/>
          <w:right w:w="28" w:type="dxa"/>
        </w:tblCellMar>
      </w:tblPr>
      <w:tblGrid>
        <w:gridCol w:w="2068"/>
        <w:gridCol w:w="1821"/>
        <w:gridCol w:w="1825"/>
        <w:gridCol w:w="207"/>
        <w:gridCol w:w="683"/>
        <w:gridCol w:w="115"/>
        <w:gridCol w:w="109"/>
        <w:gridCol w:w="109"/>
        <w:gridCol w:w="109"/>
        <w:gridCol w:w="211"/>
        <w:gridCol w:w="631"/>
        <w:gridCol w:w="119"/>
        <w:gridCol w:w="109"/>
        <w:gridCol w:w="109"/>
        <w:gridCol w:w="109"/>
        <w:gridCol w:w="196"/>
        <w:gridCol w:w="646"/>
        <w:gridCol w:w="154"/>
      </w:tblGrid>
      <w:tr>
        <w:trPr/>
        <w:tc>
          <w:tcPr>
            <w:tcW w:w="206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Condensed Consolidated Statements of Cash Flows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changes in customer deposit liabilities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 in Accounting Principle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Accounting for payment stablecoins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voluntarily elected to change its method of accounting for payment stablecoins to classify them as cash equivalents and applied the change retrospectively. See “Note 2—Summary of Significant Accounting Policies” in the Company’s Annual Report on Form 10-K for the fiscal year ended December 31, 2025 for a description of the change in accounting principle.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to the Condensed Consolidated Statements of Cash Flows as a result of this change to the six months ended June 30, 2025; there was no impact to the Condensed Consolidated Statements of Cash Flows beyond the line items shown below.</w:t>
      </w:r>
    </w:p>
    <w:tbl>
      <w:tblPr>
        <w:tblW w:w="6165" w:type="dxa"/>
        <w:jc w:val="left"/>
        <w:tblInd w:w="0" w:type="dxa"/>
        <w:tblLayout w:type="fixed"/>
        <w:tblCellMar>
          <w:top w:w="28" w:type="dxa"/>
          <w:left w:w="28" w:type="dxa"/>
          <w:bottom w:w="28" w:type="dxa"/>
          <w:right w:w="28" w:type="dxa"/>
        </w:tblCellMar>
      </w:tblPr>
      <w:tblGrid>
        <w:gridCol w:w="935"/>
        <w:gridCol w:w="820"/>
        <w:gridCol w:w="824"/>
        <w:gridCol w:w="210"/>
        <w:gridCol w:w="678"/>
        <w:gridCol w:w="117"/>
        <w:gridCol w:w="109"/>
        <w:gridCol w:w="109"/>
        <w:gridCol w:w="109"/>
        <w:gridCol w:w="215"/>
        <w:gridCol w:w="610"/>
        <w:gridCol w:w="121"/>
        <w:gridCol w:w="109"/>
        <w:gridCol w:w="109"/>
        <w:gridCol w:w="109"/>
        <w:gridCol w:w="196"/>
        <w:gridCol w:w="63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digital assets, net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digital assets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digital assets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 in Statement of Cash Flow Presentation Related to Retained Beneficial Interests in Loan Securitizations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corrected the presentation of certain retained beneficial interests in loan securitization transactions within the Condensed Consolidated Statements of Cash Flows and applied the correction retrospectively. See “Note 2—Summary of Significant Accounting Policies” in the Company’s Annual Report on Form 10-K for the fiscal year ended December 31, 2025 for a description of the correction.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3370"/>
                <wp:effectExtent l="0" t="0" r="0" b="0"/>
                <wp:wrapNone/>
                <wp:docPr id="13" name="Frame1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to the Condensed Consolidated Statements of Cash Flows as a result of the correction for the six months ended June 30, 2025; there was no impact to the Condensed Consolidated Statements of Cash Flows beyond the line items shown below.</w:t>
      </w:r>
    </w:p>
    <w:tbl>
      <w:tblPr>
        <w:tblW w:w="8246" w:type="dxa"/>
        <w:jc w:val="left"/>
        <w:tblInd w:w="0" w:type="dxa"/>
        <w:tblLayout w:type="fixed"/>
        <w:tblCellMar>
          <w:top w:w="28" w:type="dxa"/>
          <w:left w:w="28" w:type="dxa"/>
          <w:bottom w:w="28" w:type="dxa"/>
          <w:right w:w="28" w:type="dxa"/>
        </w:tblCellMar>
      </w:tblPr>
      <w:tblGrid>
        <w:gridCol w:w="1512"/>
        <w:gridCol w:w="1326"/>
        <w:gridCol w:w="1331"/>
        <w:gridCol w:w="196"/>
        <w:gridCol w:w="871"/>
        <w:gridCol w:w="109"/>
        <w:gridCol w:w="109"/>
        <w:gridCol w:w="109"/>
        <w:gridCol w:w="109"/>
        <w:gridCol w:w="196"/>
        <w:gridCol w:w="721"/>
        <w:gridCol w:w="109"/>
        <w:gridCol w:w="109"/>
        <w:gridCol w:w="109"/>
        <w:gridCol w:w="109"/>
        <w:gridCol w:w="196"/>
        <w:gridCol w:w="871"/>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As Corrected</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loan sales, net of repurchases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2,676,013 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Net cash provided by operating activities</w:t>
            </w:r>
            <w:r>
              <w:rPr>
                <w:rFonts w:ascii="Times New Roman;serif" w:hAnsi="Times New Roman;serif"/>
                <w:b w:val="false"/>
                <w:color w:val="000000"/>
                <w:sz w:val="10"/>
              </w:rPr>
              <w:t>(A)</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Net cash used in investing activities</w:t>
            </w:r>
            <w:r>
              <w:rPr>
                <w:rFonts w:ascii="Times New Roman;serif" w:hAnsi="Times New Roman;serif"/>
                <w:b w:val="false"/>
                <w:color w:val="000000"/>
                <w:sz w:val="10"/>
              </w:rPr>
              <w:t>(B)</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retained in securitization transactions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Net cash provided by operating activities “As Corrected” represents the impact from this adjustment only and does not tie to the Condensed Consolidated Statements of Cash Flows for the six months ended June 30, 2025 as it does not include the impact from the customer deposit liability and payment stablecoin presentation changes disclosed in “—Change in Financial Statement Presentation” and “—Change in Accounting Principle”, respectively, above.</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Net cash used in investing activities “As Corrected” represents the impact from this adjustment only and does not tie to the Condensed Consolidated Statements of Cash Flows for the six months ended June 30, 2025 as it does not include the impact from the payment stablecoin presentation change disclosed in “—Change in Accounting Principle”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The Company’s Chief Operating Decision Maker (“CODM”) is its Chief Executive Officer, who reviews financial information presented on a consolidated basis for purposes of making operating decisions, allocating resources, and evaluating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evaluates performance and allocates resources using consolidated net income as reported in the Condensed Consolidated Statements of Operations. Significant expense categories and revenue streams reviewed by the CODM are presented on the face of the Condensed Consolidated Statements of Operations. The CODM does not review assets, liabilities, or capital expenditures at a more granular level; accordingly, no such disclosures are presented. Total consolidated assets are presented on the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revenues and long-lived assets are located in the United States. Our diversified ecosystem of whole loan buyers and access to additional liquidity through the securitization market mitigates concentration risk related to individual purchasers of loans for which we earn revenues. No customer accounted for more than 10% of the Company’s total net revenue for each of the respective periods or for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Treasury Note Futures Contracts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aggregate net realized and unrealized gains (losses) for derivative assets and liabilities within “Gain on sale of loans, net” in the Condensed Consolidated Statements of Operations of $0.7 million and $4.7 million for the three and six months ended June 30, 2026, respectively, and $(1.5) million and $(6.2) million for the three and six months ended June 30, 2025, respectively. Any results from the settlement of the Company derivative financial instruments are included as “Realized gains (losses) on futures” as an investing cash flow within the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3370"/>
                <wp:effectExtent l="0" t="0" r="0" b="0"/>
                <wp:wrapNone/>
                <wp:docPr id="14" name="Frame1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derivative assets and liabilities within “Other current liabilities” and “Other current assets” in the Condensed Consolidated Balance Sheets. As of June 30, 2026 and December 31, 2025 we recorded the following balances:</w:t>
      </w:r>
    </w:p>
    <w:tbl>
      <w:tblPr>
        <w:tblW w:w="6796" w:type="dxa"/>
        <w:jc w:val="left"/>
        <w:tblInd w:w="0" w:type="dxa"/>
        <w:tblLayout w:type="fixed"/>
        <w:tblCellMar>
          <w:top w:w="28" w:type="dxa"/>
          <w:left w:w="28" w:type="dxa"/>
          <w:bottom w:w="28" w:type="dxa"/>
          <w:right w:w="28" w:type="dxa"/>
        </w:tblCellMar>
      </w:tblPr>
      <w:tblGrid>
        <w:gridCol w:w="603"/>
        <w:gridCol w:w="530"/>
        <w:gridCol w:w="532"/>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421"/>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note futures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note futures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in the Condensed Consolidated Balance Sheets to the total of the same amounts shown in the Condensed Consolidated Statements of Cash Flows:</w:t>
      </w:r>
    </w:p>
    <w:tbl>
      <w:tblPr>
        <w:tblW w:w="7187" w:type="dxa"/>
        <w:jc w:val="left"/>
        <w:tblInd w:w="0" w:type="dxa"/>
        <w:tblLayout w:type="fixed"/>
        <w:tblCellMar>
          <w:top w:w="28" w:type="dxa"/>
          <w:left w:w="28" w:type="dxa"/>
          <w:bottom w:w="28" w:type="dxa"/>
          <w:right w:w="28" w:type="dxa"/>
        </w:tblCellMar>
      </w:tblPr>
      <w:tblGrid>
        <w:gridCol w:w="1497"/>
        <w:gridCol w:w="1317"/>
        <w:gridCol w:w="1326"/>
        <w:gridCol w:w="196"/>
        <w:gridCol w:w="871"/>
        <w:gridCol w:w="109"/>
        <w:gridCol w:w="109"/>
        <w:gridCol w:w="109"/>
        <w:gridCol w:w="109"/>
        <w:gridCol w:w="248"/>
        <w:gridCol w:w="1102"/>
        <w:gridCol w:w="194"/>
      </w:tblGrid>
      <w:tr>
        <w:trPr/>
        <w:tc>
          <w:tcPr>
            <w:tcW w:w="14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excluding payment stablecoins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1,159,597 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stablecoins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38,544 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1,266,778 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“Accounts receivable, net” reported in the Condensed Consolidated Balance Sheets:</w:t>
      </w:r>
    </w:p>
    <w:tbl>
      <w:tblPr>
        <w:tblW w:w="5366" w:type="dxa"/>
        <w:jc w:val="left"/>
        <w:tblInd w:w="0" w:type="dxa"/>
        <w:tblLayout w:type="fixed"/>
        <w:tblCellMar>
          <w:top w:w="28" w:type="dxa"/>
          <w:left w:w="28" w:type="dxa"/>
          <w:bottom w:w="28" w:type="dxa"/>
          <w:right w:w="28" w:type="dxa"/>
        </w:tblCellMar>
      </w:tblPr>
      <w:tblGrid>
        <w:gridCol w:w="858"/>
        <w:gridCol w:w="754"/>
        <w:gridCol w:w="757"/>
        <w:gridCol w:w="232"/>
        <w:gridCol w:w="764"/>
        <w:gridCol w:w="129"/>
        <w:gridCol w:w="109"/>
        <w:gridCol w:w="109"/>
        <w:gridCol w:w="109"/>
        <w:gridCol w:w="304"/>
        <w:gridCol w:w="1002"/>
        <w:gridCol w:w="239"/>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receivable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Subservicer receivable</w:t>
            </w:r>
            <w:r>
              <w:rPr>
                <w:rFonts w:ascii="Times New Roman;serif" w:hAnsi="Times New Roman;serif"/>
                <w:b w:val="false"/>
                <w:color w:val="000000"/>
                <w:sz w:val="10"/>
              </w:rPr>
              <w:t>(A)</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6,914 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accounts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10,355 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Allowance for credit losses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88,527 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52,016 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Subservicer receivable consists of loan principal and interest payments collected on behalf of the Company by a subservicer that have not yet been remitted to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credit risk related to trade accounts receivable. In order to manage credit risk, the Company generally has the right to withhold amounts due from transaction proceeds paid to the customer. At June 30, 2026, trade accounts receivable from four customers individually accounted for approximately 18.9%, 14.1%, 11.6%, and 10.4% of trade accounts receivables. No other customer accounted for 10% or more of trade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revenues are substantially comprised of ecosystem and technology fees, loan originations and sales gains or losses, interest income earned on those loans, and loan servicing.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the Company’s Annual Report on Form 10-K for the fiscal year ended December 31, 2025 for the Company’s legacy revenue recognition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3370"/>
                <wp:effectExtent l="0" t="0" r="0" b="0"/>
                <wp:wrapNone/>
                <wp:docPr id="15" name="Frame1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“Ecosystem and technology fees” in the Condensed Consolidated Statements of Operations:</w:t>
      </w:r>
    </w:p>
    <w:tbl>
      <w:tblPr>
        <w:tblW w:w="7589" w:type="dxa"/>
        <w:jc w:val="left"/>
        <w:tblInd w:w="0" w:type="dxa"/>
        <w:tblLayout w:type="fixed"/>
        <w:tblCellMar>
          <w:top w:w="28" w:type="dxa"/>
          <w:left w:w="28" w:type="dxa"/>
          <w:bottom w:w="28" w:type="dxa"/>
          <w:right w:w="28" w:type="dxa"/>
        </w:tblCellMar>
      </w:tblPr>
      <w:tblGrid>
        <w:gridCol w:w="966"/>
        <w:gridCol w:w="850"/>
        <w:gridCol w:w="853"/>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Technology offering fees</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Ecosystem fees</w:t>
            </w:r>
            <w:r>
              <w:rPr>
                <w:rFonts w:ascii="Times New Roman;serif" w:hAnsi="Times New Roman;serif"/>
                <w:b w:val="false"/>
                <w:color w:val="000000"/>
                <w:sz w:val="10"/>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Program fees</w:t>
            </w:r>
            <w:r>
              <w:rPr>
                <w:rFonts w:ascii="Times New Roman;serif" w:hAnsi="Times New Roman;serif"/>
                <w:b w:val="false"/>
                <w:color w:val="000000"/>
                <w:sz w:val="10"/>
              </w:rPr>
              <w:t>(C)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ecosystem and technology fees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shd w:fill="FFFFFF" w:val="clear"/>
        </w:rPr>
        <w:t>Technology</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16"/>
          <w:shd w:fill="FFFFFF" w:val="clear"/>
        </w:rPr>
        <w:t>ffering fees include fees that are accounted under ASC 606 as well a</w:t>
      </w:r>
      <w:r>
        <w:rPr>
          <w:rFonts w:ascii="Times New Roman;serif" w:hAnsi="Times New Roman;serif"/>
          <w:b w:val="false"/>
          <w:color w:val="000000"/>
          <w:sz w:val="16"/>
        </w:rPr>
        <w:t xml:space="preserve">s $12.2 million and $20.1 million for the three and six months ended June 30, 2026, respectively, and $4.3 million and $6.8 million for the three and six months ended June 30, 2025, respectively, that are in the scope of ASC 310. </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 xml:space="preserve">Ecosystem fees include fees that are accounted for under ASC 606 as well as $15.0 million and $24.7 million for the three and six months ended June 30, 2026, respectively, and $7.1 million and $9.6 million for the three and six months ended June 30, 2025, respectively, </w:t>
      </w:r>
      <w:r>
        <w:rPr>
          <w:rFonts w:ascii="Times New Roman;serif" w:hAnsi="Times New Roman;serif"/>
          <w:b w:val="false"/>
          <w:color w:val="000000"/>
          <w:sz w:val="16"/>
          <w:shd w:fill="FFFFFF" w:val="clear"/>
        </w:rPr>
        <w:t xml:space="preserve">that are in the scope of ASC 310. </w:t>
      </w:r>
    </w:p>
    <w:p>
      <w:pPr>
        <w:pStyle w:val="TextBody"/>
        <w:bidi w:val="0"/>
        <w:spacing w:lineRule="auto" w:line="288" w:before="0" w:after="180"/>
        <w:ind w:left="0" w:right="0" w:hanging="180"/>
        <w:jc w:val="both"/>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Program fees are not in the scope of ASC 606</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Software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amortizes internally-developed software capitalized costs within “Technology and product development” expense in the Condensed Consolidated Statements of Operations as follows:</w:t>
      </w:r>
    </w:p>
    <w:tbl>
      <w:tblPr>
        <w:tblW w:w="7748" w:type="dxa"/>
        <w:jc w:val="left"/>
        <w:tblInd w:w="0" w:type="dxa"/>
        <w:tblLayout w:type="fixed"/>
        <w:tblCellMar>
          <w:top w:w="28" w:type="dxa"/>
          <w:left w:w="28" w:type="dxa"/>
          <w:bottom w:w="28" w:type="dxa"/>
          <w:right w:w="28" w:type="dxa"/>
        </w:tblCellMar>
      </w:tblPr>
      <w:tblGrid>
        <w:gridCol w:w="791"/>
        <w:gridCol w:w="698"/>
        <w:gridCol w:w="700"/>
        <w:gridCol w:w="744"/>
        <w:gridCol w:w="744"/>
        <w:gridCol w:w="747"/>
        <w:gridCol w:w="109"/>
        <w:gridCol w:w="109"/>
        <w:gridCol w:w="109"/>
        <w:gridCol w:w="212"/>
        <w:gridCol w:w="796"/>
        <w:gridCol w:w="117"/>
        <w:gridCol w:w="109"/>
        <w:gridCol w:w="109"/>
        <w:gridCol w:w="109"/>
        <w:gridCol w:w="279"/>
        <w:gridCol w:w="1047"/>
        <w:gridCol w:w="219"/>
      </w:tblGrid>
      <w:tr>
        <w:trPr/>
        <w:tc>
          <w:tcPr>
            <w:tcW w:w="7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Internally developed software</w:t>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101,873 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Accumulated amortization</w:t>
            </w:r>
            <w:r>
              <w:rPr>
                <w:rFonts w:ascii="Times New Roman;serif" w:hAnsi="Times New Roman;serif"/>
                <w:b w:val="false"/>
                <w:color w:val="000000"/>
                <w:sz w:val="10"/>
              </w:rPr>
              <w:t>(A)</w:t>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(82,685)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(73,704)</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35,564 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28,169 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amortized $4.3 million and $9.0 million of capitalized internally-developed software costs during the three and six months ended June 30, 2026, respectively and $4.1 million and $8.1 million, respectively, during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those discussed below, there have not been recent changes in accounting pronouncements issued by the FASB that are applicable to, or adopted by, the Company during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 xml:space="preserve">(“ASU 2025-11”), which clarifies the applicability of interim reporting guidance, establishes a comprehensive list of interim disclosures required under GAAP, and introduces a disclosure principle requiring entities to disclose events occurring after the most recent annual reporting period that have a material impact on the entity. ASU 2025-11 also improves navigability by organizing interim disclosure requirements across the Codification and clarifies the form and content of interim financial statements, including the use of condensed statements and required accompanying notes. ASU 2025-11 is effective for interim reporting periods within annual periods beginning after December 15, 2027, for public business entities, and after December 15, 2028, for all other entities, with early adoption permitted. The Company is currently evaluating the effect of adopting ASU 2025-11 on its interim reporting disclosures. </w:t>
      </w:r>
    </w:p>
    <w:p>
      <w:pPr>
        <w:pStyle w:val="TextBody"/>
        <w:bidi w:val="0"/>
        <w:spacing w:lineRule="auto" w:line="288" w:before="0" w:after="180"/>
        <w:jc w:val="both"/>
        <w:rPr/>
      </w:pPr>
      <w:r>
        <w:rPr>
          <w:rFonts w:ascii="Times New Roman;serif" w:hAnsi="Times New Roman;serif"/>
          <w:b w:val="false"/>
          <w:color w:val="000000"/>
          <w:sz w:val="20"/>
        </w:rPr>
        <w:t xml:space="preserve">In November 2025, the FASB issued ASU 2025-08, </w:t>
      </w:r>
      <w:r>
        <w:rPr>
          <w:rFonts w:ascii="Times New Roman;serif" w:hAnsi="Times New Roman;serif"/>
          <w:b w:val="false"/>
          <w:i/>
          <w:color w:val="000000"/>
          <w:sz w:val="20"/>
        </w:rPr>
        <w:t>Financial Instruments—Credit Losses (Topic 326): Purchased Loans</w:t>
      </w:r>
      <w:r>
        <w:rPr>
          <w:color w:val="000000"/>
        </w:rPr>
        <w:t xml:space="preserve"> </w:t>
      </w:r>
      <w:r>
        <w:rPr>
          <w:rFonts w:ascii="Times New Roman;serif" w:hAnsi="Times New Roman;serif"/>
          <w:b w:val="false"/>
          <w:color w:val="000000"/>
          <w:sz w:val="20"/>
        </w:rPr>
        <w:t xml:space="preserve">(“ASU 2025-08”), which introduces the concept of purchased seasoned loans and expands use of the gross-up approach to a broader population of acquired loans. Under the amendments, loans (other than credit cards) that are acquired without significant credit deterioration since origination and meet seasoning criteria are accounted for using the gross-up approach at acquisition (that is, recognition of an allowance for credit losses with a corresponding increase to amortized cost). A loan generally is considered seasoned if it is obtained more than 90 days after origination and the transferee was not involved in the loan’s origination; the guidance provides indicators for assessing involvement and excludes certain assets (such as credit cards, debt securities, and Topic 606 trade receivables) from the purchased seasoned loans category. ASU 2025-08 also clarifies related measurement and interest income guidance for purchased seasoned loans and aligns various Topics (including business combinations, consolidations, and transfers and servicing) with the new model. ASU 2025-08 is effective for all entities for annual reporting periods beginning after December 15, 2026, and interim periods within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3370"/>
                <wp:effectExtent l="0" t="0" r="0" b="0"/>
                <wp:wrapNone/>
                <wp:docPr id="16" name="Frame1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annual periods, and is applied prospectively to loans acquired on or after the date of initial application; early adoption is permitted in an interim or annual period for which financial statements have not yet been issued or made available for issuance. The Company is currently evaluating the effect of adopting ASU 2025-08 on its financial statements. </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a Share-Based Payment from a Customer in a Revenue Contract</w:t>
      </w:r>
      <w:r>
        <w:rPr>
          <w:color w:val="000000"/>
        </w:rPr>
        <w:t xml:space="preserve"> </w:t>
      </w:r>
      <w:r>
        <w:rPr>
          <w:rFonts w:ascii="Times New Roman;serif" w:hAnsi="Times New Roman;serif"/>
          <w:b w:val="false"/>
          <w:color w:val="000000"/>
          <w:sz w:val="20"/>
        </w:rPr>
        <w:t>(“ASU 2025-07”). The ASU expands the population of contracts excluded from derivative accounting by excluding contracts whose underlyings are based on operations or activities specific to one of the parties to the contract. In addition, the ASU clarifies that a share-based payment received from a customer as consideration for goods or services should be accounted for under ASC 606’s share-based noncash consideration guidance, and that guidance in other topics should not be applied unless and until the entity’s right to receive or retain the share-based noncash consideration is unconditional under ASC 606. ASU 2025-07 is effective for annual periods beginning after December 15, 2026, and interim reporting periods within those annual reporting periods, with earlier adoption permitted. The Company is currently evaluating the effect of adopting ASU 2025-07 on its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which modernizes the accounting for software costs by removing references to prescriptive project stages and establishing a new recognition threshold. Under ASU 2025-06, entities are required to begin capitalizing internal-use software costs once management has authorized and committed to funding the project and it is probable that the project will be completed and the software will be used as intended. In assessing the probability threshold, entities must evaluate whether significant development uncertainty exists, including unresolved technological innovations or unproven features, or whether significant performance requirements have not been identified or continue to be substantially revised. The amendments also incorporate website development cost guidance into Subtopic 350-40, require property, plant, and equipment disclosures for capitalized internal-use software costs, and eliminate duplicative intangible disclosure requirements. ASU 2025-06 is effective for all entities for annual reporting periods beginning after December 15, 2027, and interim reporting periods within those annual periods, with early adoption permitted. The Company is currently evaluating the effect of adopting ASU 2025-06 on its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 Disaggregation of Income Statement Expenses </w:t>
      </w:r>
      <w:r>
        <w:rPr>
          <w:rFonts w:ascii="Times New Roman;serif" w:hAnsi="Times New Roman;serif"/>
          <w:b w:val="false"/>
          <w:color w:val="000000"/>
          <w:sz w:val="20"/>
        </w:rPr>
        <w:t>(“ASU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the Company’s definition of selling expenses. ASU 2024-03 is effective for public business entities’ annual reporting periods beginning after December 15, 2026, and interim reporting periods beginning after December 15, 2027. Early adoption is permitted. The Company is currently evaluating the effect of adopting ASU 2024-03 on its disclosures.</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w:t>
      </w:r>
      <w:r>
        <w:rPr>
          <w:color w:val="000000"/>
        </w:rPr>
        <w:t xml:space="preserve">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For entities other than public business entities, the amendments are effective for annual periods beginning after December 15, 2025. ASU 2023-09 should be applied on a prospective basis, with retrospective application permitted. The Company is currently evaluating the effect of adopting ASU 2023-09 on its disclosures for annual reporting for the year ended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3</w:t>
      </w:r>
      <w:r>
        <w:rPr>
          <w:color w:val="000000"/>
        </w:rPr>
        <w:t>—</w:t>
      </w:r>
      <w:r>
        <w:rPr>
          <w:rFonts w:ascii="Times New Roman;serif" w:hAnsi="Times New Roman;serif"/>
          <w:b/>
          <w:color w:val="000000"/>
          <w:sz w:val="20"/>
        </w:rPr>
        <w:t xml:space="preserve">INVESTMENTS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across three primary categories: marketable securities that represent the interests it is required to retain upon securitizing loans in transactions that are considered sales under GAAP; digital assets, in the form of cryptocurrencies or digital financial assets, held by the Company and held as collateral for personal loans; and investments in entities that the Company does not consolidate.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3370"/>
                <wp:effectExtent l="0" t="0" r="0" b="0"/>
                <wp:wrapNone/>
                <wp:docPr id="17" name="Frame1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at June 30, 2026 and December 31, 2025:</w:t>
      </w:r>
    </w:p>
    <w:tbl>
      <w:tblPr>
        <w:tblW w:w="9249" w:type="dxa"/>
        <w:jc w:val="left"/>
        <w:tblInd w:w="0" w:type="dxa"/>
        <w:tblLayout w:type="fixed"/>
        <w:tblCellMar>
          <w:top w:w="28" w:type="dxa"/>
          <w:left w:w="28" w:type="dxa"/>
          <w:bottom w:w="28" w:type="dxa"/>
          <w:right w:w="28" w:type="dxa"/>
        </w:tblCellMar>
      </w:tblPr>
      <w:tblGrid>
        <w:gridCol w:w="1064"/>
        <w:gridCol w:w="936"/>
        <w:gridCol w:w="940"/>
        <w:gridCol w:w="406"/>
        <w:gridCol w:w="1528"/>
        <w:gridCol w:w="226"/>
        <w:gridCol w:w="109"/>
        <w:gridCol w:w="109"/>
        <w:gridCol w:w="109"/>
        <w:gridCol w:w="454"/>
        <w:gridCol w:w="1360"/>
        <w:gridCol w:w="256"/>
        <w:gridCol w:w="109"/>
        <w:gridCol w:w="109"/>
        <w:gridCol w:w="109"/>
        <w:gridCol w:w="257"/>
        <w:gridCol w:w="966"/>
        <w:gridCol w:w="202"/>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Outstanding Face Amount</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Fair Value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(B)</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at fair value:</w:t>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Investment grade debt securities</w:t>
            </w:r>
            <w:r>
              <w:rPr>
                <w:rFonts w:ascii="Times New Roman;serif" w:hAnsi="Times New Roman;serif"/>
                <w:b w:val="false"/>
                <w:color w:val="000000"/>
                <w:sz w:val="10"/>
              </w:rPr>
              <w:t>(C)</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275,636 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Below investment grade debt securities</w:t>
            </w:r>
            <w:r>
              <w:rPr>
                <w:rFonts w:ascii="Times New Roman;serif" w:hAnsi="Times New Roman;serif"/>
                <w:b w:val="false"/>
                <w:color w:val="000000"/>
                <w:sz w:val="10"/>
              </w:rPr>
              <w:t>(D)</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Residual interest securities</w:t>
            </w:r>
            <w:r>
              <w:rPr>
                <w:rFonts w:ascii="Times New Roman;serif" w:hAnsi="Times New Roman;serif"/>
                <w:b w:val="false"/>
                <w:color w:val="000000"/>
                <w:sz w:val="10"/>
              </w:rPr>
              <w:t>(E)</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 securities, at fair value</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356,225 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354,007 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Outstanding Face Amount</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Fair Value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(B)</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at fair value:</w:t>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Investment grade debt securities</w:t>
            </w:r>
            <w:r>
              <w:rPr>
                <w:rFonts w:ascii="Times New Roman;serif" w:hAnsi="Times New Roman;serif"/>
                <w:b w:val="false"/>
                <w:color w:val="000000"/>
                <w:sz w:val="10"/>
              </w:rPr>
              <w:t>(C)</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Below investment grade debt securities</w:t>
            </w:r>
            <w:r>
              <w:rPr>
                <w:rFonts w:ascii="Times New Roman;serif" w:hAnsi="Times New Roman;serif"/>
                <w:b w:val="false"/>
                <w:color w:val="000000"/>
                <w:sz w:val="10"/>
              </w:rPr>
              <w:t>(D)</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Residual interest securities</w:t>
            </w:r>
            <w:r>
              <w:rPr>
                <w:rFonts w:ascii="Times New Roman;serif" w:hAnsi="Times New Roman;serif"/>
                <w:b w:val="false"/>
                <w:color w:val="000000"/>
                <w:sz w:val="10"/>
              </w:rPr>
              <w:t>(E)</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 securities, at fair value</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272,809 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total outstanding face amount represents the unpaid principal balance of the debt securities outstanding at each period end.</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The Company elected the fair value option for marketable securities; therefore, carrying value represents fair value. The total carrying value includes $318.1 million and $231.8 million of debt securities collateralized under repurchase agreements at June 30, 2026 and December 31, 2025, respectively. See “Note 6—Debt” and “Note 12—Fair Value Measurements” for additional information regarding the retained interest facility and valuation of the Company’s marketable securities,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Represents debt securities rated A- or above by Morningstar DBRS or comparable rating by other rating agencies.</w:t>
      </w:r>
    </w:p>
    <w:p>
      <w:pPr>
        <w:pStyle w:val="TextBody"/>
        <w:bidi w:val="0"/>
        <w:spacing w:lineRule="auto" w:line="288" w:before="0" w:after="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Represents debt securities rated below A- by Morningstar DBRS or comparable rating by other rating agencies.</w:t>
      </w:r>
    </w:p>
    <w:p>
      <w:pPr>
        <w:pStyle w:val="TextBody"/>
        <w:bidi w:val="0"/>
        <w:spacing w:lineRule="auto" w:line="288" w:before="0" w:after="180"/>
        <w:ind w:left="0" w:right="0" w:hanging="180"/>
        <w:jc w:val="both"/>
        <w:rPr/>
      </w:pPr>
      <w:r>
        <w:rPr>
          <w:rFonts w:ascii="Times New Roman;serif" w:hAnsi="Times New Roman;serif"/>
          <w:b w:val="false"/>
          <w:color w:val="000000"/>
          <w:sz w:val="10"/>
        </w:rPr>
        <w:t>(E)    </w:t>
      </w:r>
      <w:r>
        <w:rPr>
          <w:rFonts w:ascii="Times New Roman;serif" w:hAnsi="Times New Roman;serif"/>
          <w:b w:val="false"/>
          <w:color w:val="000000"/>
          <w:sz w:val="16"/>
        </w:rPr>
        <w:t>Represents residual interests and non-rated securities in securitizations that are not considered debt securities, including 28 and 20 non-rated securities with aggregate outstanding face amounts of $17.0 million and $20.9 million at June 30, 2026 and December 31, 2025, respectively, and 23 and 15 interest-only securities based upon aggregate outstanding principal amounts of $18.7 million and $19.9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Digital Assets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Digital Assets Held as Collateral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digital assets and the corresponding liability for digital assets held as collateral at fair value, and the Company does not consider the cost basis to be meaningful. While the collateral is in the Company’s control, the Company has the ability to use the collateral for loan, margin, rehypothecation, or other similar activities to which the Company or its affiliates are a party, however, chooses not to do so without the customer’s consent and such assets are held solely for the purpose of securing the related loans. Digital assets held for collateral are included in “Digital assets” in the Condensed Consolidated Balance Sheets. The Company originates loans collateralized by digital assets and recorded a corresponding $21.1 million and $52.6 million liability at June 30, 2026 and December 31, 2025, respectively, representing the fair value of digital assets owed to the borrower in the event of loan repayment that is included in “Other current liabilities” in the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12—Fair Value Measurements” for additional information regarding the valuation of these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3370"/>
                <wp:effectExtent l="0" t="0" r="0" b="0"/>
                <wp:wrapNone/>
                <wp:docPr id="18" name="Frame1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digital assets held as collateral at June 30, 2026 and December 31, 2025:</w:t>
      </w:r>
    </w:p>
    <w:tbl>
      <w:tblPr>
        <w:tblW w:w="6941" w:type="dxa"/>
        <w:jc w:val="left"/>
        <w:tblInd w:w="0" w:type="dxa"/>
        <w:tblLayout w:type="fixed"/>
        <w:tblCellMar>
          <w:top w:w="28" w:type="dxa"/>
          <w:left w:w="28" w:type="dxa"/>
          <w:bottom w:w="28" w:type="dxa"/>
          <w:right w:w="28" w:type="dxa"/>
        </w:tblCellMar>
      </w:tblPr>
      <w:tblGrid>
        <w:gridCol w:w="934"/>
        <w:gridCol w:w="821"/>
        <w:gridCol w:w="824"/>
        <w:gridCol w:w="277"/>
        <w:gridCol w:w="279"/>
        <w:gridCol w:w="161"/>
        <w:gridCol w:w="109"/>
        <w:gridCol w:w="109"/>
        <w:gridCol w:w="109"/>
        <w:gridCol w:w="196"/>
        <w:gridCol w:w="646"/>
        <w:gridCol w:w="109"/>
        <w:gridCol w:w="109"/>
        <w:gridCol w:w="109"/>
        <w:gridCol w:w="109"/>
        <w:gridCol w:w="277"/>
        <w:gridCol w:w="279"/>
        <w:gridCol w:w="161"/>
        <w:gridCol w:w="109"/>
        <w:gridCol w:w="109"/>
        <w:gridCol w:w="109"/>
        <w:gridCol w:w="196"/>
        <w:gridCol w:w="64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held as collateral:</w:t>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Bitcoin (BTC)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Ethereum (ETH)</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digital assets held as collateral</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engages a third party custodian to hold digital assets as collateral in an account in the Company’s name, and provide custodial services including holding the cryptographic key information and working to protect the digital assets from loss or theft. The Company maintains internal recordkeeping of the digital asset collateral, including the amount and type of digital asset owned by each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Digital Assets Held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Digital Assets Held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digital assets held at fair value in both “Digital assets” and “Digital assets, non-current” in the Condensed Consolidated Balance Sheets, depending on the nature of the underlying asset and related restrictions. See “Note 2—Summary of Significant Accounting Policies” and “Note 12—Fair Value Measurements” for additional information regarding the classification and valuation of these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established new liquidity pool positions on the Ethereum and Solana blockchains by redeploying an equivalent of $19.0 million in digital financial assets, which were held as of March 31, 2026. The treatment of these digital assets held continue to be accounted for in accordance with the existing accounting policy per “Note 2—Summary of Significant Accounting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digital assets held at fair value by the Company, and by third-party custodians on behalf of the Company, at June 30, 2026 and December 31, 2025:</w:t>
      </w:r>
    </w:p>
    <w:tbl>
      <w:tblPr>
        <w:tblW w:w="9873" w:type="dxa"/>
        <w:jc w:val="left"/>
        <w:tblInd w:w="0" w:type="dxa"/>
        <w:tblLayout w:type="fixed"/>
        <w:tblCellMar>
          <w:top w:w="28" w:type="dxa"/>
          <w:left w:w="28" w:type="dxa"/>
          <w:bottom w:w="28" w:type="dxa"/>
          <w:right w:w="28" w:type="dxa"/>
        </w:tblCellMar>
      </w:tblPr>
      <w:tblGrid>
        <w:gridCol w:w="939"/>
        <w:gridCol w:w="824"/>
        <w:gridCol w:w="832"/>
        <w:gridCol w:w="368"/>
        <w:gridCol w:w="368"/>
        <w:gridCol w:w="161"/>
        <w:gridCol w:w="109"/>
        <w:gridCol w:w="109"/>
        <w:gridCol w:w="109"/>
        <w:gridCol w:w="196"/>
        <w:gridCol w:w="646"/>
        <w:gridCol w:w="109"/>
        <w:gridCol w:w="109"/>
        <w:gridCol w:w="109"/>
        <w:gridCol w:w="109"/>
        <w:gridCol w:w="196"/>
        <w:gridCol w:w="646"/>
        <w:gridCol w:w="109"/>
        <w:gridCol w:w="109"/>
        <w:gridCol w:w="109"/>
        <w:gridCol w:w="109"/>
        <w:gridCol w:w="368"/>
        <w:gridCol w:w="368"/>
        <w:gridCol w:w="161"/>
        <w:gridCol w:w="109"/>
        <w:gridCol w:w="109"/>
        <w:gridCol w:w="109"/>
        <w:gridCol w:w="196"/>
        <w:gridCol w:w="646"/>
        <w:gridCol w:w="109"/>
        <w:gridCol w:w="109"/>
        <w:gridCol w:w="109"/>
        <w:gridCol w:w="109"/>
        <w:gridCol w:w="196"/>
        <w:gridCol w:w="64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held at fair value:</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Solana (SOL)</w:t>
            </w:r>
            <w:r>
              <w:rPr>
                <w:rFonts w:ascii="Times New Roman;serif" w:hAnsi="Times New Roman;serif"/>
                <w:b w:val="false"/>
                <w:color w:val="000000"/>
                <w:sz w:val="10"/>
              </w:rPr>
              <w:t>(A)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 Dollar Tether (USDT)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958,734 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Liquidity Pools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digital assets</w:t>
            </w:r>
            <w:r>
              <w:rPr>
                <w:rFonts w:ascii="Times New Roman;serif" w:hAnsi="Times New Roman;serif"/>
                <w:b w:val="false"/>
                <w:color w:val="000000"/>
                <w:sz w:val="10"/>
              </w:rPr>
              <w:t>(B)</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digital assets held at fair value</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Includes 42,253 Solana (“SOL”) at June 30, 2026 that are subject to a lock-up period through January 2028 and unlocked on a monthly basis based on a contractual schedule. The locked tokens are not accessible, are staked, and earn rewards during the lock up period.</w:t>
      </w:r>
    </w:p>
    <w:p>
      <w:pPr>
        <w:pStyle w:val="TextBody"/>
        <w:bidi w:val="0"/>
        <w:spacing w:lineRule="auto" w:line="288" w:before="0" w:after="180"/>
        <w:ind w:left="0" w:right="0" w:hanging="18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Includes various other digital asset balances, none of which individually represented more than 5% of the fair value of total digital assets held at fair value.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Digital Assets Held at Cost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digital assets held at cost, net of impairment, in “Digital assets” in the Condensed Consolidated Balance Sheets. The following table summarizes digital assets held at cost by the Company, and by third-party custodians on behalf of the Company, at June 30, 2026 and December 31, 2025:</w:t>
      </w:r>
    </w:p>
    <w:tbl>
      <w:tblPr>
        <w:tblW w:w="10205" w:type="dxa"/>
        <w:jc w:val="left"/>
        <w:tblInd w:w="0" w:type="dxa"/>
        <w:tblLayout w:type="fixed"/>
        <w:tblCellMar>
          <w:top w:w="28" w:type="dxa"/>
          <w:left w:w="28" w:type="dxa"/>
          <w:bottom w:w="28" w:type="dxa"/>
          <w:right w:w="28" w:type="dxa"/>
        </w:tblCellMar>
      </w:tblPr>
      <w:tblGrid>
        <w:gridCol w:w="551"/>
        <w:gridCol w:w="478"/>
        <w:gridCol w:w="483"/>
        <w:gridCol w:w="638"/>
        <w:gridCol w:w="638"/>
        <w:gridCol w:w="161"/>
        <w:gridCol w:w="109"/>
        <w:gridCol w:w="109"/>
        <w:gridCol w:w="109"/>
        <w:gridCol w:w="196"/>
        <w:gridCol w:w="646"/>
        <w:gridCol w:w="109"/>
        <w:gridCol w:w="109"/>
        <w:gridCol w:w="109"/>
        <w:gridCol w:w="109"/>
        <w:gridCol w:w="230"/>
        <w:gridCol w:w="759"/>
        <w:gridCol w:w="127"/>
        <w:gridCol w:w="109"/>
        <w:gridCol w:w="109"/>
        <w:gridCol w:w="109"/>
        <w:gridCol w:w="638"/>
        <w:gridCol w:w="638"/>
        <w:gridCol w:w="161"/>
        <w:gridCol w:w="109"/>
        <w:gridCol w:w="109"/>
        <w:gridCol w:w="109"/>
        <w:gridCol w:w="196"/>
        <w:gridCol w:w="646"/>
        <w:gridCol w:w="109"/>
        <w:gridCol w:w="109"/>
        <w:gridCol w:w="109"/>
        <w:gridCol w:w="109"/>
        <w:gridCol w:w="228"/>
        <w:gridCol w:w="754"/>
        <w:gridCol w:w="184"/>
      </w:tblGrid>
      <w:tr>
        <w:trPr/>
        <w:tc>
          <w:tcPr>
            <w:tcW w:w="55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held at cost:</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HASH</w:t>
            </w:r>
            <w:r>
              <w:rPr>
                <w:rFonts w:ascii="Times New Roman;serif" w:hAnsi="Times New Roman;serif"/>
                <w:b w:val="false"/>
                <w:color w:val="000000"/>
                <w:sz w:val="10"/>
              </w:rPr>
              <w:t>(A)</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19,768,595,783 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19,873,741,886 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digital assets held at cost</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native utility tokens used by the Company as a medium of exchange (“HASH”), maintained by an affiliated entity. See “Note 11—Related Party Transactions” for additional information regarding the related party relationship.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3370"/>
                <wp:effectExtent l="0" t="0" r="0" b="0"/>
                <wp:wrapNone/>
                <wp:docPr id="19" name="Frame1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Digital Assets Activity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digital assets for the six months ended June 30, 2026 and 2025:</w:t>
      </w:r>
    </w:p>
    <w:tbl>
      <w:tblPr>
        <w:tblW w:w="6995" w:type="dxa"/>
        <w:jc w:val="left"/>
        <w:tblInd w:w="0" w:type="dxa"/>
        <w:tblLayout w:type="fixed"/>
        <w:tblCellMar>
          <w:top w:w="28" w:type="dxa"/>
          <w:left w:w="28" w:type="dxa"/>
          <w:bottom w:w="28" w:type="dxa"/>
          <w:right w:w="28" w:type="dxa"/>
        </w:tblCellMar>
      </w:tblPr>
      <w:tblGrid>
        <w:gridCol w:w="814"/>
        <w:gridCol w:w="716"/>
        <w:gridCol w:w="719"/>
        <w:gridCol w:w="293"/>
        <w:gridCol w:w="968"/>
        <w:gridCol w:w="163"/>
        <w:gridCol w:w="109"/>
        <w:gridCol w:w="109"/>
        <w:gridCol w:w="109"/>
        <w:gridCol w:w="330"/>
        <w:gridCol w:w="1090"/>
        <w:gridCol w:w="184"/>
        <w:gridCol w:w="109"/>
        <w:gridCol w:w="109"/>
        <w:gridCol w:w="109"/>
        <w:gridCol w:w="209"/>
        <w:gridCol w:w="691"/>
        <w:gridCol w:w="16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Held as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Held at Fair Value</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Held at Cost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(B)</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Sales</w:t>
            </w:r>
            <w:r>
              <w:rPr>
                <w:rFonts w:ascii="Times New Roman;serif" w:hAnsi="Times New Roman;serif"/>
                <w:b w:val="false"/>
                <w:color w:val="000000"/>
                <w:sz w:val="10"/>
              </w:rPr>
              <w:t>(C)</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received</w:t>
            </w:r>
            <w:r>
              <w:rPr>
                <w:rFonts w:ascii="Times New Roman;serif" w:hAnsi="Times New Roman;serif"/>
                <w:b w:val="false"/>
                <w:color w:val="000000"/>
                <w:sz w:val="10"/>
              </w:rPr>
              <w:t>(D)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returned</w:t>
            </w:r>
            <w:r>
              <w:rPr>
                <w:rFonts w:ascii="Times New Roman;serif" w:hAnsi="Times New Roman;serif"/>
                <w:b w:val="false"/>
                <w:color w:val="000000"/>
                <w:sz w:val="10"/>
              </w:rPr>
              <w:t>(D)</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Gains</w:t>
            </w:r>
            <w:r>
              <w:rPr>
                <w:rFonts w:ascii="Times New Roman;serif" w:hAnsi="Times New Roman;serif"/>
                <w:b w:val="false"/>
                <w:color w:val="000000"/>
                <w:sz w:val="10"/>
              </w:rPr>
              <w:t>(E)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Distributions from Fund I</w:t>
            </w:r>
            <w:r>
              <w:rPr>
                <w:rFonts w:ascii="Times New Roman;serif" w:hAnsi="Times New Roman;serif"/>
                <w:b w:val="false"/>
                <w:color w:val="000000"/>
                <w:sz w:val="10"/>
              </w:rPr>
              <w:t>(F)</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(G)</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(B)</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Sales</w:t>
            </w:r>
            <w:r>
              <w:rPr>
                <w:rFonts w:ascii="Times New Roman;serif" w:hAnsi="Times New Roman;serif"/>
                <w:b w:val="false"/>
                <w:color w:val="000000"/>
                <w:sz w:val="10"/>
              </w:rPr>
              <w:t>(C)</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(363,458)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received</w:t>
            </w:r>
            <w:r>
              <w:rPr>
                <w:rFonts w:ascii="Times New Roman;serif" w:hAnsi="Times New Roman;serif"/>
                <w:b w:val="false"/>
                <w:color w:val="000000"/>
                <w:sz w:val="10"/>
              </w:rPr>
              <w:t>(D)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returned</w:t>
            </w:r>
            <w:r>
              <w:rPr>
                <w:rFonts w:ascii="Times New Roman;serif" w:hAnsi="Times New Roman;serif"/>
                <w:b w:val="false"/>
                <w:color w:val="000000"/>
                <w:sz w:val="10"/>
              </w:rPr>
              <w:t>(D)</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Gains</w:t>
            </w:r>
            <w:r>
              <w:rPr>
                <w:rFonts w:ascii="Times New Roman;serif" w:hAnsi="Times New Roman;serif"/>
                <w:b w:val="false"/>
                <w:color w:val="000000"/>
                <w:sz w:val="10"/>
              </w:rPr>
              <w:t>(E)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Distributions from Fund I</w:t>
            </w:r>
            <w:r>
              <w:rPr>
                <w:rFonts w:ascii="Times New Roman;serif" w:hAnsi="Times New Roman;serif"/>
                <w:b w:val="false"/>
                <w:color w:val="000000"/>
                <w:sz w:val="10"/>
              </w:rPr>
              <w:t>(F)</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(G)</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30,539 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 xml:space="preserve">Period activity for the six months ended June 30, 2025 has been recast to reflect the reclassification of payment stablecoins from “Digital assets” to “Cash and cash equivalents”. This change resulted in a $(3.5) million change to Purchases activity and a $3.3 million change to Sales activity for the six months ended June 30, 2025. See “Note 2—Summary of Significant Accounting Policies—Change in Accounting Principle”, for further details. </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Includes receipts of digital assets held as well as receipts of digital assets issued in connection with the contributions to liquidity pools.</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Includes transactions related to the settlement and transfer of digital assets held as well as transactions related to the redemption of liquidity pool digital assets.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(D) </w:t>
      </w:r>
      <w:r>
        <w:rPr>
          <w:rFonts w:ascii="Times New Roman;serif" w:hAnsi="Times New Roman;serif"/>
          <w:b w:val="false"/>
          <w:color w:val="000000"/>
          <w:sz w:val="16"/>
        </w:rPr>
        <w:t xml:space="preserve">Collateral received and returned includes movements impacting digital assets held as collateral associated with borrower personal loan activities which can include receipt of digital assets held as collateral related to loan originations, combined loan to value maintenance, and returns of collateral owed to the borrower once a loan has been repaid. </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(E) </w:t>
      </w:r>
      <w:r>
        <w:rPr>
          <w:rFonts w:ascii="Times New Roman;serif" w:hAnsi="Times New Roman;serif"/>
          <w:b w:val="false"/>
          <w:color w:val="000000"/>
          <w:sz w:val="16"/>
        </w:rPr>
        <w:t>Includes realized gains incurred on the sale of digital assets held for sale, and the recognition of income associated to blockchain staking rewards which are reflected in “Other income (expense), net” in the Condensed Consolidated Statements of Operations. No realized gains were recorded for digital assets held as collateral, as the liquidation of collateral reduces the corresponding liability and cash proceeds are applied to the borrower’s personal loan balance.</w:t>
      </w:r>
    </w:p>
    <w:p>
      <w:pPr>
        <w:pStyle w:val="TextBody"/>
        <w:bidi w:val="0"/>
        <w:spacing w:lineRule="auto" w:line="288" w:before="0" w:after="0"/>
        <w:ind w:left="0" w:right="0" w:hanging="180"/>
        <w:jc w:val="both"/>
        <w:rPr/>
      </w:pPr>
      <w:r>
        <w:rPr>
          <w:rFonts w:ascii="Times New Roman;serif" w:hAnsi="Times New Roman;serif"/>
          <w:b w:val="false"/>
          <w:color w:val="000000"/>
          <w:sz w:val="10"/>
        </w:rPr>
        <w:t>(F)</w:t>
      </w:r>
      <w:r>
        <w:rPr>
          <w:color w:val="000000"/>
        </w:rPr>
        <w:t xml:space="preserve"> </w:t>
      </w:r>
      <w:r>
        <w:rPr>
          <w:rFonts w:ascii="Times New Roman;serif" w:hAnsi="Times New Roman;serif"/>
          <w:b w:val="false"/>
          <w:color w:val="000000"/>
          <w:sz w:val="16"/>
          <w:shd w:fill="FFFFFF" w:val="clear"/>
        </w:rPr>
        <w:t xml:space="preserve">Represents distributions of digital assets received from SOL Opportunity Fund L.P. </w:t>
      </w:r>
      <w:r>
        <w:rPr>
          <w:rFonts w:ascii="Times New Roman;serif" w:hAnsi="Times New Roman;serif"/>
          <w:b w:val="false"/>
          <w:color w:val="000000"/>
          <w:sz w:val="16"/>
        </w:rPr>
        <w:t xml:space="preserve">(“Domestic Solana Fund”), </w:t>
      </w:r>
      <w:r>
        <w:rPr>
          <w:rFonts w:ascii="Times New Roman;serif" w:hAnsi="Times New Roman;serif"/>
          <w:b w:val="false"/>
          <w:color w:val="000000"/>
          <w:sz w:val="16"/>
          <w:shd w:fill="FFFFFF" w:val="clear"/>
        </w:rPr>
        <w:t>a dom</w:t>
      </w:r>
      <w:r>
        <w:rPr>
          <w:rFonts w:ascii="Times New Roman;serif" w:hAnsi="Times New Roman;serif"/>
          <w:b w:val="false"/>
          <w:color w:val="000000"/>
          <w:sz w:val="16"/>
        </w:rPr>
        <w:t>estic fund that invests primarily in SOL.</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(G) </w:t>
      </w:r>
      <w:r>
        <w:rPr>
          <w:rFonts w:ascii="Times New Roman;serif" w:hAnsi="Times New Roman;serif"/>
          <w:b w:val="false"/>
          <w:color w:val="000000"/>
          <w:sz w:val="16"/>
        </w:rPr>
        <w:t>There is a corresponding liability to return digital assets held as collateral that is an embedded derivative. The embedded derivative and the host contract are reported within “Other current liabilities” on the Condensed Consolidated Balance Sheets. The change in the fair value of the embedded derivative and the change in the digital assets held as collateral have a naturally offsetting relationship and are recorded within “Other income (expense), net”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3370"/>
                <wp:effectExtent l="0" t="0" r="0" b="0"/>
                <wp:wrapNone/>
                <wp:docPr id="20" name="Frame2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the following minority investments in certain entities not considered significant to the Company which are reported in “Other non-current assets” in the Condensed Consolidated Balance Sheets. Following the disposal of all ownership interest in Reflow Services, LLC, as discussed in “Note 11—Related Party Transactions” the Company’s net income earned from equity-method investees is primarily recorded within Other income (expense), net in the Condensed Consolidated Statements of Operations. The following table presents the carrying value of these investments at June 30, 2026 and December 31, 2025:</w:t>
      </w:r>
    </w:p>
    <w:tbl>
      <w:tblPr>
        <w:tblW w:w="7002" w:type="dxa"/>
        <w:jc w:val="left"/>
        <w:tblInd w:w="0" w:type="dxa"/>
        <w:tblLayout w:type="fixed"/>
        <w:tblCellMar>
          <w:top w:w="28" w:type="dxa"/>
          <w:left w:w="28" w:type="dxa"/>
          <w:bottom w:w="28" w:type="dxa"/>
          <w:right w:w="28" w:type="dxa"/>
        </w:tblCellMar>
      </w:tblPr>
      <w:tblGrid>
        <w:gridCol w:w="965"/>
        <w:gridCol w:w="849"/>
        <w:gridCol w:w="855"/>
        <w:gridCol w:w="279"/>
        <w:gridCol w:w="279"/>
        <w:gridCol w:w="626"/>
        <w:gridCol w:w="109"/>
        <w:gridCol w:w="109"/>
        <w:gridCol w:w="109"/>
        <w:gridCol w:w="196"/>
        <w:gridCol w:w="646"/>
        <w:gridCol w:w="109"/>
        <w:gridCol w:w="109"/>
        <w:gridCol w:w="109"/>
        <w:gridCol w:w="109"/>
        <w:gridCol w:w="334"/>
        <w:gridCol w:w="948"/>
        <w:gridCol w:w="262"/>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investees:</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Domestic Solana Fund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Reflow Services, LLC</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 SIX Mortgage, LLC</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Evergreen Funds</w:t>
            </w:r>
            <w:r>
              <w:rPr>
                <w:rFonts w:ascii="Times New Roman;serif" w:hAnsi="Times New Roman;serif"/>
                <w:b w:val="false"/>
                <w:color w:val="000000"/>
                <w:sz w:val="10"/>
              </w:rPr>
              <w:t>(A)</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 method investments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alternative investments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 investments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 xml:space="preserve">The Evergreen Funds represent the Company’s 33.3% and 55% interest in VS Evergreen Fund GP LLC and VS Evergreen Financing Fund LP, respectively. The Company does not consolidate the Evergreen Funds as the Company is not the primary beneficiary.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equity investments:</w:t>
      </w:r>
    </w:p>
    <w:tbl>
      <w:tblPr>
        <w:tblW w:w="9252" w:type="dxa"/>
        <w:jc w:val="left"/>
        <w:tblInd w:w="0" w:type="dxa"/>
        <w:tblLayout w:type="fixed"/>
        <w:tblCellMar>
          <w:top w:w="28" w:type="dxa"/>
          <w:left w:w="28" w:type="dxa"/>
          <w:bottom w:w="28" w:type="dxa"/>
          <w:right w:w="28" w:type="dxa"/>
        </w:tblCellMar>
      </w:tblPr>
      <w:tblGrid>
        <w:gridCol w:w="966"/>
        <w:gridCol w:w="850"/>
        <w:gridCol w:w="853"/>
        <w:gridCol w:w="429"/>
        <w:gridCol w:w="1415"/>
        <w:gridCol w:w="240"/>
        <w:gridCol w:w="109"/>
        <w:gridCol w:w="109"/>
        <w:gridCol w:w="109"/>
        <w:gridCol w:w="648"/>
        <w:gridCol w:w="1840"/>
        <w:gridCol w:w="361"/>
        <w:gridCol w:w="109"/>
        <w:gridCol w:w="109"/>
        <w:gridCol w:w="109"/>
        <w:gridCol w:w="196"/>
        <w:gridCol w:w="64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Alternative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investee earnings</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received</w:t>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alternative adjustments</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investee earnings</w:t>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received</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Disposals</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16,246 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4</w:t>
      </w:r>
      <w:r>
        <w:rPr>
          <w:color w:val="000000"/>
        </w:rPr>
        <w:t>—</w:t>
      </w:r>
      <w:r>
        <w:rPr>
          <w:rFonts w:ascii="Times New Roman;serif" w:hAnsi="Times New Roman;serif"/>
          <w:b/>
          <w:color w:val="000000"/>
          <w:sz w:val="20"/>
        </w:rPr>
        <w:t>SERVICING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servicing assets at June 30, 2026 and December 31, 2025:</w:t>
      </w:r>
    </w:p>
    <w:tbl>
      <w:tblPr>
        <w:tblW w:w="10205" w:type="dxa"/>
        <w:jc w:val="left"/>
        <w:tblInd w:w="0" w:type="dxa"/>
        <w:tblLayout w:type="fixed"/>
        <w:tblCellMar>
          <w:top w:w="28" w:type="dxa"/>
          <w:left w:w="28" w:type="dxa"/>
          <w:bottom w:w="28" w:type="dxa"/>
          <w:right w:w="28" w:type="dxa"/>
        </w:tblCellMar>
      </w:tblPr>
      <w:tblGrid>
        <w:gridCol w:w="446"/>
        <w:gridCol w:w="328"/>
        <w:gridCol w:w="330"/>
        <w:gridCol w:w="238"/>
        <w:gridCol w:w="1172"/>
        <w:gridCol w:w="132"/>
        <w:gridCol w:w="109"/>
        <w:gridCol w:w="109"/>
        <w:gridCol w:w="109"/>
        <w:gridCol w:w="368"/>
        <w:gridCol w:w="368"/>
        <w:gridCol w:w="241"/>
        <w:gridCol w:w="109"/>
        <w:gridCol w:w="109"/>
        <w:gridCol w:w="109"/>
        <w:gridCol w:w="221"/>
        <w:gridCol w:w="831"/>
        <w:gridCol w:w="122"/>
        <w:gridCol w:w="109"/>
        <w:gridCol w:w="109"/>
        <w:gridCol w:w="109"/>
        <w:gridCol w:w="238"/>
        <w:gridCol w:w="1172"/>
        <w:gridCol w:w="132"/>
        <w:gridCol w:w="109"/>
        <w:gridCol w:w="109"/>
        <w:gridCol w:w="109"/>
        <w:gridCol w:w="369"/>
        <w:gridCol w:w="367"/>
        <w:gridCol w:w="265"/>
        <w:gridCol w:w="109"/>
        <w:gridCol w:w="109"/>
        <w:gridCol w:w="109"/>
        <w:gridCol w:w="220"/>
        <w:gridCol w:w="827"/>
        <w:gridCol w:w="183"/>
      </w:tblGrid>
      <w:tr>
        <w:trPr/>
        <w:tc>
          <w:tcPr>
            <w:tcW w:w="4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 of Underlying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 of Underlying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Loan Count</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17,199,333 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12,783,215 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172,540 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servicing assets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17,341,095 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224,904 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155,024 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12,930,483 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172,810 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loan servicing assets at fair value. The total carrying value includes $63.8 million of collateralized loan servicing rights at December 31, 2025. See “Note 6—Debt” and “Note 12—Fair Value Measurements” for additional information regarding the mortgage service right (“MSR”) financing arrangement and valuation of the Company’s servicing rights, respectively.</w:t>
      </w:r>
    </w:p>
    <w:p>
      <w:pPr>
        <w:pStyle w:val="TextBody"/>
        <w:bidi w:val="0"/>
        <w:spacing w:lineRule="auto" w:line="288" w:before="0" w:after="180"/>
        <w:ind w:left="0" w:right="0" w:hanging="18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The loan count for HELOC loans was incorrectly presented in thousands, instead of ones, at December 31, 2025, and has been corrected to be properly presented in 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3370"/>
                <wp:effectExtent l="0" t="0" r="0" b="0"/>
                <wp:wrapNone/>
                <wp:docPr id="21" name="Frame2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the Company’s servicing assets for the six months ended June 30, 2025 and 2026:</w:t>
      </w:r>
    </w:p>
    <w:tbl>
      <w:tblPr>
        <w:tblW w:w="4250" w:type="dxa"/>
        <w:jc w:val="left"/>
        <w:tblInd w:w="0" w:type="dxa"/>
        <w:tblLayout w:type="fixed"/>
        <w:tblCellMar>
          <w:top w:w="28" w:type="dxa"/>
          <w:left w:w="28" w:type="dxa"/>
          <w:bottom w:w="28" w:type="dxa"/>
          <w:right w:w="28" w:type="dxa"/>
        </w:tblCellMar>
      </w:tblPr>
      <w:tblGrid>
        <w:gridCol w:w="1145"/>
        <w:gridCol w:w="1007"/>
        <w:gridCol w:w="1012"/>
        <w:gridCol w:w="196"/>
        <w:gridCol w:w="73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due to:</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Additions</w:t>
            </w:r>
            <w:r>
              <w:rPr>
                <w:rFonts w:ascii="Times New Roman;serif" w:hAnsi="Times New Roman;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Realization of cash flows</w:t>
            </w:r>
            <w:r>
              <w:rPr>
                <w:rFonts w:ascii="Times New Roman;serif" w:hAnsi="Times New Roman;serif"/>
                <w:b w:val="false"/>
                <w:color w:val="000000"/>
                <w:sz w:val="10"/>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impact of change to fair value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due to:</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Additions</w:t>
            </w:r>
            <w:r>
              <w:rPr>
                <w:rFonts w:ascii="Times New Roman;serif" w:hAnsi="Times New Roman;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Realization of cash flows</w:t>
            </w:r>
            <w:r>
              <w:rPr>
                <w:rFonts w:ascii="Times New Roman;serif" w:hAnsi="Times New Roman;serif"/>
                <w:b w:val="false"/>
                <w:color w:val="000000"/>
                <w:sz w:val="10"/>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impact of change to fair value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Represents the fair value of servicing rights retained upon sale of originated and purchased loans.</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Based on the paydown of the underlying loans.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geographic concentration of the loans underlying the servicing rights at June 30, 2026 and December 31, 2025:</w:t>
      </w:r>
    </w:p>
    <w:tbl>
      <w:tblPr>
        <w:tblW w:w="7657" w:type="dxa"/>
        <w:jc w:val="left"/>
        <w:tblInd w:w="0" w:type="dxa"/>
        <w:tblLayout w:type="fixed"/>
        <w:tblCellMar>
          <w:top w:w="28" w:type="dxa"/>
          <w:left w:w="28" w:type="dxa"/>
          <w:bottom w:w="28" w:type="dxa"/>
          <w:right w:w="28" w:type="dxa"/>
        </w:tblCellMar>
      </w:tblPr>
      <w:tblGrid>
        <w:gridCol w:w="292"/>
        <w:gridCol w:w="258"/>
        <w:gridCol w:w="261"/>
        <w:gridCol w:w="274"/>
        <w:gridCol w:w="1344"/>
        <w:gridCol w:w="152"/>
        <w:gridCol w:w="109"/>
        <w:gridCol w:w="109"/>
        <w:gridCol w:w="109"/>
        <w:gridCol w:w="278"/>
        <w:gridCol w:w="278"/>
        <w:gridCol w:w="475"/>
        <w:gridCol w:w="109"/>
        <w:gridCol w:w="109"/>
        <w:gridCol w:w="109"/>
        <w:gridCol w:w="274"/>
        <w:gridCol w:w="1344"/>
        <w:gridCol w:w="152"/>
        <w:gridCol w:w="109"/>
        <w:gridCol w:w="109"/>
        <w:gridCol w:w="109"/>
        <w:gridCol w:w="278"/>
        <w:gridCol w:w="278"/>
        <w:gridCol w:w="475"/>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 Outstanding</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 Outstanding</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4,135,498 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3,239,619 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Florida</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2,002,340 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1,553,217 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(B)</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11,203,257 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8,137,647 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17,341,095 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12,930,483 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the principal balance of loans that the Company services.</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 xml:space="preserve">The Company did not service loans in any state or U.S. territory contained in “Other” aggregating to more than 5% of the total amount outstanding of the loans that the Company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its servicing operations, the Company held principal, interest, and other borrower payments of $487.5 million and $364.9 million at June 30, 2026 and December 31, 2025, respectively, due to third-party loan buyers recorded within “Payables to third-party loan owners” in the Condensed Consolidated Balance Sheets. The Company makes payments on these arrangements by remitting amounts due from proceeds received from borrower payments on the underlying loans.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5</w:t>
      </w:r>
      <w:r>
        <w:rPr>
          <w:color w:val="000000"/>
        </w:rPr>
        <w:t>—</w:t>
      </w:r>
      <w:r>
        <w:rPr>
          <w:rFonts w:ascii="Times New Roman;serif" w:hAnsi="Times New Roman;serif"/>
          <w:b/>
          <w:color w:val="000000"/>
          <w:sz w:val="20"/>
        </w:rPr>
        <w:t>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loans at fair value, see “Note 12—Fair Value Measurements” for additional information regarding the valuation of loans.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loans held by the Company at June 30, 2026 and December 31, 2025:</w:t>
      </w:r>
    </w:p>
    <w:tbl>
      <w:tblPr>
        <w:tblW w:w="6975" w:type="dxa"/>
        <w:jc w:val="left"/>
        <w:tblInd w:w="0" w:type="dxa"/>
        <w:tblLayout w:type="fixed"/>
        <w:tblCellMar>
          <w:top w:w="28" w:type="dxa"/>
          <w:left w:w="28" w:type="dxa"/>
          <w:bottom w:w="28" w:type="dxa"/>
          <w:right w:w="28" w:type="dxa"/>
        </w:tblCellMar>
      </w:tblPr>
      <w:tblGrid>
        <w:gridCol w:w="647"/>
        <w:gridCol w:w="567"/>
        <w:gridCol w:w="57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0"/>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sale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3370"/>
                <wp:effectExtent l="0" t="0" r="0" b="0"/>
                <wp:wrapNone/>
                <wp:docPr id="22" name="Frame2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total carrying value of HELOC loans includes $108.5 million and $21.7 million of collateralized HELOCs under repurchase agreements at June 30, 2026 and December 31, 2025, respectively, which are not for sale while collateralized. See “Note 6</w:t>
      </w:r>
      <w:r>
        <w:rPr>
          <w:color w:val="000000"/>
        </w:rPr>
        <w:t>—</w:t>
      </w:r>
      <w:r>
        <w:rPr>
          <w:rFonts w:ascii="Times New Roman;serif" w:hAnsi="Times New Roman;serif"/>
          <w:b w:val="false"/>
          <w:color w:val="000000"/>
          <w:sz w:val="16"/>
        </w:rPr>
        <w:t>Debt” and “Note 12</w:t>
      </w:r>
      <w:r>
        <w:rPr>
          <w:color w:val="000000"/>
        </w:rPr>
        <w:t>—</w:t>
      </w:r>
      <w:r>
        <w:rPr>
          <w:rFonts w:ascii="Times New Roman;serif" w:hAnsi="Times New Roman;serif"/>
          <w:b w:val="false"/>
          <w:color w:val="000000"/>
          <w:sz w:val="16"/>
        </w:rPr>
        <w:t>Fair Value Measurements” for additional information regarding funding debt outstanding and valuation of the Company’s loans at fair value,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Loans collateralized by digital assets.</w:t>
      </w:r>
    </w:p>
    <w:p>
      <w:pPr>
        <w:pStyle w:val="TextBody"/>
        <w:bidi w:val="0"/>
        <w:spacing w:lineRule="auto" w:line="288" w:before="0" w:after="18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Primarily contains residential transition loans, other mortgage loans, legacy mortgages and other unsecured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are generally placed on nonaccrual status when principal or interest is 90 days or more past due. The Company does not consider the average carrying values and interest income recognized (including interest income recognized using a cash-basis method) material for nonaccrual loans. The Company placed loans held for sale with an aggregate unpaid principal balance (UPB) of $14.1 million and $2.4 million and fair value of $14.6 million and $1.6 million on nonaccrual status at June 30, 2026 and December 31, 2025,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hold any loans for investment at June 30, 2026 or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past due status and difference between the aggregate UPB and the aggregate carrying value of loans held by the Company at June 30, 2026 and December 31, 2025.</w:t>
      </w:r>
    </w:p>
    <w:tbl>
      <w:tblPr>
        <w:tblW w:w="10205" w:type="dxa"/>
        <w:jc w:val="left"/>
        <w:tblInd w:w="0" w:type="dxa"/>
        <w:tblLayout w:type="fixed"/>
        <w:tblCellMar>
          <w:top w:w="28" w:type="dxa"/>
          <w:left w:w="28" w:type="dxa"/>
          <w:bottom w:w="28" w:type="dxa"/>
          <w:right w:w="28" w:type="dxa"/>
        </w:tblCellMar>
      </w:tblPr>
      <w:tblGrid>
        <w:gridCol w:w="540"/>
        <w:gridCol w:w="352"/>
        <w:gridCol w:w="353"/>
        <w:gridCol w:w="196"/>
        <w:gridCol w:w="736"/>
        <w:gridCol w:w="109"/>
        <w:gridCol w:w="109"/>
        <w:gridCol w:w="109"/>
        <w:gridCol w:w="109"/>
        <w:gridCol w:w="208"/>
        <w:gridCol w:w="784"/>
        <w:gridCol w:w="116"/>
        <w:gridCol w:w="109"/>
        <w:gridCol w:w="109"/>
        <w:gridCol w:w="109"/>
        <w:gridCol w:w="313"/>
        <w:gridCol w:w="1032"/>
        <w:gridCol w:w="174"/>
        <w:gridCol w:w="109"/>
        <w:gridCol w:w="109"/>
        <w:gridCol w:w="109"/>
        <w:gridCol w:w="196"/>
        <w:gridCol w:w="736"/>
        <w:gridCol w:w="109"/>
        <w:gridCol w:w="109"/>
        <w:gridCol w:w="109"/>
        <w:gridCol w:w="109"/>
        <w:gridCol w:w="208"/>
        <w:gridCol w:w="784"/>
        <w:gridCol w:w="116"/>
        <w:gridCol w:w="109"/>
        <w:gridCol w:w="109"/>
        <w:gridCol w:w="109"/>
        <w:gridCol w:w="325"/>
        <w:gridCol w:w="923"/>
        <w:gridCol w:w="260"/>
      </w:tblGrid>
      <w:tr>
        <w:trPr/>
        <w:tc>
          <w:tcPr>
            <w:tcW w:w="5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Payment Status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 Over (Under)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Carrying Value Over (Under) UPB</w:t>
            </w:r>
          </w:p>
        </w:tc>
      </w:tr>
      <w:tr>
        <w:trPr/>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8,760 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to 59 days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 to 89 days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90 days or more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Forbearance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sale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7,862 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loan activity for the six months ended June 30, 2025 and 2026: </w:t>
      </w:r>
    </w:p>
    <w:tbl>
      <w:tblPr>
        <w:tblW w:w="3839" w:type="dxa"/>
        <w:jc w:val="left"/>
        <w:tblInd w:w="0" w:type="dxa"/>
        <w:tblLayout w:type="fixed"/>
        <w:tblCellMar>
          <w:top w:w="28" w:type="dxa"/>
          <w:left w:w="28" w:type="dxa"/>
          <w:bottom w:w="28" w:type="dxa"/>
          <w:right w:w="28" w:type="dxa"/>
        </w:tblCellMar>
      </w:tblPr>
      <w:tblGrid>
        <w:gridCol w:w="814"/>
        <w:gridCol w:w="716"/>
        <w:gridCol w:w="719"/>
        <w:gridCol w:w="287"/>
        <w:gridCol w:w="1078"/>
        <w:gridCol w:w="225"/>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Loans Held for Sale</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1,302,388 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1,488,206 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net of repurchases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(2,639,933)</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(209,521)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(A)</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not yet repurchased</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333,629 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2,432,718 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2,690,665 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net of repurchases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(4,547,412)</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(395,192)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(A)</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not yet repurchased</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Change in fair value of loans are reflected in “Gain on sale of loans, net” in the 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top five loan originators for the six months ended June 30, 2026 and 2025 originated $2.9 billion and $1.4 billion unpaid principal balance of loans, or 40.2% and 42.8% of loan origination volume.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top five loan originators represented 19.3% and 22.5% of total net revenue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3370"/>
                <wp:effectExtent l="0" t="0" r="0" b="0"/>
                <wp:wrapNone/>
                <wp:docPr id="23" name="Frame2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top five loan purchasers for the six months ended June 30, 2026 and 2025 purchased $4.1 billion and $1.5 billion unpaid principal balance of loans, or 54.4% and 45.8%, of total unpaid principal balance of loans sold by the Company, excluding zero and $574.7 million unpaid principal balance contributed and securitized by the Company, whose “Gain on sale of loans, net” revenue represent 27.0% and 23.4% of total net revenue, respectively.</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6</w:t>
      </w:r>
      <w:r>
        <w:rPr>
          <w:color w:val="000000"/>
        </w:rPr>
        <w:t>—</w:t>
      </w:r>
      <w:r>
        <w:rPr>
          <w:rFonts w:ascii="Times New Roman;serif" w:hAnsi="Times New Roman;serif"/>
          <w:b/>
          <w:color w:val="000000"/>
          <w:sz w:val="20"/>
        </w:rPr>
        <w:t>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debt components:</w:t>
      </w:r>
    </w:p>
    <w:tbl>
      <w:tblPr>
        <w:tblW w:w="10205" w:type="dxa"/>
        <w:jc w:val="left"/>
        <w:tblInd w:w="0" w:type="dxa"/>
        <w:tblLayout w:type="fixed"/>
        <w:tblCellMar>
          <w:top w:w="28" w:type="dxa"/>
          <w:left w:w="28" w:type="dxa"/>
          <w:bottom w:w="28" w:type="dxa"/>
          <w:right w:w="28" w:type="dxa"/>
        </w:tblCellMar>
      </w:tblPr>
      <w:tblGrid>
        <w:gridCol w:w="824"/>
        <w:gridCol w:w="416"/>
        <w:gridCol w:w="420"/>
        <w:gridCol w:w="206"/>
        <w:gridCol w:w="774"/>
        <w:gridCol w:w="114"/>
        <w:gridCol w:w="109"/>
        <w:gridCol w:w="109"/>
        <w:gridCol w:w="109"/>
        <w:gridCol w:w="391"/>
        <w:gridCol w:w="347"/>
        <w:gridCol w:w="348"/>
        <w:gridCol w:w="109"/>
        <w:gridCol w:w="109"/>
        <w:gridCol w:w="109"/>
        <w:gridCol w:w="367"/>
        <w:gridCol w:w="356"/>
        <w:gridCol w:w="357"/>
        <w:gridCol w:w="109"/>
        <w:gridCol w:w="109"/>
        <w:gridCol w:w="109"/>
        <w:gridCol w:w="315"/>
        <w:gridCol w:w="295"/>
        <w:gridCol w:w="653"/>
        <w:gridCol w:w="109"/>
        <w:gridCol w:w="109"/>
        <w:gridCol w:w="109"/>
        <w:gridCol w:w="266"/>
        <w:gridCol w:w="756"/>
        <w:gridCol w:w="148"/>
        <w:gridCol w:w="109"/>
        <w:gridCol w:w="109"/>
        <w:gridCol w:w="109"/>
        <w:gridCol w:w="218"/>
        <w:gridCol w:w="818"/>
        <w:gridCol w:w="181"/>
      </w:tblGrid>
      <w:tr>
        <w:trPr/>
        <w:tc>
          <w:tcPr>
            <w:tcW w:w="82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Facility Inception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Final Stated Maturity</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Funding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carried at cost:</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1</w:t>
            </w:r>
            <w:r>
              <w:rPr>
                <w:rFonts w:ascii="Times New Roman;serif" w:hAnsi="Times New Roman;serif"/>
                <w:b w:val="false"/>
                <w:color w:val="000000"/>
                <w:sz w:val="10"/>
              </w:rPr>
              <w:t>(B)</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2</w:t>
            </w:r>
            <w:r>
              <w:rPr>
                <w:rFonts w:ascii="Times New Roman;serif" w:hAnsi="Times New Roman;serif"/>
                <w:b w:val="false"/>
                <w:color w:val="000000"/>
                <w:sz w:val="10"/>
              </w:rPr>
              <w:t>(C)</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3</w:t>
            </w:r>
            <w:r>
              <w:rPr>
                <w:rFonts w:ascii="Times New Roman;serif" w:hAnsi="Times New Roman;serif"/>
                <w:b w:val="false"/>
                <w:color w:val="000000"/>
                <w:sz w:val="10"/>
              </w:rPr>
              <w:t>(D)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REIT Warehouse</w:t>
            </w:r>
            <w:r>
              <w:rPr>
                <w:rFonts w:ascii="Times New Roman;serif" w:hAnsi="Times New Roman;serif"/>
                <w:b w:val="false"/>
                <w:color w:val="000000"/>
                <w:sz w:val="10"/>
              </w:rPr>
              <w:t>(E)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5</w:t>
            </w:r>
            <w:r>
              <w:rPr>
                <w:rFonts w:ascii="Times New Roman;serif" w:hAnsi="Times New Roman;serif"/>
                <w:b w:val="false"/>
                <w:color w:val="000000"/>
                <w:sz w:val="10"/>
              </w:rPr>
              <w:t>(F)</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6</w:t>
            </w:r>
            <w:r>
              <w:rPr>
                <w:rFonts w:ascii="Times New Roman;serif" w:hAnsi="Times New Roman;serif"/>
                <w:b w:val="false"/>
                <w:color w:val="000000"/>
                <w:sz w:val="10"/>
              </w:rPr>
              <w:t>(G)</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7</w:t>
            </w:r>
            <w:r>
              <w:rPr>
                <w:rFonts w:ascii="Times New Roman;serif" w:hAnsi="Times New Roman;serif"/>
                <w:b w:val="false"/>
                <w:color w:val="000000"/>
                <w:sz w:val="10"/>
              </w:rPr>
              <w:t>(H)</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 Loan Facility</w:t>
            </w:r>
            <w:r>
              <w:rPr>
                <w:rFonts w:ascii="Times New Roman;serif" w:hAnsi="Times New Roman;serif"/>
                <w:b w:val="false"/>
                <w:color w:val="000000"/>
                <w:sz w:val="10"/>
              </w:rPr>
              <w:t>(I)</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MSR financing:</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Lender 1</w:t>
            </w:r>
            <w:r>
              <w:rPr>
                <w:rFonts w:ascii="Times New Roman;serif" w:hAnsi="Times New Roman;serif"/>
                <w:b w:val="false"/>
                <w:color w:val="000000"/>
                <w:sz w:val="10"/>
              </w:rPr>
              <w:t>(J)</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Financed retained interests: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Retained Interest Facility</w:t>
            </w:r>
            <w:r>
              <w:rPr>
                <w:rFonts w:ascii="Times New Roman;serif" w:hAnsi="Times New Roman;serif"/>
                <w:b w:val="false"/>
                <w:color w:val="000000"/>
                <w:sz w:val="10"/>
              </w:rPr>
              <w:t>(L)</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Various</w:t>
            </w:r>
            <w:r>
              <w:rPr>
                <w:rFonts w:ascii="Times New Roman;serif" w:hAnsi="Times New Roman;serif"/>
                <w:b w:val="false"/>
                <w:color w:val="000000"/>
                <w:sz w:val="10"/>
              </w:rPr>
              <w:t>(K)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carried at cost, gross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Unamortized deferred financing costs</w:t>
            </w:r>
            <w:r>
              <w:rPr>
                <w:rFonts w:ascii="Times New Roman;serif" w:hAnsi="Times New Roman;serif"/>
                <w:b w:val="false"/>
                <w:color w:val="000000"/>
                <w:sz w:val="10"/>
              </w:rPr>
              <w:t>(M)</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carried at cost, net</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290,583 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at fair value:</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FCC</w:t>
            </w:r>
            <w:r>
              <w:rPr>
                <w:rFonts w:ascii="Times New Roman;serif" w:hAnsi="Times New Roman;serif"/>
                <w:b w:val="false"/>
                <w:color w:val="000000"/>
                <w:sz w:val="10"/>
              </w:rPr>
              <w:t>(N)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Democratized Prime YLDS</w:t>
            </w:r>
            <w:r>
              <w:rPr>
                <w:rFonts w:ascii="Times New Roman;serif" w:hAnsi="Times New Roman;serif"/>
                <w:b w:val="false"/>
                <w:color w:val="000000"/>
                <w:sz w:val="10"/>
              </w:rPr>
              <w:t>(O)</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at fair value to related parties: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FCC - related parties</w:t>
            </w:r>
            <w:r>
              <w:rPr>
                <w:rFonts w:ascii="Times New Roman;serif" w:hAnsi="Times New Roman;serif"/>
                <w:b w:val="false"/>
                <w:color w:val="000000"/>
                <w:sz w:val="10"/>
              </w:rPr>
              <w:t>(N)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Democratized Prime YLDS - related parties</w:t>
            </w:r>
            <w:r>
              <w:rPr>
                <w:rFonts w:ascii="Times New Roman;serif" w:hAnsi="Times New Roman;serif"/>
                <w:b w:val="false"/>
                <w:color w:val="000000"/>
                <w:sz w:val="10"/>
              </w:rPr>
              <w:t>(O)</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166,135 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carried at fair value</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962,995 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557,237 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Debt obligations with a stated maturity through the date of issuance of the Condensed Consolidated Financial Statements were refinanced, extended or repaid.</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Warehouse Facility 1 bears interest at Secured Overnight Financing Rate (“SOFR”) plus a spread of 2.25% at June 30, 2026.</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Warehouse Facility 2 bears variable interest at SOFR plus a spread between 2.15% and 5.50% at June 30, 2026. A portion of the facility is also subject to a 0.5% non-use fee.</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 xml:space="preserve">Warehouse Facility 3 is an advance facility in which the lender earns carry on collateral in the facility. </w:t>
      </w:r>
    </w:p>
    <w:p>
      <w:pPr>
        <w:pStyle w:val="TextBody"/>
        <w:bidi w:val="0"/>
        <w:spacing w:lineRule="auto" w:line="288" w:before="0" w:after="0"/>
        <w:ind w:left="0" w:right="0" w:hanging="180"/>
        <w:jc w:val="both"/>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Real Estate Investment Trust (“REIT”) Warehouse was the warehouse for Figure REIT, Inc. As of March 27, 2026, Figure REIT, Inc. merged with and into VS Evergreen Acquisition Co. L.P.. As a result of the merger, Figure REIT, Inc. is no longer controlled nor consolidated by FTS. See “Note 7—Equity—Noncontrolling Interests in Consolidated Subsidiaries”, for further discussion on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3370"/>
                <wp:effectExtent l="0" t="0" r="0" b="0"/>
                <wp:wrapNone/>
                <wp:docPr id="24" name="Frame2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(F)    </w:t>
      </w:r>
      <w:r>
        <w:rPr>
          <w:rFonts w:ascii="Times New Roman;serif" w:hAnsi="Times New Roman;serif"/>
          <w:b w:val="false"/>
          <w:color w:val="000000"/>
          <w:sz w:val="16"/>
        </w:rPr>
        <w:t>Warehouse Facility 5 bears interest at SOFR, plus a spread of 2.35%.</w:t>
      </w:r>
    </w:p>
    <w:p>
      <w:pPr>
        <w:pStyle w:val="TextBody"/>
        <w:bidi w:val="0"/>
        <w:spacing w:lineRule="auto" w:line="288" w:before="0" w:after="0"/>
        <w:ind w:left="0" w:right="0" w:hanging="180"/>
        <w:jc w:val="both"/>
        <w:rPr/>
      </w:pPr>
      <w:r>
        <w:rPr>
          <w:rFonts w:ascii="Times New Roman;serif" w:hAnsi="Times New Roman;serif"/>
          <w:b w:val="false"/>
          <w:color w:val="000000"/>
          <w:sz w:val="10"/>
        </w:rPr>
        <w:t>(G)    </w:t>
      </w:r>
      <w:r>
        <w:rPr>
          <w:rFonts w:ascii="Times New Roman;serif" w:hAnsi="Times New Roman;serif"/>
          <w:b w:val="false"/>
          <w:color w:val="000000"/>
          <w:sz w:val="16"/>
        </w:rPr>
        <w:t>Warehouse Facility 6 bears interest at SOFR, subject to a 2.00% floor, plus a spread of 1.75%.</w:t>
      </w:r>
    </w:p>
    <w:p>
      <w:pPr>
        <w:pStyle w:val="TextBody"/>
        <w:bidi w:val="0"/>
        <w:spacing w:lineRule="auto" w:line="288" w:before="0" w:after="0"/>
        <w:ind w:left="0" w:right="0" w:hanging="180"/>
        <w:jc w:val="both"/>
        <w:rPr/>
      </w:pPr>
      <w:r>
        <w:rPr>
          <w:rFonts w:ascii="Times New Roman;serif" w:hAnsi="Times New Roman;serif"/>
          <w:b w:val="false"/>
          <w:color w:val="000000"/>
          <w:sz w:val="10"/>
        </w:rPr>
        <w:t>(H)    </w:t>
      </w:r>
      <w:r>
        <w:rPr>
          <w:rFonts w:ascii="Times New Roman;serif" w:hAnsi="Times New Roman;serif"/>
          <w:b w:val="false"/>
          <w:color w:val="000000"/>
          <w:sz w:val="16"/>
        </w:rPr>
        <w:t>Warehouse Facility 7 bears interest at SOFR subject to a 2.00% floor plus a spread ranging from 3.50% up to 5.75% based on the quality of the pledged loans.</w:t>
      </w:r>
    </w:p>
    <w:p>
      <w:pPr>
        <w:pStyle w:val="TextBody"/>
        <w:bidi w:val="0"/>
        <w:spacing w:lineRule="auto" w:line="288" w:before="0" w:after="0"/>
        <w:ind w:left="0" w:right="0" w:hanging="180"/>
        <w:jc w:val="both"/>
        <w:rPr/>
      </w:pPr>
      <w:r>
        <w:rPr>
          <w:rFonts w:ascii="Times New Roman;serif" w:hAnsi="Times New Roman;serif"/>
          <w:b w:val="false"/>
          <w:color w:val="000000"/>
          <w:sz w:val="10"/>
        </w:rPr>
        <w:t>(I)    </w:t>
      </w:r>
      <w:r>
        <w:rPr>
          <w:rFonts w:ascii="Times New Roman;serif" w:hAnsi="Times New Roman;serif"/>
          <w:b w:val="false"/>
          <w:color w:val="000000"/>
          <w:sz w:val="16"/>
        </w:rPr>
        <w:t>The Digital Asset Loan Facility bears interest at a rate of 13.5%.</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(J) </w:t>
      </w:r>
      <w:r>
        <w:rPr>
          <w:rFonts w:ascii="Times New Roman;serif" w:hAnsi="Times New Roman;serif"/>
          <w:b w:val="false"/>
          <w:color w:val="000000"/>
          <w:sz w:val="16"/>
        </w:rPr>
        <w:t>The MSR Note bears interest at 16.5% per annum and secured by eligible servicing assets, which include servicing fees related to loan servicing rights owned by, or delegated to, the Company. During June 2026, the MSR Note was fully repaid by the Company on its scheduled maturity date and closed.</w:t>
      </w:r>
    </w:p>
    <w:p>
      <w:pPr>
        <w:pStyle w:val="TextBody"/>
        <w:bidi w:val="0"/>
        <w:spacing w:lineRule="auto" w:line="288" w:before="0" w:after="0"/>
        <w:ind w:left="0" w:right="0" w:hanging="180"/>
        <w:jc w:val="both"/>
        <w:rPr/>
      </w:pPr>
      <w:r>
        <w:rPr>
          <w:rFonts w:ascii="Times New Roman;serif" w:hAnsi="Times New Roman;serif"/>
          <w:b w:val="false"/>
          <w:color w:val="000000"/>
          <w:sz w:val="10"/>
        </w:rPr>
        <w:t>(K)    </w:t>
      </w:r>
      <w:r>
        <w:rPr>
          <w:rFonts w:ascii="Times New Roman;serif" w:hAnsi="Times New Roman;serif"/>
          <w:b w:val="false"/>
          <w:color w:val="000000"/>
          <w:sz w:val="16"/>
        </w:rPr>
        <w:t>The maturities of financed retained interests align with the terms of the underlying securities. The financed retained interest have maturity dates through June 2056.</w:t>
      </w:r>
    </w:p>
    <w:p>
      <w:pPr>
        <w:pStyle w:val="TextBody"/>
        <w:bidi w:val="0"/>
        <w:spacing w:lineRule="auto" w:line="288" w:before="0" w:after="0"/>
        <w:ind w:left="0" w:right="0" w:hanging="180"/>
        <w:jc w:val="both"/>
        <w:rPr/>
      </w:pPr>
      <w:r>
        <w:rPr>
          <w:rFonts w:ascii="Times New Roman;serif" w:hAnsi="Times New Roman;serif"/>
          <w:b w:val="false"/>
          <w:color w:val="000000"/>
          <w:sz w:val="10"/>
        </w:rPr>
        <w:t>(L)    </w:t>
      </w:r>
      <w:r>
        <w:rPr>
          <w:rFonts w:ascii="Times New Roman;serif" w:hAnsi="Times New Roman;serif"/>
          <w:b w:val="false"/>
          <w:color w:val="000000"/>
          <w:sz w:val="16"/>
        </w:rPr>
        <w:t>Under the Retained Interest Facility, the interest accrued on the securities and beneficial interests is payable to the lender during the period the loans are held plus a spread between 0.50% and 0.55%, depending on the tranche to which the Company pledges collateral.</w:t>
      </w:r>
    </w:p>
    <w:p>
      <w:pPr>
        <w:pStyle w:val="TextBody"/>
        <w:bidi w:val="0"/>
        <w:spacing w:lineRule="auto" w:line="288" w:before="0" w:after="0"/>
        <w:ind w:left="0" w:right="0" w:hanging="180"/>
        <w:jc w:val="both"/>
        <w:rPr/>
      </w:pPr>
      <w:r>
        <w:rPr>
          <w:rFonts w:ascii="Times New Roman;serif" w:hAnsi="Times New Roman;serif"/>
          <w:b w:val="false"/>
          <w:color w:val="000000"/>
          <w:sz w:val="10"/>
        </w:rPr>
        <w:t>(M)</w:t>
      </w:r>
      <w:r>
        <w:rPr>
          <w:color w:val="000000"/>
        </w:rPr>
        <w:t>    </w:t>
      </w:r>
      <w:r>
        <w:rPr>
          <w:rFonts w:ascii="Times New Roman;serif" w:hAnsi="Times New Roman;serif"/>
          <w:b w:val="false"/>
          <w:color w:val="000000"/>
          <w:sz w:val="16"/>
        </w:rPr>
        <w:t>During the three and six months ended June 30, 2026 and 2025, the Company amortized $0.4 million, and $0.8 million, respectively, and $0.1 million and $0.3 million, respectively, of deferred financing costs.</w:t>
      </w:r>
    </w:p>
    <w:p>
      <w:pPr>
        <w:pStyle w:val="TextBody"/>
        <w:bidi w:val="0"/>
        <w:spacing w:lineRule="auto" w:line="288" w:before="0" w:after="0"/>
        <w:ind w:left="0" w:right="0" w:hanging="180"/>
        <w:jc w:val="both"/>
        <w:rPr/>
      </w:pPr>
      <w:r>
        <w:rPr>
          <w:rFonts w:ascii="Times New Roman;serif" w:hAnsi="Times New Roman;serif"/>
          <w:b w:val="false"/>
          <w:color w:val="000000"/>
          <w:sz w:val="10"/>
        </w:rPr>
        <w:t>(N)</w:t>
      </w:r>
      <w:r>
        <w:rPr>
          <w:color w:val="000000"/>
        </w:rPr>
        <w:t>    </w:t>
      </w:r>
      <w:r>
        <w:rPr>
          <w:rFonts w:ascii="Times New Roman;serif" w:hAnsi="Times New Roman;serif"/>
          <w:b w:val="false"/>
          <w:color w:val="000000"/>
          <w:sz w:val="16"/>
        </w:rPr>
        <w:t>Interest accrues at a rate of SOFR less 35 basis points based on the face-amount certificates issued by FCC. Certificates mature 20 years from the issue date, but may be surrendered at any time by the holder at face amount, plus accrued interest minus any applicable expenses or fees.</w:t>
      </w:r>
    </w:p>
    <w:p>
      <w:pPr>
        <w:pStyle w:val="TextBody"/>
        <w:bidi w:val="0"/>
        <w:spacing w:lineRule="auto" w:line="288" w:before="0" w:after="180"/>
        <w:ind w:left="0" w:right="0" w:hanging="180"/>
        <w:jc w:val="both"/>
        <w:rPr/>
      </w:pPr>
      <w:r>
        <w:rPr>
          <w:rFonts w:ascii="Times New Roman;serif" w:hAnsi="Times New Roman;serif"/>
          <w:b w:val="false"/>
          <w:color w:val="000000"/>
          <w:sz w:val="10"/>
        </w:rPr>
        <w:t>(O)</w:t>
      </w:r>
      <w:r>
        <w:rPr>
          <w:color w:val="000000"/>
        </w:rPr>
        <w:t>    </w:t>
      </w:r>
      <w:r>
        <w:rPr>
          <w:rFonts w:ascii="Times New Roman;serif" w:hAnsi="Times New Roman;serif"/>
          <w:b w:val="false"/>
          <w:color w:val="000000"/>
          <w:sz w:val="16"/>
        </w:rPr>
        <w:t>Interest is accrued using an interest rate that is determined by Figure’s utilization-based, real-time auction engine. YLDS can be redeemed by the holder at face amount, plus accrued interest minus any applicable expenses or fees on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Maturities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Contractual maturities of recourse and nonrecourse debt obligations at June 30, 2026, are as follows:</w:t>
      </w:r>
    </w:p>
    <w:tbl>
      <w:tblPr>
        <w:tblW w:w="5862" w:type="dxa"/>
        <w:jc w:val="left"/>
        <w:tblInd w:w="0" w:type="dxa"/>
        <w:tblLayout w:type="fixed"/>
        <w:tblCellMar>
          <w:top w:w="28" w:type="dxa"/>
          <w:left w:w="28" w:type="dxa"/>
          <w:bottom w:w="28" w:type="dxa"/>
          <w:right w:w="28" w:type="dxa"/>
        </w:tblCellMar>
      </w:tblPr>
      <w:tblGrid>
        <w:gridCol w:w="771"/>
        <w:gridCol w:w="678"/>
        <w:gridCol w:w="681"/>
        <w:gridCol w:w="196"/>
        <w:gridCol w:w="646"/>
        <w:gridCol w:w="109"/>
        <w:gridCol w:w="109"/>
        <w:gridCol w:w="109"/>
        <w:gridCol w:w="109"/>
        <w:gridCol w:w="196"/>
        <w:gridCol w:w="736"/>
        <w:gridCol w:w="109"/>
        <w:gridCol w:w="109"/>
        <w:gridCol w:w="109"/>
        <w:gridCol w:w="109"/>
        <w:gridCol w:w="196"/>
        <w:gridCol w:w="73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Years Ending December 31,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Recourse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Nonrecourse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(remainder)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Borrowing Capacity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borrowing capacity of committed debt facilities that have not matured at June 30, 2026:</w:t>
      </w:r>
    </w:p>
    <w:tbl>
      <w:tblPr>
        <w:tblW w:w="7463" w:type="dxa"/>
        <w:jc w:val="left"/>
        <w:tblInd w:w="0" w:type="dxa"/>
        <w:tblLayout w:type="fixed"/>
        <w:tblCellMar>
          <w:top w:w="28" w:type="dxa"/>
          <w:left w:w="28" w:type="dxa"/>
          <w:bottom w:w="28" w:type="dxa"/>
          <w:right w:w="28" w:type="dxa"/>
        </w:tblCellMar>
      </w:tblPr>
      <w:tblGrid>
        <w:gridCol w:w="721"/>
        <w:gridCol w:w="635"/>
        <w:gridCol w:w="639"/>
        <w:gridCol w:w="265"/>
        <w:gridCol w:w="1178"/>
        <w:gridCol w:w="147"/>
        <w:gridCol w:w="109"/>
        <w:gridCol w:w="109"/>
        <w:gridCol w:w="109"/>
        <w:gridCol w:w="305"/>
        <w:gridCol w:w="1146"/>
        <w:gridCol w:w="169"/>
        <w:gridCol w:w="109"/>
        <w:gridCol w:w="109"/>
        <w:gridCol w:w="109"/>
        <w:gridCol w:w="257"/>
        <w:gridCol w:w="1145"/>
        <w:gridCol w:w="202"/>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Available Financing</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2</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5</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6</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233,877 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7</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220,737 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Financed retained interests:</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Interest Facility</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182,336 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Bridge Loan Facility</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2,385,300 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422,624 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1,962,676 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debt obligations are subject to customary loan covenants, such as minimum tangible net worth, minimum liquidity, maximum leverage ratios, required range of net income or loss during specified periods,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2580"/>
                <wp:effectExtent l="0" t="0" r="0" b="0"/>
                <wp:wrapNone/>
                <wp:docPr id="25" name="Frame2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lineRule="auto" w:line="288" w:before="0" w:after="180"/>
                              <w:jc w:val="left"/>
                              <w:rPr/>
                            </w:pPr>
                            <w:hyperlink w:anchor="ic82950ca049c49cb847949a91d5d442a_22">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lineRule="auto" w:line="288" w:before="0" w:after="180"/>
                        <w:jc w:val="left"/>
                        <w:rPr/>
                      </w:pPr>
                      <w:hyperlink w:anchor="ic82950ca049c49cb847949a91d5d442a_22">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debt facilities that the Company entered into or amended during the six months ended June 30, 2026 and the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Facility 1</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the Company and its lender amended Warehouse Facility 1 to reduce the borrowing capacity to $150.0 million, expand eligible collateral types, and reduce certain funding costs. The amended facility has an initial maturity date of May 2026, and borrowings under the facility bear interest at a rate of SOFR plus a spread of 2.25%.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the Company and its lender amended Warehouse Facility 1 to reduce the borrowing capacity to $100.0 million and extend the maturity date to May 2027. No other terms of the facility were amended.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Facility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Company and its lender amended Warehouse Facility 2 to extend the facility maturity date to January 2027, and add a facility sub-limit of $50.0 million for certain loan products. No other terms of the facility were amended.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REIT Warehouse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amended the REIT Warehouse to increase the borrowing limit to $200.0 million, extend the maturity date to December 2026, and add an exit fee of 0.15% that is not to exceed $0.5 million in any calendar year. It also amended the interest rate to be SOFR plus a spread of (i) if the average daily aggregate outstanding purchase price for all purchased mortgage loans subject to outstanding transactions during such pricing rate period is greater than or equal to $100.0 million, 3.00% or (ii) if the average daily aggregate outstanding purchase price for all purchased mortgage loans subject to outstanding transactions during such pricing rate period is less than $100.0 million, 3.50%.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REIT Warehouse was the warehouse for Figure REIT, Inc. As of March 27, 2026, Figure REIT, Inc. merged with and into VS Evergreen Acquisition Co. L.P. As a result of the merger, Figure REIT, Inc. is no longer controlled nor consolidated by FTS. See “Note 7—Equity—Noncontrolling Interests in Consolidated Subsidiaries”, for further discussion on the merger.</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Warehouse Facility 5</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2025, the Company entered into a master repurchase agreement with a major banking institution that contains customary debt covenants, a borrowing capacity of $300.0 million, including $1.0 million in committed capacity, and an initial maturity date in April 2026, with the option to renew at maturity. Borrowings under the facility bear interest at a rate of SOFR plus 2.35%.</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April 2026, the Company executed an amendment to the master repurchase agreement to extend the maturity date by three months to expire in July 2026. No other terms of the facility were amended.</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Warehouse Facility 6</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June 2025,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executed a master repurchase agreement with a major banking institution that had a facility limit up to $100.0 million, with the option to temporarily upsize to $200.0 million and has an initial maturity date in June 2027 with the option to renew at maturity. Borrowings under the facility bear interest at a rate of SOFR, subject to a floor of 2.0%, plus 1.75% that results in a minimum rate of 3.75%.</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July 2025, the </w:t>
      </w:r>
      <w:r>
        <w:rPr>
          <w:rFonts w:ascii="Times New Roman;serif" w:hAnsi="Times New Roman;serif"/>
          <w:b w:val="false"/>
          <w:color w:val="000000"/>
          <w:sz w:val="20"/>
        </w:rPr>
        <w:t xml:space="preserve">Company amended </w:t>
      </w:r>
      <w:r>
        <w:rPr>
          <w:rFonts w:ascii="Times New Roman;serif" w:hAnsi="Times New Roman;serif"/>
          <w:b w:val="false"/>
          <w:color w:val="000000"/>
          <w:sz w:val="20"/>
          <w:shd w:fill="FFFFFF" w:val="clear"/>
        </w:rPr>
        <w:t xml:space="preserve">Warehouse Facility 6 to permanently increase the facility limit to $200.0 million. In December 2025,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amended Warehouse Facility 6 to increase the facility limit to $300.0 million.</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Warehouse Facility 7</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April 2026,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 xml:space="preserve">executed a master participation interest purchase and servicing agreement with a chartered banking institution, and will include other purchasers from time to time. The agreement allows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 xml:space="preserve">to sell 100% participation interests in digital asset backed loans in exchange for consideration and a pledge of the underlying loan as collateral. The aggregate facility limit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is </w:t>
      </w:r>
      <w:r>
        <w:rPr>
          <w:rFonts w:ascii="Times New Roman;serif" w:hAnsi="Times New Roman;serif"/>
          <w:b w:val="false"/>
          <w:color w:val="000000"/>
          <w:sz w:val="20"/>
        </w:rPr>
        <w:t>$250.0 million, with a</w:t>
      </w:r>
      <w:r>
        <w:rPr>
          <w:rFonts w:ascii="Times New Roman;serif" w:hAnsi="Times New Roman;serif"/>
          <w:b w:val="false"/>
          <w:color w:val="000000"/>
          <w:sz w:val="20"/>
          <w:shd w:fill="FFFFFF" w:val="clear"/>
        </w:rPr>
        <w:t xml:space="preserve">n option to increase available financing as agreed upon by both parties. Digital asset backed loans originated prior to March 31, 2026 are permitted to be sold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3370"/>
                <wp:effectExtent l="0" t="0" r="0" b="0"/>
                <wp:wrapNone/>
                <wp:docPr id="26" name="Frame2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arrangement, which will ultimately terminate in April 2027. The applicable interest rate is driven by the quality of the pledged loans subject to a 2.00% floor and a spread that ranges from 3.50% to 5.75%.</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Digital Asset Loan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executed a master participation agreement with an asset management firm that allows the Company to grant 100% participation interest for digital asset backed loans it owns. The $30.0 million facility, with the ability to increase to a maximum facility size of $50.0 million, matures in October 2026, bears interest at a rate of 13.5%, and has a purchase period through April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Retained Interest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amended the Retained Interest Facility to increase the borrowing limit from $250.0 million to $500.0 million, effective as of October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FCC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FCC had $78.7 million and $118.3 million outstanding face-amount certificates to third parties and related parties, respectively, redeemable upon redemption of YLDS. At December 31, 2025, there were $76.1 million and $2.1 million outstanding face-amount certificates to third parties and related parties, respectively. The certificates entitle the certificate owner to receive, at certificate maturity, a stated amount of money, interest, or credits declared from time to time by FCC, at its discretion. The certificates issued by FCC are not insured by any government agency or other entity.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Democratized Prime YLDS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FCC had $41.4 million and $306.3 million outstanding face-amount certificates to third parties and related parties, respectively, redeemable in cash upon redemption of YLDS. At December 31, 2025, there were $24.4 million and $164.1 million outstanding face-amount certificates to third parties and related parties, respectively. Democratized Prime YLDS represents liabilities where parties have lent YLDS to the Company through the Democratized Prime platform. Interest is accrued using an interest rate that is determined by Figure’s utilization-based, real-time auction engine. The YLDS are collateralized by pools of loans and are not insured by any government agency or other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Bridge Loan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10, 2026, the Company entered into an Agreement and Plan of Merger (the “Merger Agreement”), by and among the Company, Project Mason Merger Sub, Inc., a Delaware corporation and wholly owned subsidiary of the Company (“Merger Sub”), Kiavi, Inc., a Delaware corporation (“Kiavi”) and Fortis Advisors LLC, in its capacity as the lawful and exclusive representative, agent, proxy, and attorney-in-fact (with full power of substitution) for and on behalf of the security-holders of Kiavi, pursuant to which, subject to the terms and conditions set forth therein, Merger Sub will merge with and into Kiavi (the “Merger”), with Kiavi surviving such Merger as a subsidiary of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the Company entered into a commitment letter with Bank of America, N.A., BofA Securities, Inc. and Barclays Bank PLC, pursuant to which Bank of America, N.A. and Barclays Bank PLC committed, subject to the satisfaction of customary conditions, to provide the Company with a 364-day bridge loan facility in an aggregate principal amount not to exceed $600.0 million. As of June 30, 2026, there were no outstanding borrowings under the Bridge Loan Facility, and the entire amount remained available.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14, 2026, the Company closed its previously announced offering of $600.0 million principal amount of 8.500% Senior Notes due 2031 (the “Notes”). Concurrently with, and as a result of, the issuance of the Senior Notes, the Company terminated the Bridge Loan Facility effective July 14, 2026. Prior to its termination, there were no outstanding borrowings under the Bridge Loan Facility, and no early termination penalties were incurred as a result of the cancellation.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“Note 10—Commitments and Contingencies” for more information regarding the proposed acquisition of Kiavi and “Note 14—Subsequent Events” for further details on the Senior Note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3370"/>
                <wp:effectExtent l="0" t="0" r="0" b="0"/>
                <wp:wrapNone/>
                <wp:docPr id="27" name="Frame2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equity instruments at June 30, 2026 and December 31, 2025:</w:t>
      </w:r>
    </w:p>
    <w:tbl>
      <w:tblPr>
        <w:tblW w:w="10205" w:type="dxa"/>
        <w:jc w:val="left"/>
        <w:tblInd w:w="0" w:type="dxa"/>
        <w:tblLayout w:type="fixed"/>
        <w:tblCellMar>
          <w:top w:w="28" w:type="dxa"/>
          <w:left w:w="28" w:type="dxa"/>
          <w:bottom w:w="28" w:type="dxa"/>
          <w:right w:w="28" w:type="dxa"/>
        </w:tblCellMar>
      </w:tblPr>
      <w:tblGrid>
        <w:gridCol w:w="1052"/>
        <w:gridCol w:w="881"/>
        <w:gridCol w:w="884"/>
        <w:gridCol w:w="593"/>
        <w:gridCol w:w="593"/>
        <w:gridCol w:w="439"/>
        <w:gridCol w:w="109"/>
        <w:gridCol w:w="109"/>
        <w:gridCol w:w="109"/>
        <w:gridCol w:w="751"/>
        <w:gridCol w:w="601"/>
        <w:gridCol w:w="602"/>
        <w:gridCol w:w="109"/>
        <w:gridCol w:w="109"/>
        <w:gridCol w:w="109"/>
        <w:gridCol w:w="480"/>
        <w:gridCol w:w="481"/>
        <w:gridCol w:w="223"/>
        <w:gridCol w:w="185"/>
        <w:gridCol w:w="185"/>
        <w:gridCol w:w="185"/>
        <w:gridCol w:w="585"/>
        <w:gridCol w:w="376"/>
        <w:gridCol w:w="185"/>
        <w:gridCol w:w="109"/>
        <w:gridCol w:w="161"/>
      </w:tblGrid>
      <w:tr>
        <w:trPr/>
        <w:tc>
          <w:tcPr>
            <w:tcW w:w="10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7" w:type="dxa"/>
            <w:gridSpan w:val="3"/>
            <w:vMerge w:val="continue"/>
            <w:tcBorders/>
            <w:tcMar>
              <w:top w:w="0" w:type="dxa"/>
              <w:left w:w="0" w:type="dxa"/>
              <w:bottom w:w="0" w:type="dxa"/>
              <w:right w:w="0" w:type="dxa"/>
            </w:tcMar>
            <w:vAlign w:val="center"/>
          </w:tcPr>
          <w:p>
            <w:pPr>
              <w:pStyle w:val="Normal"/>
              <w:bidi w:val="0"/>
              <w:jc w:val="left"/>
              <w:rPr/>
            </w:pPr>
            <w:r>
              <w:rPr/>
            </w:r>
          </w:p>
        </w:tc>
        <w:tc>
          <w:tcPr>
            <w:tcW w:w="16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Authorized Shares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 and Outstanding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Potential Common Shares</w:t>
            </w:r>
            <w:r>
              <w:rPr>
                <w:rFonts w:ascii="Times New Roman;serif" w:hAnsi="Times New Roman;serif"/>
                <w:b/>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7" w:type="dxa"/>
            <w:gridSpan w:val="3"/>
            <w:vMerge w:val="continue"/>
            <w:tcBorders/>
            <w:tcMar>
              <w:top w:w="0" w:type="dxa"/>
              <w:left w:w="0" w:type="dxa"/>
              <w:bottom w:w="0" w:type="dxa"/>
              <w:right w:w="0" w:type="dxa"/>
            </w:tcMar>
            <w:vAlign w:val="center"/>
          </w:tcPr>
          <w:p>
            <w:pPr>
              <w:pStyle w:val="Normal"/>
              <w:bidi w:val="0"/>
              <w:jc w:val="left"/>
              <w:rPr/>
            </w:pPr>
            <w:r>
              <w:rPr/>
            </w:r>
          </w:p>
        </w:tc>
        <w:tc>
          <w:tcPr>
            <w:tcW w:w="16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178,794,505 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19,776,526 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5,351,099 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7,760,846 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4,734,727 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Blockchain Common Stock, $0.0001 par value per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6,941,715 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1,800,000,000 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223,629,267 </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27,537,372 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10,085,826 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0"/>
        <w:gridCol w:w="600"/>
        <w:gridCol w:w="602"/>
        <w:gridCol w:w="593"/>
        <w:gridCol w:w="593"/>
        <w:gridCol w:w="380"/>
        <w:gridCol w:w="109"/>
        <w:gridCol w:w="109"/>
        <w:gridCol w:w="109"/>
        <w:gridCol w:w="735"/>
        <w:gridCol w:w="483"/>
        <w:gridCol w:w="485"/>
        <w:gridCol w:w="109"/>
        <w:gridCol w:w="109"/>
        <w:gridCol w:w="109"/>
        <w:gridCol w:w="368"/>
        <w:gridCol w:w="368"/>
        <w:gridCol w:w="271"/>
        <w:gridCol w:w="120"/>
        <w:gridCol w:w="120"/>
        <w:gridCol w:w="120"/>
        <w:gridCol w:w="480"/>
        <w:gridCol w:w="481"/>
        <w:gridCol w:w="226"/>
        <w:gridCol w:w="120"/>
        <w:gridCol w:w="120"/>
        <w:gridCol w:w="120"/>
        <w:gridCol w:w="479"/>
        <w:gridCol w:w="482"/>
        <w:gridCol w:w="166"/>
        <w:gridCol w:w="109"/>
        <w:gridCol w:w="160"/>
      </w:tblGrid>
      <w:tr>
        <w:trPr/>
        <w:tc>
          <w:tcPr>
            <w:tcW w:w="7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69" w:type="dxa"/>
            <w:gridSpan w:val="2"/>
            <w:tcBorders/>
          </w:tcPr>
          <w:p>
            <w:pPr>
              <w:pStyle w:val="TableContents"/>
              <w:bidi w:val="0"/>
              <w:spacing w:before="0" w:after="283"/>
              <w:jc w:val="left"/>
              <w:rPr>
                <w:sz w:val="4"/>
                <w:szCs w:val="4"/>
              </w:rPr>
            </w:pPr>
            <w:r>
              <w:rPr>
                <w:sz w:val="4"/>
                <w:szCs w:val="4"/>
              </w:rPr>
            </w:r>
          </w:p>
        </w:tc>
      </w:tr>
      <w:tr>
        <w:trPr/>
        <w:tc>
          <w:tcPr>
            <w:tcW w:w="1972" w:type="dxa"/>
            <w:gridSpan w:val="3"/>
            <w:vMerge w:val="continue"/>
            <w:tcBorders/>
            <w:tcMar>
              <w:top w:w="0" w:type="dxa"/>
              <w:left w:w="0" w:type="dxa"/>
              <w:bottom w:w="0" w:type="dxa"/>
              <w:right w:w="0" w:type="dxa"/>
            </w:tcMar>
            <w:vAlign w:val="center"/>
          </w:tcPr>
          <w:p>
            <w:pPr>
              <w:pStyle w:val="Normal"/>
              <w:bidi w:val="0"/>
              <w:jc w:val="left"/>
              <w:rPr/>
            </w:pPr>
            <w:r>
              <w:rPr/>
            </w:r>
          </w:p>
        </w:tc>
        <w:tc>
          <w:tcPr>
            <w:tcW w:w="15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Authorized Shares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 and Outstanding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Potential Common Shares</w:t>
            </w:r>
            <w:r>
              <w:rPr>
                <w:rFonts w:ascii="Times New Roman;serif" w:hAnsi="Times New Roman;serif"/>
                <w:b/>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vMerge w:val="continue"/>
            <w:tcBorders/>
            <w:tcMar>
              <w:top w:w="0" w:type="dxa"/>
              <w:left w:w="0" w:type="dxa"/>
              <w:bottom w:w="0" w:type="dxa"/>
              <w:right w:w="0" w:type="dxa"/>
            </w:tcMar>
            <w:vAlign w:val="center"/>
          </w:tcPr>
          <w:p>
            <w:pPr>
              <w:pStyle w:val="Normal"/>
              <w:bidi w:val="0"/>
              <w:jc w:val="left"/>
              <w:rPr/>
            </w:pPr>
            <w:r>
              <w:rPr/>
            </w:r>
          </w:p>
        </w:tc>
        <w:tc>
          <w:tcPr>
            <w:tcW w:w="15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178,485,407 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25,741,803 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4,974,764 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7,760,846 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5,134,845 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Blockchain Common Stock, $0.0001 par value per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1,800,000,000 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216,378,454 </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183,333 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33,502,649 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10,109,609 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 xml:space="preserve">As authorized by the Company’s Charter. The holders of Class A common stock and Blockchain common stock are entitled to one vote for each share of common stock held. The holders of Class B common stock are entitled to ten votes for each share of common stock held. </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Includes the equity instruments of the 2018 Equity Incentive Plan, the 2024 Equity Incentive Plan, and the 2025 Incentive Award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issued warrants to purchase up to 411,219, 411,219, and 1,644,881 Series E convertible preferred shares to an existing convertible preferred shareholder in exchange for a software license, one year of software development services, and up to two years of other services, respectively, for a total of 2,467,319 shares at an exercise price of $3.23 per share. All of the warrants have been earned and exercised as of June 30, 2026 into Class A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recognized stock-based expense within “Technology and product development” in the Condensed Consolidated Statements of Operations of $2.5 million and $4.7 million related to the warrants, respectively. There was zero stock-based expense for warrants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grants stock-based compensation in the form of options and RSUs for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 The Company grants RSUs to employees and members of the board which vest subject to either (i) continued service, or (ii) continued service and a market condition tied to the Company’s share price over defined performance periods.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stock-based compensation for service-based RSUs on a straight-line basis over the requisite service period, which is generally the vesting period. The Company recognizes expense only for the stock-based awards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3370"/>
                <wp:effectExtent l="0" t="0" r="0" b="0"/>
                <wp:wrapNone/>
                <wp:docPr id="28" name="Frame2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ultimately vest, and accounts for forfeitures of stock-based awards as those forfeitures occur. The following table presents the amount of stock-based compensation expense recognized in the Condensed Consolidated Statements of Operations:</w:t>
      </w:r>
    </w:p>
    <w:tbl>
      <w:tblPr>
        <w:tblW w:w="7803" w:type="dxa"/>
        <w:jc w:val="left"/>
        <w:tblInd w:w="0" w:type="dxa"/>
        <w:tblLayout w:type="fixed"/>
        <w:tblCellMar>
          <w:top w:w="28" w:type="dxa"/>
          <w:left w:w="28" w:type="dxa"/>
          <w:bottom w:w="28" w:type="dxa"/>
          <w:right w:w="28" w:type="dxa"/>
        </w:tblCellMar>
      </w:tblPr>
      <w:tblGrid>
        <w:gridCol w:w="1065"/>
        <w:gridCol w:w="936"/>
        <w:gridCol w:w="939"/>
        <w:gridCol w:w="207"/>
        <w:gridCol w:w="684"/>
        <w:gridCol w:w="115"/>
        <w:gridCol w:w="115"/>
        <w:gridCol w:w="115"/>
        <w:gridCol w:w="115"/>
        <w:gridCol w:w="207"/>
        <w:gridCol w:w="589"/>
        <w:gridCol w:w="115"/>
        <w:gridCol w:w="109"/>
        <w:gridCol w:w="109"/>
        <w:gridCol w:w="109"/>
        <w:gridCol w:w="196"/>
        <w:gridCol w:w="646"/>
        <w:gridCol w:w="109"/>
        <w:gridCol w:w="109"/>
        <w:gridCol w:w="109"/>
        <w:gridCol w:w="109"/>
        <w:gridCol w:w="196"/>
        <w:gridCol w:w="64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Technology and product development</w:t>
            </w:r>
            <w:r>
              <w:rPr>
                <w:rFonts w:ascii="Times New Roman;serif" w:hAnsi="Times New Roman;serif"/>
                <w:b w:val="false"/>
                <w:color w:val="000000"/>
                <w:sz w:val="10"/>
              </w:rPr>
              <w:t>(A)</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processing</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There was zero stock-based expense for warrants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2018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2018, the Company adopted the 2018 Equity Incentive Plan (as amended and/or restated, the “2018 Plan”) that authorized the Company to grant awards of up to 52,346,283 shares of common stock of FTS to FTS’ employees, non-employees, officers, and directors in the form of incentive stock options, non-qualified stock options, stock appreciation rights, restricted stock and RSUs. Each award outstanding under the 2018 Plan continues to be governed by the terms and conditions of the 2018 Plan. In connection with the IPO, the 2018 Plan awards were amended to cover shares of Class A common stock (or, if determined by the plan administrator, Class B common stock). As of December 31, 2025 the Company had granted awards equivalent to 56,462,313 shares of common stock, gross of forfeited and cancelled shares that could be recycled back into authorized shares under the 2018 Plan. In connection with the IPO, the Company froze the 2018 Plan and no new awards will be granted under the 2018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2024, FMH adopted the 2024 Equity Incentive Plan (as amended and/or restated, the “2024 Plan”) that authorized FMH to grant awards of up to 4,635,234 shares of common stock of FMH to FMH employees, non-employees, officers, and directors in the form of incentive stock options, non-qualified stock options, stock appreciation rights, restricted stock and RSUs. As part of the Recombination, the Company assumed the 2024 Plan and all options outstanding thereunder as of the Recombination Date, and such outstanding options were converted to options of FTS. As of December 31, 2025 the Company had granted option awards equivalent to 3,172,306 shares of common stock, gross of forfeited and cancelled awards under the 2024 Plan. There were no RSUs granted under the 2024 Plan. In connection with the IPO, the Company froze the 2024 Plan and no new awards will be granted under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Incentive Award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IPO, the Company adopted the 2025 Incentive Award Plan (as amended and/or restated, the “2025 Plan”) in order to facilitate the grant of equity incentives to directors, employees (including named officers), and consultants of the Company. The 2025 Plan authorizes the issuance of 22,985,926 of Class A or Class B common stock of FTS, subject to an automatic increase on January 1 of each calendar year from January 1, 2026 through and including January 1, 2035, by a number of shares equal to the lesser of (i) 5% of the total shares of the aggregate number of shares of Class A common stock and Class B common stock outstanding (on an as-converted basis) as of the last day of the immediately preceding fiscal year and (ii) such smaller number of shares as determined by the board. Awards under the 2025 Plan may be granted in the form of incentive stock options, non-qualified stock options, stock appreciation rights, restricted stock, RSUs, stock payments, and other incentive awards and cash awards. As of June 30, 2026, the Company had granted awards equivalent to 2,538,338 and 8,535,845 shares of Class A and Class B common stock, respectively, and as of December 31, 2025 1,017,792 and 8,535,845 shares of Class A and Class B common stock, respectively, gross of forfeited and delivered awards under the 2025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3370"/>
                <wp:effectExtent l="0" t="0" r="0" b="0"/>
                <wp:wrapNone/>
                <wp:docPr id="29" name="Frame2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Employee Stock Purchase Plan (“ESPP”)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adopted the ESPP under which eligible employees may purchase shares of Class A common stock of FTS, up to a maximum percentage of their eligible compensation (which shall be 20% unless otherwise specified in an applicable offering document), subject to certain IRS and share purchase limitations, at 85% of the lower of the closing price (fair market value) of a share of FTS on the first day of the offering period or the purchase date, whichever is lower. As of June 30, 2026, there have been no offering periods under the ESPP program.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maximum aggregate number of shares that may be subject to awards and sold under the ESPP is 2,133,961 shares, subject to an automatic annual increase on the first day of each calendar year beginning in 2026 and ending on and including January 1, 2035 in an amount equal to the lesser of (i) one percent (1%) of the aggregate number of shares of Class A common stock and Class B common stock of FTS outstanding (on an as-converted basis) on the final day of the immediately preceding calendar year and (ii) such smaller number of shares as determined by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val="false"/>
          <w:i/>
          <w:color w:val="000000"/>
          <w:sz w:val="20"/>
        </w:rPr>
        <w:t>Unrecognized Compensation Expense</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has not yet recognized compensation expense for the following awards:</w:t>
      </w:r>
    </w:p>
    <w:tbl>
      <w:tblPr>
        <w:tblW w:w="10205" w:type="dxa"/>
        <w:jc w:val="left"/>
        <w:tblInd w:w="0" w:type="dxa"/>
        <w:tblLayout w:type="fixed"/>
        <w:tblCellMar>
          <w:top w:w="28" w:type="dxa"/>
          <w:left w:w="28" w:type="dxa"/>
          <w:bottom w:w="28" w:type="dxa"/>
          <w:right w:w="28" w:type="dxa"/>
        </w:tblCellMar>
      </w:tblPr>
      <w:tblGrid>
        <w:gridCol w:w="448"/>
        <w:gridCol w:w="318"/>
        <w:gridCol w:w="319"/>
        <w:gridCol w:w="549"/>
        <w:gridCol w:w="549"/>
        <w:gridCol w:w="551"/>
        <w:gridCol w:w="109"/>
        <w:gridCol w:w="109"/>
        <w:gridCol w:w="109"/>
        <w:gridCol w:w="435"/>
        <w:gridCol w:w="436"/>
        <w:gridCol w:w="226"/>
        <w:gridCol w:w="109"/>
        <w:gridCol w:w="109"/>
        <w:gridCol w:w="109"/>
        <w:gridCol w:w="479"/>
        <w:gridCol w:w="482"/>
        <w:gridCol w:w="166"/>
        <w:gridCol w:w="109"/>
        <w:gridCol w:w="109"/>
        <w:gridCol w:w="109"/>
        <w:gridCol w:w="109"/>
        <w:gridCol w:w="109"/>
        <w:gridCol w:w="480"/>
        <w:gridCol w:w="481"/>
        <w:gridCol w:w="135"/>
        <w:gridCol w:w="130"/>
        <w:gridCol w:w="130"/>
        <w:gridCol w:w="130"/>
        <w:gridCol w:w="235"/>
        <w:gridCol w:w="776"/>
        <w:gridCol w:w="130"/>
        <w:gridCol w:w="109"/>
        <w:gridCol w:w="109"/>
        <w:gridCol w:w="109"/>
        <w:gridCol w:w="196"/>
        <w:gridCol w:w="736"/>
        <w:gridCol w:w="162"/>
      </w:tblGrid>
      <w:tr>
        <w:trPr/>
        <w:tc>
          <w:tcPr>
            <w:tcW w:w="4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Vesting Condition</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Recognition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Expense</w:t>
            </w:r>
          </w:p>
        </w:tc>
        <w:tc>
          <w:tcPr>
            <w:tcW w:w="1421" w:type="dxa"/>
            <w:gridSpan w:val="6"/>
            <w:tcBorders/>
          </w:tcPr>
          <w:p>
            <w:pPr>
              <w:pStyle w:val="TableContents"/>
              <w:bidi w:val="0"/>
              <w:spacing w:before="0" w:after="283"/>
              <w:jc w:val="left"/>
              <w:rPr>
                <w:sz w:val="4"/>
                <w:szCs w:val="4"/>
              </w:rPr>
            </w:pPr>
            <w:r>
              <w:rPr>
                <w:sz w:val="4"/>
                <w:szCs w:val="4"/>
              </w:rPr>
            </w:r>
          </w:p>
        </w:tc>
      </w:tr>
      <w:tr>
        <w:trPr/>
        <w:tc>
          <w:tcPr>
            <w:tcW w:w="1085"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Time-based</w:t>
            </w:r>
            <w:r>
              <w:rPr>
                <w:rFonts w:ascii="Times New Roman;serif" w:hAnsi="Times New Roman;serif"/>
                <w:b w:val="false"/>
                <w:color w:val="000000"/>
                <w:sz w:val="10"/>
              </w:rPr>
              <w:t>(A)</w:t>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6,952,212 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4,562,091 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11,514,303 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Multiple</w:t>
            </w:r>
            <w:r>
              <w:rPr>
                <w:rFonts w:ascii="Times New Roman;serif" w:hAnsi="Times New Roman;serif"/>
                <w:b w:val="false"/>
                <w:color w:val="000000"/>
                <w:sz w:val="10"/>
              </w:rPr>
              <w:t>(A)(B)</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5,523,735 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5,523,735 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6,952,212 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10,085,826 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17,038,038 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49,285 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182,188 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Awards typically vest over a period of 1 to 4 years and awards generally have a one year cliff vesting feature with quarterly or monthly vesting thereafter.</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Awards include a service period vesting condition as well as market based and liquidity-based vesting conditions. The liquidity event for awards which have that feature has been satisfied in connection with the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Board of Directors authorized a program under which the Company may repurchase up to $200 million of its Class A common stock and Blockchain common stock over the next 12 months subject to market conditions, contractual restrictions and other factors (the “Share Repurchase Program”).</w:t>
      </w:r>
    </w:p>
    <w:p>
      <w:pPr>
        <w:pStyle w:val="TextBody"/>
        <w:bidi w:val="0"/>
        <w:spacing w:lineRule="auto" w:line="288" w:before="0" w:after="180"/>
        <w:jc w:val="both"/>
        <w:rPr/>
      </w:pPr>
      <w:r>
        <w:rPr>
          <w:rFonts w:ascii="Times New Roman;serif" w:hAnsi="Times New Roman;serif"/>
          <w:b w:val="false"/>
          <w:color w:val="000000"/>
          <w:sz w:val="20"/>
        </w:rPr>
        <w:t>Repurchases under the Share Repurchase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may also, from time to time, enter into Rule 10b5-1 plans to facilitate repurchases of its shares under this authorization.</w:t>
        <w:br/>
        <w:br/>
        <w:t xml:space="preserve">The Share Repurchase Program does not obligate the Company to acquire any particular amount of stock and the program may be extended, modified, suspended or discontinued at any time at the Company’s discretion. </w:t>
      </w:r>
      <w:r>
        <w:rPr>
          <w:rFonts w:ascii="Times New Roman;serif" w:hAnsi="Times New Roman;serif"/>
          <w:b w:val="false"/>
          <w:color w:val="000000"/>
          <w:sz w:val="20"/>
          <w:shd w:fill="FFFFFF" w:val="clear"/>
        </w:rPr>
        <w:t>The Company did not repurchase any stock under the Share Repurchase Program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Noncontrolling Interests in Consolidated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amounts relate to equity interests held by third-party investors in a real estate investment trust subsidiary, Figure REIT, Inc. (“Figure REIT”) and the Figure Markets Offshore Opportunity Investment Fund L.P. (“Offshore Solana Fund”) both of which the Company historically consolidated, but did not wholly-own.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2026, Figure REIT merged with and into the VS Evergreen Acquisition Co. L.P., a subsidiary of VS Evergreen Financing Fund LP. The surviving entity is VS Evergreen Acquisition Co. L.P., a Delaware limited partnership (“Evergreen”). The Company redeemed all issued and outstanding shares of the 12.0% Series A Redeemable Cumulative Preferred Stock for $1,019 per share and the shares are considered cancelled and no longer outstanding. Each outstanding share of the Company’s voting and non-voting common stock held by Figure REIT stockholders immediately prior to the effective time was converted on a one-for-one basis into Evergreen fund units. As a result of the merger, Figure REIT is no longer controlled by FTS, as FTS’s ownership interests have moved into VS Evergreen Financing Fund LP and FTS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3370"/>
                <wp:effectExtent l="0" t="0" r="0" b="0"/>
                <wp:wrapNone/>
                <wp:docPr id="30" name="Frame3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primary beneficiary of VS Evergreen Financing Fund LP. The Company did not recognize a gain or loss on the transaction, and the Company’s new investment in the Evergreen Funds is disclosed in “Note 3—Investments—Equity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noncontrolling interests included in net income (loss) are computed as follows:</w:t>
      </w:r>
    </w:p>
    <w:tbl>
      <w:tblPr>
        <w:tblW w:w="10205" w:type="dxa"/>
        <w:jc w:val="left"/>
        <w:tblInd w:w="0" w:type="dxa"/>
        <w:tblLayout w:type="fixed"/>
        <w:tblCellMar>
          <w:top w:w="28" w:type="dxa"/>
          <w:left w:w="28" w:type="dxa"/>
          <w:bottom w:w="28" w:type="dxa"/>
          <w:right w:w="28" w:type="dxa"/>
        </w:tblCellMar>
      </w:tblPr>
      <w:tblGrid>
        <w:gridCol w:w="367"/>
        <w:gridCol w:w="206"/>
        <w:gridCol w:w="195"/>
        <w:gridCol w:w="201"/>
        <w:gridCol w:w="452"/>
        <w:gridCol w:w="112"/>
        <w:gridCol w:w="109"/>
        <w:gridCol w:w="109"/>
        <w:gridCol w:w="109"/>
        <w:gridCol w:w="315"/>
        <w:gridCol w:w="315"/>
        <w:gridCol w:w="700"/>
        <w:gridCol w:w="109"/>
        <w:gridCol w:w="109"/>
        <w:gridCol w:w="109"/>
        <w:gridCol w:w="383"/>
        <w:gridCol w:w="796"/>
        <w:gridCol w:w="214"/>
        <w:gridCol w:w="109"/>
        <w:gridCol w:w="109"/>
        <w:gridCol w:w="109"/>
        <w:gridCol w:w="200"/>
        <w:gridCol w:w="569"/>
        <w:gridCol w:w="111"/>
        <w:gridCol w:w="109"/>
        <w:gridCol w:w="109"/>
        <w:gridCol w:w="109"/>
        <w:gridCol w:w="315"/>
        <w:gridCol w:w="315"/>
        <w:gridCol w:w="700"/>
        <w:gridCol w:w="109"/>
        <w:gridCol w:w="109"/>
        <w:gridCol w:w="109"/>
        <w:gridCol w:w="429"/>
        <w:gridCol w:w="725"/>
        <w:gridCol w:w="239"/>
        <w:gridCol w:w="109"/>
        <w:gridCol w:w="109"/>
        <w:gridCol w:w="109"/>
        <w:gridCol w:w="109"/>
        <w:gridCol w:w="109"/>
        <w:gridCol w:w="166"/>
      </w:tblGrid>
      <w:tr>
        <w:trPr/>
        <w:tc>
          <w:tcPr>
            <w:tcW w:w="3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711" w:type="dxa"/>
            <w:gridSpan w:val="6"/>
            <w:tcBorders/>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in Income of Consolidated Subsidiaries</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in Income of Consolidated Subsidiaries</w:t>
            </w:r>
            <w:r>
              <w:rPr>
                <w:rFonts w:ascii="Times New Roman;serif" w:hAnsi="Times New Roman;serif"/>
                <w:b/>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65"/>
        <w:gridCol w:w="202"/>
        <w:gridCol w:w="191"/>
        <w:gridCol w:w="198"/>
        <w:gridCol w:w="580"/>
        <w:gridCol w:w="110"/>
        <w:gridCol w:w="109"/>
        <w:gridCol w:w="109"/>
        <w:gridCol w:w="109"/>
        <w:gridCol w:w="311"/>
        <w:gridCol w:w="311"/>
        <w:gridCol w:w="689"/>
        <w:gridCol w:w="109"/>
        <w:gridCol w:w="109"/>
        <w:gridCol w:w="109"/>
        <w:gridCol w:w="365"/>
        <w:gridCol w:w="785"/>
        <w:gridCol w:w="204"/>
        <w:gridCol w:w="109"/>
        <w:gridCol w:w="109"/>
        <w:gridCol w:w="109"/>
        <w:gridCol w:w="198"/>
        <w:gridCol w:w="580"/>
        <w:gridCol w:w="110"/>
        <w:gridCol w:w="109"/>
        <w:gridCol w:w="109"/>
        <w:gridCol w:w="109"/>
        <w:gridCol w:w="311"/>
        <w:gridCol w:w="311"/>
        <w:gridCol w:w="689"/>
        <w:gridCol w:w="109"/>
        <w:gridCol w:w="109"/>
        <w:gridCol w:w="109"/>
        <w:gridCol w:w="365"/>
        <w:gridCol w:w="785"/>
        <w:gridCol w:w="204"/>
        <w:gridCol w:w="109"/>
        <w:gridCol w:w="109"/>
        <w:gridCol w:w="109"/>
        <w:gridCol w:w="109"/>
        <w:gridCol w:w="109"/>
        <w:gridCol w:w="161"/>
      </w:tblGrid>
      <w:tr>
        <w:trPr/>
        <w:tc>
          <w:tcPr>
            <w:tcW w:w="36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706" w:type="dxa"/>
            <w:gridSpan w:val="6"/>
            <w:tcBorders/>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as a % of Total(A)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Income of Consolidated Subsidiaries(B)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as a % of Total(A)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Income of Consolidated Subsidiaries(B)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the weighted average percentage of total noncontrolling shareholders’ net income (loss) in consolidated subsidiaries throughout the period, which may not agree to the percentages as calculated based on the ending balances presented above.</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Balances may not cross-foot due to rounding for presentation purposes in the Noncontrolling Interest as a Percent of Total shown.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noncontrolling interests in the equity of consolidated subsidiaries are computed as follows:</w:t>
      </w:r>
    </w:p>
    <w:tbl>
      <w:tblPr>
        <w:tblW w:w="10205" w:type="dxa"/>
        <w:jc w:val="left"/>
        <w:tblInd w:w="0" w:type="dxa"/>
        <w:tblLayout w:type="fixed"/>
        <w:tblCellMar>
          <w:top w:w="28" w:type="dxa"/>
          <w:left w:w="28" w:type="dxa"/>
          <w:bottom w:w="28" w:type="dxa"/>
          <w:right w:w="28" w:type="dxa"/>
        </w:tblCellMar>
      </w:tblPr>
      <w:tblGrid>
        <w:gridCol w:w="368"/>
        <w:gridCol w:w="207"/>
        <w:gridCol w:w="197"/>
        <w:gridCol w:w="287"/>
        <w:gridCol w:w="641"/>
        <w:gridCol w:w="161"/>
        <w:gridCol w:w="109"/>
        <w:gridCol w:w="109"/>
        <w:gridCol w:w="109"/>
        <w:gridCol w:w="328"/>
        <w:gridCol w:w="328"/>
        <w:gridCol w:w="727"/>
        <w:gridCol w:w="109"/>
        <w:gridCol w:w="109"/>
        <w:gridCol w:w="109"/>
        <w:gridCol w:w="385"/>
        <w:gridCol w:w="799"/>
        <w:gridCol w:w="215"/>
        <w:gridCol w:w="109"/>
        <w:gridCol w:w="109"/>
        <w:gridCol w:w="109"/>
        <w:gridCol w:w="224"/>
        <w:gridCol w:w="739"/>
        <w:gridCol w:w="126"/>
        <w:gridCol w:w="109"/>
        <w:gridCol w:w="109"/>
        <w:gridCol w:w="109"/>
        <w:gridCol w:w="328"/>
        <w:gridCol w:w="328"/>
        <w:gridCol w:w="727"/>
        <w:gridCol w:w="109"/>
        <w:gridCol w:w="109"/>
        <w:gridCol w:w="109"/>
        <w:gridCol w:w="312"/>
        <w:gridCol w:w="886"/>
        <w:gridCol w:w="257"/>
      </w:tblGrid>
      <w:tr>
        <w:trPr/>
        <w:tc>
          <w:tcPr>
            <w:tcW w:w="3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Ownership Interest as a Percent of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Equity of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Ownership Interest as a Percent of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Equity of Consolidated Subsidiaries</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8,364 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8—NET INCOME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computed by dividing net income (loss) attributable to the Company by the weighted-average number of shares of common stock outstanding during the period. Diluted net income (loss) per share is computed by dividing net income (loss) attributable to the Company by the weighted-average number of shares of common stock outstanding adjusted to give effect to potentially dilutive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income (loss) per share reflects the dilutive effect of potential common shares from share-based awards, warrants and convertible preferred stock. The treasury stock method is used to calculate the dilutive effect of outstanding share-based awards and warrants, which assumes the proceeds upon vesting or exercise would be used to purchase common stock at the average price for the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income (loss) per share is computed using the two-class method which is required for multiple classes of common stock and participating securities. In historical periods where the Company had outstanding convertible preferred stock, net income (loss) attributable to FTS is first allocated to the convertible preferred stock based on their dividend preference. Any remaining net income (loss) attributable to FTS is then allocated to common stockholders and preferred stockholders using the if-converted method. All preferred stock was convertible on a 1:1 basis to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including the liquidation and dividend rights and sharing of losses, of the Class A common stock, Blockchain common stock, and Class B common stock are identical, other than voting rights. As the liquidation and dividend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3370"/>
                <wp:effectExtent l="0" t="0" r="0" b="0"/>
                <wp:wrapNone/>
                <wp:docPr id="31" name="Frame3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sharing of profits are identical, the undistributed earnings are allocated on a proportionate basis for those classes and the resulting net income (loss) per share will, therefore, be the same for Class A common stock, Blockchain common stock, and Class B common stock on an individual or combined basis, and they have been combined as common shares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income per common share for the periods presented:</w:t>
      </w:r>
    </w:p>
    <w:tbl>
      <w:tblPr>
        <w:tblW w:w="10205" w:type="dxa"/>
        <w:jc w:val="left"/>
        <w:tblInd w:w="0" w:type="dxa"/>
        <w:tblLayout w:type="fixed"/>
        <w:tblCellMar>
          <w:top w:w="28" w:type="dxa"/>
          <w:left w:w="28" w:type="dxa"/>
          <w:bottom w:w="28" w:type="dxa"/>
          <w:right w:w="28" w:type="dxa"/>
        </w:tblCellMar>
      </w:tblPr>
      <w:tblGrid>
        <w:gridCol w:w="1722"/>
        <w:gridCol w:w="1492"/>
        <w:gridCol w:w="1499"/>
        <w:gridCol w:w="244"/>
        <w:gridCol w:w="807"/>
        <w:gridCol w:w="109"/>
        <w:gridCol w:w="109"/>
        <w:gridCol w:w="109"/>
        <w:gridCol w:w="109"/>
        <w:gridCol w:w="223"/>
        <w:gridCol w:w="738"/>
        <w:gridCol w:w="109"/>
        <w:gridCol w:w="109"/>
        <w:gridCol w:w="109"/>
        <w:gridCol w:w="109"/>
        <w:gridCol w:w="221"/>
        <w:gridCol w:w="830"/>
        <w:gridCol w:w="109"/>
        <w:gridCol w:w="109"/>
        <w:gridCol w:w="109"/>
        <w:gridCol w:w="109"/>
        <w:gridCol w:w="223"/>
        <w:gridCol w:w="738"/>
        <w:gridCol w:w="160"/>
      </w:tblGrid>
      <w:tr>
        <w:trPr/>
        <w:tc>
          <w:tcPr>
            <w:tcW w:w="172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Numerator:</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FTS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Undistributed earnings attributable to convertible preferred stockholders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 basic and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Basic weighted average common shares attributable to FTS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221,514,237 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69,718,087 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219,395,921 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69,558,368 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Add: effect of dilutive securities related to share-based payment awards</w:t>
            </w:r>
            <w:r>
              <w:rPr>
                <w:color w:val="000000"/>
              </w:rPr>
              <w:t xml:space="preserve"> </w:t>
            </w:r>
            <w:r>
              <w:rPr>
                <w:rFonts w:ascii="Times New Roman;serif" w:hAnsi="Times New Roman;serif"/>
                <w:b w:val="false"/>
                <w:color w:val="000000"/>
                <w:sz w:val="10"/>
              </w:rPr>
              <w:t>(A)</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17,205,202 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Diluted weighted average common shares attributable to FTS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246,969,949 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87,771,893 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247,926,321 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86,763,570 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attributable to FTS,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attributable to FTS,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The dilutive impact of share-based payment awards and warrants for the three months ended June 30, 2026 and 2025 comprised of 21,891,686 and 16,626,395 shares related to stock options, zero and 1,427,411 shares related to warrants and 3,564,026 and zero related to unvested RSUs, respectively. The dilutive impact of share-based payment awards and warrants for the six months ended June 30, 2026 and 2025 comprised of 23,853,506 and 15,902,257 shares related to stock options, zero and 1,302,945 shares related to warrants, and 4,676,894 and zero related to unvested RSUs, respectively. For the three and six months ended</w:t>
      </w:r>
      <w:r>
        <w:rPr>
          <w:color w:val="000000"/>
        </w:rPr>
        <w:t xml:space="preserve"> </w:t>
      </w:r>
      <w:r>
        <w:rPr>
          <w:rFonts w:ascii="Times New Roman;serif" w:hAnsi="Times New Roman;serif"/>
          <w:b w:val="false"/>
          <w:color w:val="000000"/>
          <w:sz w:val="16"/>
        </w:rPr>
        <w:t xml:space="preserve">June 30, 2026, 3,205,942 and 1,602,971 shares, respectively, related to unvested options were excluded from the dilutive impact as those shares would have been anti-dilutive to the share count as of June 30, 2026. For the three and six months ended June 30, 2025, 3,110,889 and 2,950,318 shares, respectively, related to unvested RSUs were excluded from the dilutive impact as the issuance of those shares was contingent upon the satisfaction of a liquidity condition which was not satisfied as of the end of those periods. </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9</w:t>
      </w:r>
      <w:r>
        <w:rPr>
          <w:color w:val="000000"/>
        </w:rPr>
        <w:t>—</w:t>
      </w:r>
      <w:r>
        <w:rPr>
          <w:rFonts w:ascii="Times New Roman;serif" w:hAnsi="Times New Roman;serif"/>
          <w:b/>
          <w:color w:val="000000"/>
          <w:sz w:val="20"/>
        </w:rPr>
        <w:t xml:space="preserve">VARIABLE INTEREST ENTITIES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VIEs in which the Company is deemed to have both the power to direct the most significant activities of the entities and the right to receive benefits, or the obligation to absorb losses, that could potentially be significant to the entities.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classification of the assets and liabilities of VIEs consolidated within the Condensed Consolidated Balance Sheets, after elimination of intercompany balances:</w:t>
      </w:r>
    </w:p>
    <w:tbl>
      <w:tblPr>
        <w:tblW w:w="7635" w:type="dxa"/>
        <w:jc w:val="left"/>
        <w:tblInd w:w="0" w:type="dxa"/>
        <w:tblLayout w:type="fixed"/>
        <w:tblCellMar>
          <w:top w:w="28" w:type="dxa"/>
          <w:left w:w="28" w:type="dxa"/>
          <w:bottom w:w="28" w:type="dxa"/>
          <w:right w:w="28" w:type="dxa"/>
        </w:tblCellMar>
      </w:tblPr>
      <w:tblGrid>
        <w:gridCol w:w="737"/>
        <w:gridCol w:w="648"/>
        <w:gridCol w:w="654"/>
        <w:gridCol w:w="196"/>
        <w:gridCol w:w="736"/>
        <w:gridCol w:w="109"/>
        <w:gridCol w:w="109"/>
        <w:gridCol w:w="109"/>
        <w:gridCol w:w="109"/>
        <w:gridCol w:w="234"/>
        <w:gridCol w:w="880"/>
        <w:gridCol w:w="130"/>
        <w:gridCol w:w="109"/>
        <w:gridCol w:w="109"/>
        <w:gridCol w:w="109"/>
        <w:gridCol w:w="196"/>
        <w:gridCol w:w="736"/>
        <w:gridCol w:w="109"/>
        <w:gridCol w:w="109"/>
        <w:gridCol w:w="109"/>
        <w:gridCol w:w="109"/>
        <w:gridCol w:w="232"/>
        <w:gridCol w:w="874"/>
        <w:gridCol w:w="183"/>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Liabilities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Figure REIT</w:t>
            </w:r>
            <w:r>
              <w:rPr>
                <w:rFonts w:ascii="Times New Roman;serif" w:hAnsi="Times New Roman;serif"/>
                <w:b w:val="false"/>
                <w:color w:val="000000"/>
                <w:sz w:val="10"/>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Certificate Company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561,006 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564,025 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331,066 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As of March 27, 2026, Figure REIT, Inc. merged with and into VS Evergreen Acquisition Co. L.P.. As a result of the merger, Figure REIT, Inc. is no longer controlled nor consolidated by FTS. See “Note 7—Equity—Noncontrolling Interests in Consolidated Subsidiaries”, for further discussion on the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has wholly-owned consolidated VIEs that are formed to acquire, receive, participate, hold, release and dispose of participation interests for the Company’s warehouse facilities. The Company is the primary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3370"/>
                <wp:effectExtent l="0" t="0" r="0" b="0"/>
                <wp:wrapNone/>
                <wp:docPr id="32" name="Frame3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beneficiary of these VIEs, and retains the risks and benefits associated with the assets and liabilities transferred to the VIEs. See “Note 6—Debt” for further discussion of the Company’s warehouse facilities.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Offshore Solana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Offshore Solana Fund was initially a wholly-owned subsidiary of the Company. In July 2024, the Company sold 2.8% of the Offshore Solana Fund limited partnership interests to unrelated third parties. As of June 30, 2026,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Condensed Consolidated Balance Sheets and reflects changes thereon in the Condensed Consolidated Statements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See “Note 7—Equity” for further discussion of noncontrolling interests in the Offshore Solana Fund.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Figure Certificate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FCC is a face-amount certificate company registered with the SEC and is a wholly-owned subsidiary of the Company. The Company holds all voting rights in FCC and it directs the activities that most significantly impact the economic performance of FCC.</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the Company continues to be involved with securitizations considered VIEs in its role as the sponsor and the servicer of securitization transactions, the Company has determined that it is not the primary beneficiary of these entities and therefore does not consolidate these securitizations. These entities are established as grantor trusts for various securitization transactions. The activities that most significantly impact the economic performance of the VIE include servicing activities with respect to delinquent and defaulted loans, determined by a third-party special 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risk characteristics of the unconsolidated VIEs and the Company’s maximum exposure to loss at June 30, 2026 and December 31, 2025:</w:t>
      </w:r>
    </w:p>
    <w:tbl>
      <w:tblPr>
        <w:tblW w:w="6163" w:type="dxa"/>
        <w:jc w:val="left"/>
        <w:tblInd w:w="0" w:type="dxa"/>
        <w:tblLayout w:type="fixed"/>
        <w:tblCellMar>
          <w:top w:w="28" w:type="dxa"/>
          <w:left w:w="28" w:type="dxa"/>
          <w:bottom w:w="28" w:type="dxa"/>
          <w:right w:w="28" w:type="dxa"/>
        </w:tblCellMar>
      </w:tblPr>
      <w:tblGrid>
        <w:gridCol w:w="1081"/>
        <w:gridCol w:w="950"/>
        <w:gridCol w:w="953"/>
        <w:gridCol w:w="196"/>
        <w:gridCol w:w="871"/>
        <w:gridCol w:w="241"/>
        <w:gridCol w:w="109"/>
        <w:gridCol w:w="109"/>
        <w:gridCol w:w="109"/>
        <w:gridCol w:w="223"/>
        <w:gridCol w:w="995"/>
        <w:gridCol w:w="326"/>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UPB of securitization collateral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7,730,516 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4,595,629 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Face amount of debt held by third parties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7,406,308 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4,805,192 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Maximum exposure</w:t>
            </w:r>
            <w:r>
              <w:rPr>
                <w:rFonts w:ascii="Times New Roman;serif" w:hAnsi="Times New Roman;serif"/>
                <w:b w:val="false"/>
                <w:color w:val="000000"/>
                <w:sz w:val="10"/>
              </w:rPr>
              <w:t>(A)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347,793 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Weighted average delinquency</w:t>
            </w:r>
            <w:r>
              <w:rPr>
                <w:rFonts w:ascii="Times New Roman;serif" w:hAnsi="Times New Roman;serif"/>
                <w:b w:val="false"/>
                <w:color w:val="000000"/>
                <w:sz w:val="10"/>
              </w:rPr>
              <w:t>(B)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Primarily represents the aggregate fair value of the Company’s investments in marketable securities and collateralized servicing assets. In certain cases, the Company is also obligated to fund securitization reserve accounts. See “Note 10</w:t>
      </w:r>
      <w:r>
        <w:rPr>
          <w:color w:val="000000"/>
        </w:rPr>
        <w:t>—</w:t>
      </w:r>
      <w:r>
        <w:rPr>
          <w:rFonts w:ascii="Times New Roman;serif" w:hAnsi="Times New Roman;serif"/>
          <w:b w:val="false"/>
          <w:color w:val="000000"/>
          <w:sz w:val="16"/>
        </w:rPr>
        <w:t>Commitments and Contingencies” for further discussion regarding the Company’s reserve account funding obligations.</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Represents the percentage of the UPB that is 60+ days delinquent.</w:t>
      </w:r>
    </w:p>
    <w:p>
      <w:pPr>
        <w:pStyle w:val="TextBody"/>
        <w:bidi w:val="0"/>
        <w:spacing w:before="0" w:after="18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10</w:t>
      </w:r>
      <w:r>
        <w:rPr>
          <w:color w:val="000000"/>
        </w:rPr>
        <w:t>—</w:t>
      </w:r>
      <w:r>
        <w:rPr>
          <w:rFonts w:ascii="Times New Roman;serif" w:hAnsi="Times New Roman;serif"/>
          <w:b/>
          <w:color w:val="000000"/>
          <w:sz w:val="20"/>
        </w:rPr>
        <w:t>COMMITMENTS AND CONTINGENCIES</w:t>
      </w:r>
    </w:p>
    <w:p>
      <w:pPr>
        <w:pStyle w:val="TextBody"/>
        <w:bidi w:val="0"/>
        <w:spacing w:lineRule="auto" w:line="288" w:before="0" w:after="180"/>
        <w:jc w:val="both"/>
        <w:rPr/>
      </w:pPr>
      <w:r>
        <w:rPr>
          <w:rFonts w:ascii="Times New Roman;serif" w:hAnsi="Times New Roman;serif"/>
          <w:b/>
          <w:color w:val="000000"/>
          <w:sz w:val="20"/>
        </w:rPr>
        <w:t>Litigation</w:t>
      </w:r>
      <w:r>
        <w:rPr>
          <w:color w:val="000000"/>
        </w:rPr>
        <w:t xml:space="preserve"> — </w:t>
      </w:r>
      <w:r>
        <w:rPr>
          <w:rFonts w:ascii="Times New Roman;serif" w:hAnsi="Times New Roman;serif"/>
          <w:b w:val="false"/>
          <w:color w:val="000000"/>
          <w:sz w:val="20"/>
        </w:rPr>
        <w:t>The Company is or may become, from time to time, involved in various disputes, litigation, arbitration, and regulatory inquiry and investigation matters that arise in the 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for which management believes assertion is probable and, if asserted, an unfavorable outcome would be reasonably possible and material. The Company may become involved in additional litigation in the ordinary course of the Company’s business in the future, including litigation that could be material to its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3370"/>
                <wp:effectExtent l="0" t="0" r="0" b="0"/>
                <wp:wrapNone/>
                <wp:docPr id="33" name="Frame3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from time to time, subject to inquiries by government entities, though the Company currently does not believe any of these inquiries would result in a material adverse effect on the Company’s business.</w:t>
      </w:r>
    </w:p>
    <w:p>
      <w:pPr>
        <w:pStyle w:val="TextBody"/>
        <w:bidi w:val="0"/>
        <w:spacing w:lineRule="auto" w:line="288" w:before="0" w:after="180"/>
        <w:jc w:val="both"/>
        <w:rPr/>
      </w:pPr>
      <w:r>
        <w:rPr>
          <w:rFonts w:ascii="Times New Roman;serif" w:hAnsi="Times New Roman;serif"/>
          <w:b/>
          <w:color w:val="000000"/>
          <w:sz w:val="20"/>
        </w:rPr>
        <w:t>Indemnifications</w:t>
      </w:r>
      <w:r>
        <w:rPr>
          <w:color w:val="000000"/>
        </w:rPr>
        <w:t xml:space="preserve"> — </w:t>
      </w:r>
      <w:r>
        <w:rPr>
          <w:rFonts w:ascii="Times New Roman;serif" w:hAnsi="Times New Roman;serif"/>
          <w:b w:val="false"/>
          <w:color w:val="000000"/>
          <w:sz w:val="20"/>
        </w:rPr>
        <w:t>In the normal course of business, the Company and its subsidiaries enter into contracts that contain representations and warranties that provide general 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pStyle w:val="TextBody"/>
        <w:bidi w:val="0"/>
        <w:spacing w:lineRule="auto" w:line="288" w:before="0" w:after="180"/>
        <w:jc w:val="both"/>
        <w:rPr/>
      </w:pPr>
      <w:r>
        <w:rPr>
          <w:rFonts w:ascii="Times New Roman;serif" w:hAnsi="Times New Roman;serif"/>
          <w:b/>
          <w:color w:val="000000"/>
          <w:sz w:val="20"/>
        </w:rPr>
        <w:t>Loan Purchase and Servicing Commitments</w:t>
      </w:r>
      <w:r>
        <w:rPr>
          <w:color w:val="000000"/>
        </w:rPr>
        <w:t xml:space="preserve"> — </w:t>
      </w:r>
      <w:r>
        <w:rPr>
          <w:rFonts w:ascii="Times New Roman;serif" w:hAnsi="Times New Roman;serif"/>
          <w:b w:val="false"/>
          <w:color w:val="000000"/>
          <w:sz w:val="20"/>
        </w:rPr>
        <w:t>The Company enters into agreements with various loan origination partners to purchase and service the loans they originate through the Technology Offering. At June 30, 2026 and December 31, 2025, purchase commitments were not material. The Company does not record an asset or liability for purchase or servicing commitments since it expects such commitments to benefit the Company, the Company has not yet taken control of the underlying loans, and the commitments are not material.</w:t>
      </w:r>
    </w:p>
    <w:p>
      <w:pPr>
        <w:pStyle w:val="TextBody"/>
        <w:bidi w:val="0"/>
        <w:spacing w:lineRule="auto" w:line="288" w:before="0" w:after="180"/>
        <w:jc w:val="both"/>
        <w:rPr/>
      </w:pPr>
      <w:r>
        <w:rPr>
          <w:rFonts w:ascii="Times New Roman;serif" w:hAnsi="Times New Roman;serif"/>
          <w:b/>
          <w:color w:val="000000"/>
          <w:sz w:val="20"/>
        </w:rPr>
        <w:t>Loan Funding Obligations</w:t>
      </w:r>
      <w:r>
        <w:rPr>
          <w:color w:val="000000"/>
        </w:rPr>
        <w:t xml:space="preserve"> — </w:t>
      </w:r>
      <w:r>
        <w:rPr>
          <w:rFonts w:ascii="Times New Roman;serif" w:hAnsi="Times New Roman;serif"/>
          <w:b w:val="false"/>
          <w:color w:val="000000"/>
          <w:sz w:val="20"/>
        </w:rPr>
        <w:t xml:space="preserve">The HELOC loans that the Company originates or purchases include terms that permit borrowers to draw amounts, or redraw previously repaid amounts, typically up to a 5-year period after the original origination date. At June 30, 2026 and December 31, 2025, borrowers were able to borrow up to $128.1 million and $105.1 million on undrawn HELOC loans that the Company has committed to fund. Additionally, the Company has $43.6 million and </w:t>
      </w:r>
      <w:r>
        <w:rPr>
          <w:rFonts w:ascii="Times New Roman;serif" w:hAnsi="Times New Roman;serif"/>
          <w:b w:val="false"/>
          <w:color w:val="000000"/>
          <w:sz w:val="20"/>
          <w:shd w:fill="FFFFFF" w:val="clear"/>
        </w:rPr>
        <w:t>$16.9 million</w:t>
      </w:r>
      <w:r>
        <w:rPr>
          <w:color w:val="000000"/>
        </w:rPr>
        <w:t xml:space="preserve"> </w:t>
      </w:r>
      <w:r>
        <w:rPr>
          <w:rFonts w:ascii="Times New Roman;serif" w:hAnsi="Times New Roman;serif"/>
          <w:b w:val="false"/>
          <w:color w:val="000000"/>
          <w:sz w:val="20"/>
        </w:rPr>
        <w:t xml:space="preserve">in unfunded loan commitments at June 30, 2026 and December 31, 2025, respectively, related to loans originated or purchased near the end of each respective period, which were substantially settled within a week after each period end. </w:t>
      </w:r>
    </w:p>
    <w:p>
      <w:pPr>
        <w:pStyle w:val="TextBody"/>
        <w:bidi w:val="0"/>
        <w:spacing w:lineRule="auto" w:line="288" w:before="0" w:after="180"/>
        <w:jc w:val="both"/>
        <w:rPr/>
      </w:pPr>
      <w:r>
        <w:rPr>
          <w:rFonts w:ascii="Times New Roman;serif" w:hAnsi="Times New Roman;serif"/>
          <w:b/>
          <w:color w:val="000000"/>
          <w:sz w:val="20"/>
        </w:rPr>
        <w:t>Loan Repurchase Obligations</w:t>
      </w:r>
      <w:r>
        <w:rPr>
          <w:color w:val="000000"/>
        </w:rPr>
        <w:t xml:space="preserve"> — </w:t>
      </w:r>
      <w:r>
        <w:rPr>
          <w:rFonts w:ascii="Times New Roman;serif" w:hAnsi="Times New Roman;serif"/>
          <w:b w:val="false"/>
          <w:color w:val="000000"/>
          <w:sz w:val="20"/>
        </w:rPr>
        <w:t>The Company has contractual agreements with certain loan buyers to repurchase or substitute loans where a borrower misses a payment within 30 to 90 days since the loan’s origination, though the Company indemnifies the loan buyer against future losses on such loans in certain cases. The repurchase price is equal to the original sale price to the loan purchaser and the Company recognizes a loss to the extent the repurchase price of the loan exceeds the estimated fair value on the repurchase date, further adjusted upon resale of the loan, if applicable. The Company generally continues to service the defaulting loan through a third-party subservicer. The Company repurchased loans for which it recognized losses of $1.6 million and $1.6 million, respectively, for the three and six months ended June 30, 2026, and $2.1 million and $3.7 million, respectively, for the three and six months ended June 30, 2025 within “Other expense” in the 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has contingent commitments to repurchase loans with an aggregate UPB of up to $2.9 billion for which the Company recorded repurchase obligations totaling $19.2 million. At December 31, 2025, the Company had contingent commitments to repurchase loans with an aggregate UPB of up to $1.8 billion for which the Company recorded repurchase obligations totaling $17.7 million. These repurchase obligations are recorded within “Payables to third-party loan owners” in the Condensed Consolidated Balance Sheets. The Company recorded a reserve of $7.3 million and $6.2 million within “Other current liabilities” in the Condensed Consolidated Balance Sheets, based on the Company’s estimate of expected future losses at June 30, 2026 and December 31, 2025, respectively.</w:t>
      </w:r>
    </w:p>
    <w:p>
      <w:pPr>
        <w:pStyle w:val="TextBody"/>
        <w:bidi w:val="0"/>
        <w:spacing w:lineRule="auto" w:line="288" w:before="0" w:after="180"/>
        <w:jc w:val="both"/>
        <w:rPr/>
      </w:pPr>
      <w:r>
        <w:rPr>
          <w:rFonts w:ascii="Times New Roman;serif" w:hAnsi="Times New Roman;serif"/>
          <w:b/>
          <w:color w:val="000000"/>
          <w:sz w:val="20"/>
        </w:rPr>
        <w:t xml:space="preserve">Securitization Commitments </w:t>
      </w:r>
      <w:r>
        <w:rPr>
          <w:color w:val="000000"/>
        </w:rPr>
        <w:t xml:space="preserve">— </w:t>
      </w:r>
      <w:r>
        <w:rPr>
          <w:rFonts w:ascii="Times New Roman;serif" w:hAnsi="Times New Roman;serif"/>
          <w:b w:val="false"/>
          <w:color w:val="000000"/>
          <w:sz w:val="20"/>
        </w:rPr>
        <w:t>During the three months ended June 30, 2026, the Company entered into a pre-funded securitization transaction collateralized by HELOC loans originated or acquired by the Company. The vehicle structure permits staggered delivery of loans following settlement and engages a related party affiliate which is an equity method investee of the Company. At settlement, program fees of $0.6 million were recognized and reported in the “Ecosystem and technology fees” caption on the Condensed Consolidated Statements of Operations at June 30, 2026. Further, the Company is obligated to deliver HELOC loans with an aggregate UPB of $300.0 million prior to the close of the prefunding period, which is expected to occur in the three months ending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3370"/>
                <wp:effectExtent l="0" t="0" r="0" b="0"/>
                <wp:wrapNone/>
                <wp:docPr id="34" name="Frame3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color w:val="000000"/>
          <w:sz w:val="20"/>
        </w:rPr>
        <w:t>Securitization Reserve Account Funding Obligations</w:t>
      </w:r>
      <w:r>
        <w:rPr>
          <w:color w:val="000000"/>
        </w:rPr>
        <w:t xml:space="preserve"> — </w:t>
      </w:r>
      <w:r>
        <w:rPr>
          <w:rFonts w:ascii="Times New Roman;serif" w:hAnsi="Times New Roman;serif"/>
          <w:b w:val="false"/>
          <w:color w:val="000000"/>
          <w:sz w:val="20"/>
        </w:rPr>
        <w:t>The Company, in its capacity as servicer of certain securitizations, has committed to fund and replenish customary 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 of the reserve accounts at June 30, 2026.</w:t>
      </w:r>
    </w:p>
    <w:p>
      <w:pPr>
        <w:pStyle w:val="TextBody"/>
        <w:bidi w:val="0"/>
        <w:spacing w:lineRule="auto" w:line="288" w:before="0" w:after="180"/>
        <w:jc w:val="both"/>
        <w:rPr/>
      </w:pPr>
      <w:r>
        <w:rPr>
          <w:rFonts w:ascii="Times New Roman;serif" w:hAnsi="Times New Roman;serif"/>
          <w:b/>
          <w:color w:val="000000"/>
          <w:sz w:val="20"/>
        </w:rPr>
        <w:t xml:space="preserve">Capital Commitments </w:t>
      </w:r>
      <w:r>
        <w:rPr>
          <w:color w:val="000000"/>
        </w:rPr>
        <w:t xml:space="preserve">— </w:t>
      </w:r>
      <w:r>
        <w:rPr>
          <w:rFonts w:ascii="Times New Roman;serif" w:hAnsi="Times New Roman;serif"/>
          <w:b w:val="false"/>
          <w:color w:val="000000"/>
          <w:sz w:val="20"/>
        </w:rPr>
        <w:t>In February 2025, the Company entered into a joint venture agreement with a third party to finance loans originated or purchased by the Company. As part of that agreement, the Company committed to invest up to $10.5 million in exchange for a 5.0% interest in the joint venture. The Company contributed $3.0 million in capital to the joint venture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Leases</w:t>
      </w:r>
      <w:r>
        <w:rPr>
          <w:color w:val="000000"/>
        </w:rPr>
        <w:t xml:space="preserve"> — </w:t>
      </w:r>
      <w:r>
        <w:rPr>
          <w:rFonts w:ascii="Times New Roman;serif" w:hAnsi="Times New Roman;serif"/>
          <w:b w:val="false"/>
          <w:color w:val="000000"/>
          <w:sz w:val="20"/>
        </w:rPr>
        <w:t>The Company has non-cancellable leases on office spaces expiring through 2031 that it does not sublease. Rent expense totaled $0.7 million and $1.3 million for the three and six months ended June 30, 2026, respectively, and $0.6 million and $1.3 million for the three and six months ended June 30, 2025, respectively. The Company has leases that include renewal options, leasehold improvement incentives, and escalation clauses. At June 30, 2026, the Company has not considered such renewal provisions in the determination of the lease term, as it is not reasonably certain these options will be exercised. The terms of the leases do not impose any financial restrictions or covenants. Operating lease right-of-use (“ROU”) assets of $4.3 million are presented in “Other non-current assets”, and lease liabilities of $4.8 million are presented in “Other current liabilities” and “Lease liability, non-current”, in the Condensed Consolidated Balance Sheets at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undiscounted, minimum lease payments for the Company’s non-cancellable operating leases are as follows:</w:t>
      </w:r>
    </w:p>
    <w:tbl>
      <w:tblPr>
        <w:tblW w:w="3749" w:type="dxa"/>
        <w:jc w:val="left"/>
        <w:tblInd w:w="0" w:type="dxa"/>
        <w:tblLayout w:type="fixed"/>
        <w:tblCellMar>
          <w:top w:w="28" w:type="dxa"/>
          <w:left w:w="28" w:type="dxa"/>
          <w:bottom w:w="28" w:type="dxa"/>
          <w:right w:w="28" w:type="dxa"/>
        </w:tblCellMar>
      </w:tblPr>
      <w:tblGrid>
        <w:gridCol w:w="934"/>
        <w:gridCol w:w="821"/>
        <w:gridCol w:w="824"/>
        <w:gridCol w:w="253"/>
        <w:gridCol w:w="718"/>
        <w:gridCol w:w="199"/>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Years Ending December 31,</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(remainder)</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undiscounted lease payments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Imputed Interest</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Lease Liabilities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weighted average remaining lease term for operating leases was 4.2 years and 4.2 years, respectively, and the weighted average discount rate was 10.2% and 9.3%, respectively. Cash paid for amounts included in the measurement of operating lease liabilities was $0.8 million and $1.5 million for the three and six months ended June 30, 2026, respectively, and $0.4 million and $1.1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Proposed Acquisition of Kiavi,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mutual termination rights for Kiavi and the Company under certain conditions, as defined in the Merger Agreement. The Merger Agreement also contains a termination right for the Company if Kiavi has not delivered the Requisite Stockholder Consent (as defined in the Merger Agreement) to the Company prior to the date specified in the Merger Agreement. Under the Merger Agreement, the Company may be required to pay a termination fee to Kiavi of $25.0 million if the Merger Agreement is terminated by the Company under certain conditions, as defined in the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the Company entered into a commitment letter with Bank of America, N.A., BofA Securities, Inc. and Barclays Bank PLC, pursuant to which Bank of America, N.A. and Barclays Bank PLC committed, subject to the satisfaction of customary conditions, to provide the Company with a 364-day Bridge Loan Facility in an aggregate principal amount not to exceed $600.0 million, which remained undrawn as of June 30, 2026. Refer to “Note 6—Debt” for further information regarding the Bridge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3370"/>
                <wp:effectExtent l="0" t="0" r="0" b="0"/>
                <wp:wrapNone/>
                <wp:docPr id="35" name="Frame3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closed its previously announced private offering of $600.0 million principal amount of 8.500% Senior Notes. Concurrently with, and as a result of, the issuance of the Notes, the Company terminated the Bridge Loan Facility effective July 14, 2026. Refer to “Note 14—Subsequent Events” for further information regarding the issuance of the Notes.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11</w:t>
      </w:r>
      <w:r>
        <w:rPr>
          <w:color w:val="000000"/>
        </w:rPr>
        <w:t>—</w:t>
      </w:r>
      <w:r>
        <w:rPr>
          <w:rFonts w:ascii="Times New Roman;serif" w:hAnsi="Times New Roman;serif"/>
          <w:b/>
          <w:color w:val="000000"/>
          <w:sz w:val="20"/>
        </w:rPr>
        <w:t xml:space="preserve">RELATED PARTY TRANSACTIONS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Provenance Blockchain Foundation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Term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2022, the Company entered into an interest bearing term note with the Provenance Blockchain Foundation (“Provenance”), pursuant to which the Company provided Provenance with a $5.0 million loan, which was subsequently amended on June 12, 2023, to increase the total principal amount to $9.1 million. The term note was eligible to be settled in cash or an equivalent value of HASH at maturity. On December 31, 2025, the loan was settled in full. The total loan balance at the time of payoff, including all accrued interest, was $10.1 million. As allowed by the terms of the note, the payoff was satisfied through the transfer of 4,969,120,678 HASH tokens. The per token value of the HASH tokens was determined to be $0.00205, based on a valuation report provided by an independent third party. This valuation resulted in a total transfer value of $10.2 million, which resulted in a payable to related party of $0.1 million as of December 31, 2025. The payable to related party has been settled as of June 30, 2026. Interest earned on the note was $0.4 million for the six months ended June 30, 2025, recorded as “Interest income” in the Condensed Consolidated Statements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Gas Fee Service Provider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February 2025, FCC entered into a services agreement with Provenance whereby Provenance pays, on behalf of FCC, HASH to cover fees to network validators for processing and validating operations on the blockchain incurred in connection with the purchase or sale of the face-amount certificates issued by FCC and transacted on Provenance’s blockchain (“Provenance Blockchain”). FCC reimburses Provenance in cash in an amount equal to the then-current market value of HASH paid by Provenance. The Company recognized $1 thousand and $5 thousand incurred under the services agreement for the three and six months ended June 30, 2026, respectively, recorded as expense in “Operations and processing” on the Condensed Consolidated Statements of Operations. At June 30, 2026 the Company owed $7 thousand to Provenance recorded in “Accounts payable and accrued liabilities” in the Condensed Consolidated Balance Sheets.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Signum Ltd. (dba Hastra)</w:t>
      </w:r>
    </w:p>
    <w:p>
      <w:pPr>
        <w:pStyle w:val="TextBody"/>
        <w:bidi w:val="0"/>
        <w:spacing w:lineRule="auto" w:line="288" w:before="0" w:after="180"/>
        <w:jc w:val="both"/>
        <w:rPr/>
      </w:pPr>
      <w:r>
        <w:rPr>
          <w:rFonts w:ascii="Times New Roman;serif" w:hAnsi="Times New Roman;serif"/>
          <w:b w:val="false"/>
          <w:color w:val="000000"/>
          <w:sz w:val="20"/>
        </w:rPr>
        <w:t>In December 2025, the Company entered into a Software License Agreement (the “Agreement”) with Signum Ltd. (dba Hastra) (“Hastra”). Under the terms of the Agreement, the Company granted Hastra a nonexclusive, non-sublicensable, and nontransferable license to use certain proprietary software to support their protocol. In exchange for the license and ongoing maintenance and support services, Hastra pays the Company a royalty fee equal to 0.50% (50 basis points) of the per-transaction revenue earned from the pr</w:t>
      </w:r>
      <w:r>
        <w:rPr>
          <w:rFonts w:ascii="Times New Roman;serif" w:hAnsi="Times New Roman;serif"/>
          <w:b w:val="false"/>
          <w:color w:val="000000"/>
          <w:sz w:val="20"/>
          <w:shd w:fill="FFFFFF" w:val="clear"/>
        </w:rPr>
        <w:t>otocol.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initial term of the Agreement is three years, expiring in December 2028, with automatic one-year renewals thereafter. For the three and six months ended June 30, 2026, the Company recognized $0.4 million and $0.8 million revenue related to this Agreement, classified as Ecosystem and Technology Fees in the Condensed Consolidated Statements of Operations, and had $0.8 million outstanding receivables due from Hastra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Hastra holds YLDS as part of their protocol activity; the YLDS held by Hastra are recorded in “Debt, current to related parties” in the Condensed Consolidated Balance Sheets.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Investments in Loan Securitizations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retains certain residual interests issued as part of securitization transactions which are reported in the Marketable securities, at fair value caption on the Condensed Consolidated Balance Sheets. See “Note 3—Investments” for additional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3370"/>
                <wp:effectExtent l="0" t="0" r="0" b="0"/>
                <wp:wrapNone/>
                <wp:docPr id="36" name="Frame3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Executive Officer YLDS Holdings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Chief Capital Officer holds $2.5 million of YLDS invested in Democratized Prime, recorded as “Debt, current” on the Condensed Consolidated Balance Sheets. The officer’s holdings are on normal market terms and do not include any preferential terms, guarantees, or other arrangements with the Company.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Transactions with Equity-Method Investees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Reflow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the Company fully disposed of its equity-method investment in Reflow Services, LLC. As a result of the sale, the Company recognized a net gain of approximately $5.9 million, which is reported as part of Other income (expense), net in the Condensed Consolidated Statements of Operations. The transaction is also subject to customary post-close purchase price adjustments which are not expected to be material and cannot be reasonably estimated as of June 30,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Domestic Solana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Domestic Solana Fund previously acquired its investments in SOL cryptocurrency via public auction in association with the ongoing bankruptcy proceedings of FTX Trading Ltd. (“FTX”). The Company recorded contributions, net of distributions, to the Domestic Solana Fund in “Other non-current assets” in the Condensed Consolidated Balance Sheets as follows:</w:t>
      </w:r>
    </w:p>
    <w:tbl>
      <w:tblPr>
        <w:tblW w:w="5763" w:type="dxa"/>
        <w:jc w:val="left"/>
        <w:tblInd w:w="0" w:type="dxa"/>
        <w:tblLayout w:type="fixed"/>
        <w:tblCellMar>
          <w:top w:w="28" w:type="dxa"/>
          <w:left w:w="28" w:type="dxa"/>
          <w:bottom w:w="28" w:type="dxa"/>
          <w:right w:w="28" w:type="dxa"/>
        </w:tblCellMar>
      </w:tblPr>
      <w:tblGrid>
        <w:gridCol w:w="386"/>
        <w:gridCol w:w="339"/>
        <w:gridCol w:w="341"/>
        <w:gridCol w:w="249"/>
        <w:gridCol w:w="536"/>
        <w:gridCol w:w="138"/>
        <w:gridCol w:w="138"/>
        <w:gridCol w:w="138"/>
        <w:gridCol w:w="138"/>
        <w:gridCol w:w="249"/>
        <w:gridCol w:w="536"/>
        <w:gridCol w:w="138"/>
        <w:gridCol w:w="109"/>
        <w:gridCol w:w="109"/>
        <w:gridCol w:w="109"/>
        <w:gridCol w:w="211"/>
        <w:gridCol w:w="454"/>
        <w:gridCol w:w="117"/>
        <w:gridCol w:w="117"/>
        <w:gridCol w:w="117"/>
        <w:gridCol w:w="117"/>
        <w:gridCol w:w="211"/>
        <w:gridCol w:w="600"/>
        <w:gridCol w:w="166"/>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3—Investments” for detail on the Company’s investment in Domestic Solana Fund, which is accounted for using the equity method.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Evergreen Funds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had $3.0 million and $3.9 million in outstanding receivables due from and payables due to the VS Evergreen Financing Fund LP as of June 30, 2026, respectively. These amounts are recorded in “Accounts receivable, net” and “Accounts payable and accrued liabilities” financial statement captions, respectively, within the Condensed Consolidated Balance Sheets.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Fig SIX Mortgage, LLC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had $23.1 million in outstanding receivables due from Fig SIX Mortgage, LLC as of June 30, 2026, recorded in “Other current assets” in the Condensed Consolidated Balance Sheets.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Transactions with the Controlling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incurred $0.3 million and $0.4 million for the three and six months ended June 30, 2026, respectively, and $0.2 million and $0.3 million in the three and six months ended June 30, 2025, respectively, in costs to arrange travel for the Controlling Party and other affiliates, recorded as “General and administrative” expense in the 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Controlling Party holds $0.5 million of YLDS invested in Democratized Prime, recorded as “Debt, current” on the Condensed Consolidated Balance Sheets. The Controlling Party’s holdings are on normal market terms and do not include any preferential terms, guarantees, or other arrangements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3370"/>
                <wp:effectExtent l="0" t="0" r="0" b="0"/>
                <wp:wrapNone/>
                <wp:docPr id="37" name="Frame3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color w:val="000000"/>
          <w:sz w:val="20"/>
        </w:rPr>
        <w:t>NOTE 12</w:t>
      </w:r>
      <w:r>
        <w:rPr>
          <w:color w:val="000000"/>
        </w:rPr>
        <w:t>—</w:t>
      </w:r>
      <w:r>
        <w:rPr>
          <w:rFonts w:ascii="Times New Roman;serif" w:hAnsi="Times New Roman;serif"/>
          <w:b/>
          <w:color w:val="000000"/>
          <w:sz w:val="20"/>
        </w:rPr>
        <w:t xml:space="preserve">FAIR VALUE MEASUREMENTS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Assets and Liabilities Recorded at Fair Value on a Recurring Basis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assets and liabilities that are measured at fair value on a recurring basis at June 30, 2026 and December 31, 2025:</w:t>
      </w:r>
    </w:p>
    <w:tbl>
      <w:tblPr>
        <w:tblW w:w="10205" w:type="dxa"/>
        <w:jc w:val="left"/>
        <w:tblInd w:w="0" w:type="dxa"/>
        <w:tblLayout w:type="fixed"/>
        <w:tblCellMar>
          <w:top w:w="28" w:type="dxa"/>
          <w:left w:w="28" w:type="dxa"/>
          <w:bottom w:w="28" w:type="dxa"/>
          <w:right w:w="28" w:type="dxa"/>
        </w:tblCellMar>
      </w:tblPr>
      <w:tblGrid>
        <w:gridCol w:w="1150"/>
        <w:gridCol w:w="1006"/>
        <w:gridCol w:w="1019"/>
        <w:gridCol w:w="206"/>
        <w:gridCol w:w="920"/>
        <w:gridCol w:w="114"/>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7"/>
      </w:tblGrid>
      <w:tr>
        <w:trPr/>
        <w:tc>
          <w:tcPr>
            <w:tcW w:w="115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Level 3</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1,437,511 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1,437,511 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assets</w:t>
            </w:r>
            <w:r>
              <w:rPr>
                <w:rFonts w:ascii="Times New Roman;serif" w:hAnsi="Times New Roman;serif"/>
                <w:b w:val="false"/>
                <w:color w:val="000000"/>
                <w:sz w:val="10"/>
              </w:rPr>
              <w:t>(B)</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Distressed asset claims</w:t>
            </w:r>
            <w:r>
              <w:rPr>
                <w:rFonts w:ascii="Times New Roman;serif" w:hAnsi="Times New Roman;serif"/>
                <w:b w:val="false"/>
                <w:color w:val="000000"/>
                <w:sz w:val="10"/>
              </w:rPr>
              <w:t>(C)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Marketable securities, at fair value</w:t>
            </w:r>
            <w:r>
              <w:rPr>
                <w:rFonts w:ascii="Times New Roman;serif" w:hAnsi="Times New Roman;serif"/>
                <w:b w:val="false"/>
                <w:color w:val="000000"/>
                <w:sz w:val="10"/>
              </w:rPr>
              <w:t>(D)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Loans held for sale, at fair value</w:t>
            </w:r>
            <w:r>
              <w:rPr>
                <w:color w:val="000000"/>
              </w:rPr>
              <w:t xml:space="preserve"> </w:t>
            </w:r>
            <w:r>
              <w:rPr>
                <w:rFonts w:ascii="Times New Roman;serif" w:hAnsi="Times New Roman;serif"/>
                <w:b w:val="false"/>
                <w:color w:val="000000"/>
                <w:sz w:val="10"/>
              </w:rPr>
              <w:t>(E)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Loan servicing assets, at fair value</w:t>
            </w:r>
            <w:r>
              <w:rPr>
                <w:color w:val="000000"/>
              </w:rPr>
              <w:t xml:space="preserve"> </w:t>
            </w:r>
            <w:r>
              <w:rPr>
                <w:rFonts w:ascii="Times New Roman;serif" w:hAnsi="Times New Roman;serif"/>
                <w:b w:val="false"/>
                <w:color w:val="000000"/>
                <w:sz w:val="10"/>
              </w:rPr>
              <w:t>(E)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2,692,006 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2,692,006 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 collateral repayment obligation</w:t>
            </w:r>
            <w:r>
              <w:rPr>
                <w:rFonts w:ascii="Times New Roman;serif" w:hAnsi="Times New Roman;serif"/>
                <w:b w:val="false"/>
                <w:color w:val="000000"/>
                <w:sz w:val="10"/>
              </w:rPr>
              <w:t>(F)</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Certificate repayment obligation</w:t>
            </w:r>
            <w:r>
              <w:rPr>
                <w:rFonts w:ascii="Times New Roman;serif" w:hAnsi="Times New Roman;serif"/>
                <w:b w:val="false"/>
                <w:color w:val="000000"/>
                <w:sz w:val="10"/>
              </w:rPr>
              <w:t>(G)</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Treasury note futures</w:t>
            </w:r>
            <w:r>
              <w:rPr>
                <w:color w:val="000000"/>
              </w:rPr>
              <w:t xml:space="preserve"> </w:t>
            </w:r>
            <w:r>
              <w:rPr>
                <w:rFonts w:ascii="Times New Roman;serif" w:hAnsi="Times New Roman;serif"/>
                <w:b w:val="false"/>
                <w:color w:val="000000"/>
                <w:sz w:val="10"/>
              </w:rPr>
              <w:t>(H)</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567,992 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567,992 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0"/>
        <w:gridCol w:w="1006"/>
        <w:gridCol w:w="1019"/>
        <w:gridCol w:w="206"/>
        <w:gridCol w:w="920"/>
        <w:gridCol w:w="114"/>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7"/>
      </w:tblGrid>
      <w:tr>
        <w:trPr/>
        <w:tc>
          <w:tcPr>
            <w:tcW w:w="115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Level 3</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1,198,141 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1,198,141 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assets</w:t>
            </w:r>
            <w:r>
              <w:rPr>
                <w:rFonts w:ascii="Times New Roman;serif" w:hAnsi="Times New Roman;serif"/>
                <w:b w:val="false"/>
                <w:color w:val="000000"/>
                <w:sz w:val="10"/>
              </w:rPr>
              <w:t>(B)</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Distressed asset claims</w:t>
            </w:r>
            <w:r>
              <w:rPr>
                <w:rFonts w:ascii="Times New Roman;serif" w:hAnsi="Times New Roman;serif"/>
                <w:b w:val="false"/>
                <w:color w:val="000000"/>
                <w:sz w:val="10"/>
              </w:rPr>
              <w:t>(C)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Marketable securities, at fair value</w:t>
            </w:r>
            <w:r>
              <w:rPr>
                <w:rFonts w:ascii="Times New Roman;serif" w:hAnsi="Times New Roman;serif"/>
                <w:b w:val="false"/>
                <w:color w:val="000000"/>
                <w:sz w:val="10"/>
              </w:rPr>
              <w:t>(D)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Loans held for sale, at fair value</w:t>
            </w:r>
            <w:r>
              <w:rPr>
                <w:color w:val="000000"/>
              </w:rPr>
              <w:t xml:space="preserve"> </w:t>
            </w:r>
            <w:r>
              <w:rPr>
                <w:rFonts w:ascii="Times New Roman;serif" w:hAnsi="Times New Roman;serif"/>
                <w:b w:val="false"/>
                <w:color w:val="000000"/>
                <w:sz w:val="10"/>
              </w:rPr>
              <w:t>(E)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Loan servicing assets, at fair value</w:t>
            </w:r>
            <w:r>
              <w:rPr>
                <w:color w:val="000000"/>
              </w:rPr>
              <w:t xml:space="preserve"> </w:t>
            </w:r>
            <w:r>
              <w:rPr>
                <w:rFonts w:ascii="Times New Roman;serif" w:hAnsi="Times New Roman;serif"/>
                <w:b w:val="false"/>
                <w:color w:val="000000"/>
                <w:sz w:val="10"/>
              </w:rPr>
              <w:t>(E)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Treasury note futures</w:t>
            </w:r>
            <w:r>
              <w:rPr>
                <w:color w:val="000000"/>
              </w:rPr>
              <w:t xml:space="preserve"> </w:t>
            </w:r>
            <w:r>
              <w:rPr>
                <w:rFonts w:ascii="Times New Roman;serif" w:hAnsi="Times New Roman;serif"/>
                <w:b w:val="false"/>
                <w:color w:val="000000"/>
                <w:sz w:val="10"/>
              </w:rPr>
              <w:t>(H)</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2,149,351 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2,149,351 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 collateral repayment obligation</w:t>
            </w:r>
            <w:r>
              <w:rPr>
                <w:rFonts w:ascii="Times New Roman;serif" w:hAnsi="Times New Roman;serif"/>
                <w:b w:val="false"/>
                <w:color w:val="000000"/>
                <w:sz w:val="10"/>
              </w:rPr>
              <w:t>(F)</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Certificate repayment obligation</w:t>
            </w:r>
            <w:r>
              <w:rPr>
                <w:rFonts w:ascii="Times New Roman;serif" w:hAnsi="Times New Roman;serif"/>
                <w:b w:val="false"/>
                <w:color w:val="000000"/>
                <w:sz w:val="10"/>
              </w:rPr>
              <w:t>(G)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319,223 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319,223 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There were no transfers of Level 3 instruments to, or from, other fair value levels during the periods presented.</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Included in “Digital assets” and “Digital assets, non-current” in the Condensed Consolidated Balance Sheets and represents all digital assets held which are measured at fair value.</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 xml:space="preserve">Represents purchased interests in bankruptcy claims acquired on secondary markets which are included in “Other current assets” in the Condensed Consolidated Balance Sheets. </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Residual interest securities and non-rated securities in securitizations not considered debt securities are included within Level 3 of the fair value hierarchy.</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(E) </w:t>
      </w:r>
      <w:r>
        <w:rPr>
          <w:rFonts w:ascii="Times New Roman;serif" w:hAnsi="Times New Roman;serif"/>
          <w:b w:val="false"/>
          <w:color w:val="000000"/>
          <w:sz w:val="16"/>
        </w:rPr>
        <w:t xml:space="preserve">See “Note 4—Servicing” and “Note 5—Loans” regarding changes in the carrying value of servicing assets and loans, respectively. </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(F) </w:t>
      </w:r>
      <w:r>
        <w:rPr>
          <w:rFonts w:ascii="Times New Roman;serif" w:hAnsi="Times New Roman;serif"/>
          <w:b w:val="false"/>
          <w:color w:val="000000"/>
          <w:sz w:val="16"/>
        </w:rPr>
        <w:t>Included in “Other current liabilities” in the Condensed Consolidated Balance Sheets.</w:t>
      </w:r>
      <w:r>
        <w:rPr>
          <w:color w:val="000000"/>
        </w:rPr>
        <w:t xml:space="preserve"> </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(G) </w:t>
      </w:r>
      <w:r>
        <w:rPr>
          <w:rFonts w:ascii="Times New Roman;serif" w:hAnsi="Times New Roman;serif"/>
          <w:b w:val="false"/>
          <w:color w:val="000000"/>
          <w:sz w:val="16"/>
        </w:rPr>
        <w:t>Included in “Debt, current” in the Condensed Consolidated Balance Sheets</w:t>
      </w:r>
    </w:p>
    <w:p>
      <w:pPr>
        <w:pStyle w:val="TextBody"/>
        <w:bidi w:val="0"/>
        <w:spacing w:lineRule="auto" w:line="288" w:before="0" w:after="0"/>
        <w:ind w:left="0" w:right="0" w:hanging="180"/>
        <w:jc w:val="both"/>
        <w:rPr/>
      </w:pPr>
      <w:r>
        <w:rPr>
          <w:rFonts w:ascii="Times New Roman;serif" w:hAnsi="Times New Roman;serif"/>
          <w:b w:val="false"/>
          <w:color w:val="000000"/>
          <w:sz w:val="10"/>
        </w:rPr>
        <w:t>(H)</w:t>
      </w:r>
      <w:r>
        <w:rPr>
          <w:color w:val="000000"/>
        </w:rPr>
        <w:t>    </w:t>
      </w:r>
      <w:r>
        <w:rPr>
          <w:rFonts w:ascii="Times New Roman;serif" w:hAnsi="Times New Roman;serif"/>
          <w:b w:val="false"/>
          <w:color w:val="000000"/>
          <w:sz w:val="16"/>
        </w:rPr>
        <w:t>Treasury note future assets and liabilities are recorded in “Other current assets”, and treasury note future liabilities in “Other current liabilities" in the Condensed Consolidated Balance Sheets. For further information, see “Note 2—Summary of Significant Accounting Policies”.</w:t>
      </w:r>
    </w:p>
    <w:p>
      <w:pPr>
        <w:pStyle w:val="TextBody"/>
        <w:bidi w:val="0"/>
        <w:spacing w:before="0" w:after="0"/>
        <w:ind w:left="0" w:right="0" w:hanging="180"/>
        <w:jc w:val="both"/>
        <w:rPr/>
      </w:pPr>
      <w:r>
        <w:rPr/>
      </w:r>
    </w:p>
    <w:p>
      <w:pPr>
        <w:pStyle w:val="TextBody"/>
        <w:bidi w:val="0"/>
        <w:spacing w:lineRule="auto" w:line="288" w:before="0" w:after="18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3370"/>
                <wp:effectExtent l="0" t="0" r="0" b="0"/>
                <wp:wrapNone/>
                <wp:docPr id="38" name="Frame3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Significant Valuation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used the following unobservable inputs that it considers significant to value the financial assets and liabilities carried at fair value and classified within Level 3 of the fair value hierarchy:</w:t>
      </w:r>
    </w:p>
    <w:tbl>
      <w:tblPr>
        <w:tblW w:w="10205" w:type="dxa"/>
        <w:jc w:val="left"/>
        <w:tblInd w:w="0" w:type="dxa"/>
        <w:tblLayout w:type="fixed"/>
        <w:tblCellMar>
          <w:top w:w="28" w:type="dxa"/>
          <w:left w:w="28" w:type="dxa"/>
          <w:bottom w:w="28" w:type="dxa"/>
          <w:right w:w="28" w:type="dxa"/>
        </w:tblCellMar>
      </w:tblPr>
      <w:tblGrid>
        <w:gridCol w:w="560"/>
        <w:gridCol w:w="493"/>
        <w:gridCol w:w="495"/>
        <w:gridCol w:w="196"/>
        <w:gridCol w:w="736"/>
        <w:gridCol w:w="109"/>
        <w:gridCol w:w="109"/>
        <w:gridCol w:w="109"/>
        <w:gridCol w:w="109"/>
        <w:gridCol w:w="428"/>
        <w:gridCol w:w="428"/>
        <w:gridCol w:w="429"/>
        <w:gridCol w:w="109"/>
        <w:gridCol w:w="109"/>
        <w:gridCol w:w="109"/>
        <w:gridCol w:w="399"/>
        <w:gridCol w:w="302"/>
        <w:gridCol w:w="301"/>
        <w:gridCol w:w="109"/>
        <w:gridCol w:w="109"/>
        <w:gridCol w:w="109"/>
        <w:gridCol w:w="362"/>
        <w:gridCol w:w="307"/>
        <w:gridCol w:w="288"/>
        <w:gridCol w:w="109"/>
        <w:gridCol w:w="109"/>
        <w:gridCol w:w="109"/>
        <w:gridCol w:w="479"/>
        <w:gridCol w:w="479"/>
        <w:gridCol w:w="480"/>
        <w:gridCol w:w="109"/>
        <w:gridCol w:w="109"/>
        <w:gridCol w:w="109"/>
        <w:gridCol w:w="378"/>
        <w:gridCol w:w="378"/>
        <w:gridCol w:w="543"/>
      </w:tblGrid>
      <w:tr>
        <w:trPr/>
        <w:tc>
          <w:tcPr>
            <w:tcW w:w="56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Discount Rate </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(B)</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CDR </w:t>
            </w:r>
            <w:r>
              <w:rPr>
                <w:rFonts w:ascii="Times New Roman;serif" w:hAnsi="Times New Roman;serif"/>
                <w:b/>
                <w:color w:val="000000"/>
                <w:sz w:val="10"/>
              </w:rPr>
              <w:t>(C)</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Cost of Servicing </w:t>
            </w:r>
            <w:r>
              <w:rPr>
                <w:rFonts w:ascii="Times New Roman;serif" w:hAnsi="Times New Roman;serif"/>
                <w:b/>
                <w:color w:val="000000"/>
                <w:sz w:val="10"/>
              </w:rPr>
              <w:t>(D)</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Loss Severity </w:t>
            </w:r>
            <w:r>
              <w:rPr>
                <w:rFonts w:ascii="Times New Roman;serif" w:hAnsi="Times New Roman;serif"/>
                <w:b/>
                <w:color w:val="000000"/>
                <w:sz w:val="10"/>
              </w:rPr>
              <w:t xml:space="preserve">(E) </w:t>
            </w:r>
            <w:r>
              <w:rPr>
                <w:rFonts w:ascii="Times New Roman;serif" w:hAnsi="Times New Roman;serif"/>
                <w:b/>
                <w:color w:val="000000"/>
                <w:sz w:val="16"/>
              </w:rPr>
              <w:t xml:space="preserve">(%) </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5.0% - 26.4%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16.2% - 20.8%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- 2.4%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13.0% - 13.0%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- 37.6%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- 5.4%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9.5% - 10.5%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3.5% - 8.6%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- 10.6%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5.3% - 8.2%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1.4% - 51.8%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0.4% - 94.5%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- 99.8%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25.2%</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0"/>
              </w:rPr>
              <w:t>(H)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8.9% - 11.5%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7"/>
        <w:gridCol w:w="499"/>
        <w:gridCol w:w="501"/>
        <w:gridCol w:w="196"/>
        <w:gridCol w:w="736"/>
        <w:gridCol w:w="109"/>
        <w:gridCol w:w="109"/>
        <w:gridCol w:w="109"/>
        <w:gridCol w:w="109"/>
        <w:gridCol w:w="424"/>
        <w:gridCol w:w="424"/>
        <w:gridCol w:w="425"/>
        <w:gridCol w:w="109"/>
        <w:gridCol w:w="109"/>
        <w:gridCol w:w="109"/>
        <w:gridCol w:w="384"/>
        <w:gridCol w:w="299"/>
        <w:gridCol w:w="300"/>
        <w:gridCol w:w="109"/>
        <w:gridCol w:w="109"/>
        <w:gridCol w:w="109"/>
        <w:gridCol w:w="347"/>
        <w:gridCol w:w="302"/>
        <w:gridCol w:w="286"/>
        <w:gridCol w:w="109"/>
        <w:gridCol w:w="109"/>
        <w:gridCol w:w="109"/>
        <w:gridCol w:w="485"/>
        <w:gridCol w:w="485"/>
        <w:gridCol w:w="487"/>
        <w:gridCol w:w="109"/>
        <w:gridCol w:w="109"/>
        <w:gridCol w:w="109"/>
        <w:gridCol w:w="382"/>
        <w:gridCol w:w="382"/>
        <w:gridCol w:w="550"/>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Discount Rate</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CPR</w:t>
            </w:r>
            <w:r>
              <w:rPr>
                <w:rFonts w:ascii="Times New Roman;serif" w:hAnsi="Times New Roman;serif"/>
                <w:b/>
                <w:color w:val="000000"/>
                <w:sz w:val="10"/>
              </w:rPr>
              <w:t>(B)</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CDR</w:t>
            </w:r>
            <w:r>
              <w:rPr>
                <w:rFonts w:ascii="Times New Roman;serif" w:hAnsi="Times New Roman;serif"/>
                <w:b/>
                <w:color w:val="000000"/>
                <w:sz w:val="10"/>
              </w:rPr>
              <w:t>(C)</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Cost of Servicing </w:t>
            </w:r>
            <w:r>
              <w:rPr>
                <w:rFonts w:ascii="Times New Roman;serif" w:hAnsi="Times New Roman;serif"/>
                <w:b/>
                <w:color w:val="000000"/>
                <w:sz w:val="10"/>
              </w:rPr>
              <w:t>(D)</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Loss Severity </w:t>
            </w:r>
            <w:r>
              <w:rPr>
                <w:rFonts w:ascii="Times New Roman;serif" w:hAnsi="Times New Roman;serif"/>
                <w:b/>
                <w:color w:val="000000"/>
                <w:sz w:val="10"/>
              </w:rPr>
              <w:t xml:space="preserve">(E) </w:t>
            </w:r>
            <w:r>
              <w:rPr>
                <w:rFonts w:ascii="Times New Roman;serif" w:hAnsi="Times New Roman;serif"/>
                <w:b/>
                <w:color w:val="000000"/>
                <w:sz w:val="16"/>
              </w:rPr>
              <w:t xml:space="preserve">(%) </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9.6% - 25.8%</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16.2% - 20.8%</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- 2.4%</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 - 13.0%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- 33.1%</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- 4.8%</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9.5% - 10.5%</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3.5% - 8.2%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- 10.5%</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5.7% - 7.8%</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1.1% - 47.4%</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- 94.0%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- 99.1%</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25.4%</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0"/>
              </w:rPr>
              <w:t>(H)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8.9% - 11.5%</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(J)</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6.2% - 12.0%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4.6% - 73.2%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 - 62.8%</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88.0% - 92.0%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90.0%</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Significant increases (decreases) in the discount rate,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Significant increases (decreases) in the Conditional Prepayment Rate (“CPR”),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Significant increases (decreases) in the Constant Default Rate (“CDR”),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Significant increases (decreases) in the cost of servicing reduces the servicing fee earned in excess of servicing costs and would result in a significantly (lower) higher fair value measurement of the servicing asset. Values represent the weighted average total mortgage servicing amount, net of subservicing costs.</w:t>
      </w:r>
    </w:p>
    <w:p>
      <w:pPr>
        <w:pStyle w:val="TextBody"/>
        <w:bidi w:val="0"/>
        <w:spacing w:lineRule="auto" w:line="288" w:before="0" w:after="0"/>
        <w:ind w:left="0" w:right="0" w:hanging="180"/>
        <w:jc w:val="both"/>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Significant increases (decreases) in the severity,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Unobservable inputs were weighted by respective fair value of each class.</w:t>
      </w:r>
    </w:p>
    <w:p>
      <w:pPr>
        <w:pStyle w:val="TextBody"/>
        <w:bidi w:val="0"/>
        <w:spacing w:lineRule="auto" w:line="288" w:before="0" w:after="0"/>
        <w:ind w:left="0" w:right="0" w:hanging="180"/>
        <w:jc w:val="both"/>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 xml:space="preserve">HELOC loans are measured at estimated fair value using a discounted cash flow valuation methodology, more specifically a residential mortgage cash flow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3370"/>
                <wp:effectExtent l="0" t="0" r="0" b="0"/>
                <wp:wrapNone/>
                <wp:docPr id="39" name="Frame3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(H)</w:t>
      </w:r>
      <w:r>
        <w:rPr>
          <w:color w:val="000000"/>
        </w:rPr>
        <w:t>    </w:t>
      </w:r>
      <w:r>
        <w:rPr>
          <w:rFonts w:ascii="Times New Roman;serif" w:hAnsi="Times New Roman;serif"/>
          <w:b w:val="false"/>
          <w:color w:val="000000"/>
          <w:sz w:val="16"/>
        </w:rPr>
        <w:t>Personal loans are measured at estimated fair value using a discounted cash flow valuation methodology, more specifically a loan cash flow model.</w:t>
      </w:r>
    </w:p>
    <w:p>
      <w:pPr>
        <w:pStyle w:val="TextBody"/>
        <w:bidi w:val="0"/>
        <w:spacing w:lineRule="auto" w:line="288" w:before="0" w:after="0"/>
        <w:ind w:left="0" w:right="0" w:hanging="180"/>
        <w:jc w:val="both"/>
        <w:rPr/>
      </w:pPr>
      <w:r>
        <w:rPr>
          <w:rFonts w:ascii="Times New Roman;serif" w:hAnsi="Times New Roman;serif"/>
          <w:b w:val="false"/>
          <w:color w:val="000000"/>
          <w:sz w:val="10"/>
        </w:rPr>
        <w:t>(I)</w:t>
      </w:r>
      <w:r>
        <w:rPr>
          <w:color w:val="000000"/>
        </w:rPr>
        <w:t>    </w:t>
      </w:r>
      <w:r>
        <w:rPr>
          <w:rFonts w:ascii="Times New Roman;serif" w:hAnsi="Times New Roman;serif"/>
          <w:b w:val="false"/>
          <w:color w:val="000000"/>
          <w:sz w:val="16"/>
        </w:rPr>
        <w:t>Primarily contains residential transition loans, other mortgage loans, legacy mortgages and other unsecured loans. The Company reviews this loan pool each quarter for any material changes and fair values the assets if such changes exist; if no changes, the Company fair values this loan pool on a yearly basis.</w:t>
      </w:r>
    </w:p>
    <w:p>
      <w:pPr>
        <w:pStyle w:val="TextBody"/>
        <w:bidi w:val="0"/>
        <w:spacing w:lineRule="auto" w:line="288" w:before="0" w:after="180"/>
        <w:ind w:left="0" w:right="0" w:hanging="180"/>
        <w:jc w:val="both"/>
        <w:rPr/>
      </w:pPr>
      <w:r>
        <w:rPr>
          <w:rFonts w:ascii="Times New Roman;serif" w:hAnsi="Times New Roman;serif"/>
          <w:b w:val="false"/>
          <w:color w:val="000000"/>
          <w:sz w:val="10"/>
        </w:rPr>
        <w:t>(J)</w:t>
      </w:r>
      <w:r>
        <w:rPr>
          <w:color w:val="000000"/>
        </w:rPr>
        <w:t>    </w:t>
      </w:r>
      <w:r>
        <w:rPr>
          <w:rFonts w:ascii="Times New Roman;serif" w:hAnsi="Times New Roman;serif"/>
          <w:b w:val="false"/>
          <w:color w:val="000000"/>
          <w:sz w:val="16"/>
        </w:rPr>
        <w:t xml:space="preserve">Personal unsecured loans included in “Other” are measured at estimated fair value using a discounted cash flow valuation methodology, more specifically a loan cash flow model. The Company uses an estimated recovery from collections and recent sales to fair value personal loans that are 30 days past due; the fair value of such loans at December 31, 2025 were not material.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Significant Valuation Input Sensitivity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estimated change in fair value of assets carried at fair value and classified within Level 3 of the fair value hierarchy for the unobservable inputs in “—Significant Valuation Inputs” at June 30, 2026.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The sensitivities presented below are calculated on the total fair value of the underlying tranches and do not reflect adjustments for the Company’s ownership share. Accordingly, the percentage changes shown should be applied to the Company’s retained (ownership-adjusted) position to determine the estimated impact on Figure's holdings. Also, changes in the fair value based on the following variations in an assumption generally may not be extrapolated because the relationship of the change in the assumption to the change in fair value may not be linear.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3370"/>
                <wp:effectExtent l="0" t="0" r="0" b="0"/>
                <wp:wrapNone/>
                <wp:docPr id="40" name="Frame4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tbl>
      <w:tblPr>
        <w:tblW w:w="9696" w:type="dxa"/>
        <w:jc w:val="left"/>
        <w:tblInd w:w="0" w:type="dxa"/>
        <w:tblLayout w:type="fixed"/>
        <w:tblCellMar>
          <w:top w:w="28" w:type="dxa"/>
          <w:left w:w="28" w:type="dxa"/>
          <w:bottom w:w="28" w:type="dxa"/>
          <w:right w:w="28" w:type="dxa"/>
        </w:tblCellMar>
      </w:tblPr>
      <w:tblGrid>
        <w:gridCol w:w="694"/>
        <w:gridCol w:w="611"/>
        <w:gridCol w:w="615"/>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721"/>
        <w:gridCol w:w="109"/>
        <w:gridCol w:w="224"/>
        <w:gridCol w:w="226"/>
        <w:gridCol w:w="241"/>
        <w:gridCol w:w="109"/>
        <w:gridCol w:w="109"/>
        <w:gridCol w:w="109"/>
        <w:gridCol w:w="196"/>
        <w:gridCol w:w="721"/>
        <w:gridCol w:w="109"/>
        <w:gridCol w:w="224"/>
        <w:gridCol w:w="226"/>
        <w:gridCol w:w="286"/>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CPR:</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marketable securities that are measured at fair value and classified within Level 3 of the fair value hierarchy for the six months ended June 30, 2025 and 2026:</w:t>
      </w:r>
    </w:p>
    <w:tbl>
      <w:tblPr>
        <w:tblW w:w="3245" w:type="dxa"/>
        <w:jc w:val="left"/>
        <w:tblInd w:w="0" w:type="dxa"/>
        <w:tblLayout w:type="fixed"/>
        <w:tblCellMar>
          <w:top w:w="28" w:type="dxa"/>
          <w:left w:w="28" w:type="dxa"/>
          <w:bottom w:w="28" w:type="dxa"/>
          <w:right w:w="28" w:type="dxa"/>
        </w:tblCellMar>
      </w:tblPr>
      <w:tblGrid>
        <w:gridCol w:w="814"/>
        <w:gridCol w:w="716"/>
        <w:gridCol w:w="719"/>
        <w:gridCol w:w="196"/>
        <w:gridCol w:w="64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Sales</w:t>
            </w:r>
            <w:r>
              <w:rPr>
                <w:rFonts w:ascii="Times New Roman;serif" w:hAnsi="Times New Roman;serif"/>
                <w:b w:val="false"/>
                <w:color w:val="000000"/>
                <w:sz w:val="10"/>
              </w:rPr>
              <w:t>(C)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3370"/>
                <wp:effectExtent l="0" t="0" r="0" b="0"/>
                <wp:wrapNone/>
                <wp:docPr id="41" name="Frame4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Includes premiums paid on the purchased notes.</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Includ</w:t>
      </w:r>
      <w:r>
        <w:rPr>
          <w:rFonts w:ascii="Times New Roman;serif" w:hAnsi="Times New Roman;serif"/>
          <w:b w:val="false"/>
          <w:color w:val="000000"/>
          <w:sz w:val="20"/>
        </w:rPr>
        <w:t xml:space="preserve">ed </w:t>
      </w:r>
      <w:r>
        <w:rPr>
          <w:rFonts w:ascii="Times New Roman;serif" w:hAnsi="Times New Roman;serif"/>
          <w:b w:val="false"/>
          <w:color w:val="000000"/>
          <w:sz w:val="16"/>
        </w:rPr>
        <w:t>in “Marketable securities income, net” in the Condensed Consolidated Statements of Operations.</w:t>
      </w:r>
    </w:p>
    <w:p>
      <w:pPr>
        <w:pStyle w:val="TextBody"/>
        <w:bidi w:val="0"/>
        <w:spacing w:lineRule="auto" w:line="288" w:before="0" w:after="18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Represents marketable securities held by Figure REIT, Inc. that were included in the deconsolidation of Figure REIT, Inc. See “Note 7—Equity—Noncontrolling Interests in Consolidated Subsidiaries”,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Assets and Liabilities Not Measured at Fair Value on a Recurring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liabilities that are not measured at fair value on a recurring basis at June 30, 2026 and December 31, 2025:</w:t>
      </w:r>
    </w:p>
    <w:tbl>
      <w:tblPr>
        <w:tblW w:w="8427" w:type="dxa"/>
        <w:jc w:val="left"/>
        <w:tblInd w:w="0" w:type="dxa"/>
        <w:tblLayout w:type="fixed"/>
        <w:tblCellMar>
          <w:top w:w="28" w:type="dxa"/>
          <w:left w:w="28" w:type="dxa"/>
          <w:bottom w:w="28" w:type="dxa"/>
          <w:right w:w="28" w:type="dxa"/>
        </w:tblCellMar>
      </w:tblPr>
      <w:tblGrid>
        <w:gridCol w:w="754"/>
        <w:gridCol w:w="663"/>
        <w:gridCol w:w="668"/>
        <w:gridCol w:w="234"/>
        <w:gridCol w:w="881"/>
        <w:gridCol w:w="130"/>
        <w:gridCol w:w="109"/>
        <w:gridCol w:w="109"/>
        <w:gridCol w:w="109"/>
        <w:gridCol w:w="196"/>
        <w:gridCol w:w="40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Financed retained interests</w:t>
            </w:r>
            <w:r>
              <w:rPr>
                <w:rFonts w:ascii="Times New Roman;serif" w:hAnsi="Times New Roman;serif"/>
                <w:b w:val="false"/>
                <w:color w:val="000000"/>
                <w:sz w:val="10"/>
              </w:rPr>
              <w:t>(A)</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Financed retained interests</w:t>
            </w:r>
            <w:r>
              <w:rPr>
                <w:rFonts w:ascii="Times New Roman;serif" w:hAnsi="Times New Roman;serif"/>
                <w:b w:val="false"/>
                <w:color w:val="000000"/>
                <w:sz w:val="10"/>
              </w:rPr>
              <w:t>(A)</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Financed retained interests classified as Level 2 in the fair value hierarchy were valued with a discounted cash flow model using collateral contractual terms and discount rates of similar instruments that include default and prepayment expectations as observable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Debt not carried at fair value, including financed retained interests, is presented at the face amount, net of debt issuance costs that are amortized over the contractual term using the effective interest method. The carrying value of debt associated with the warehouse facilities and servicing rights financing approximates the fair value due to their relatively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NOTE 13</w:t>
      </w:r>
      <w:r>
        <w:rPr>
          <w:color w:val="000000"/>
        </w:rPr>
        <w:t>—</w:t>
      </w:r>
      <w:r>
        <w:rPr>
          <w:rFonts w:ascii="Times New Roman;serif" w:hAnsi="Times New Roman;serif"/>
          <w:b/>
          <w:color w:val="000000"/>
          <w:sz w:val="20"/>
        </w:rPr>
        <w:t xml:space="preserve">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calculates the provision for income taxes during interim periods by applying an estimated annual effective tax rate to “ordinary” income or loss (pretax income or loss excluding unusual or infrequently occurring discrete items) for the reporting period. Our effective tax rate may be subject to fluctuations during the year due to impacts from the following items: (i) changes in forecasted pre-tax and taxable income or loss, (ii) changes in statutory law or regulations in jurisdictions where we operate, (iii) audits or settlements with taxing authorities, (iv) changes in valuation allowance assumptions, and (v) changes due to employee equity exercises.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income tax provision for the three and six months ended June 30, 2026 is a benefit of $4.4 million and $11.4 million, respectively, and expense of $3.4 million and $4.6 million for the three and six months ended June 30, 2025. The income tax benefit for the three and six months ended June 30, 2026 was primarily driven by discrete excess tax benefits associated with stock-based compensation during the periods.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continues to maintain a valuation allowance against certain federal and state deferred tax assets. Management will continue to assess the realizability of deferred tax assets in future periods, and any changes could impact our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 If recognized, the unrecognized tax benefits are not expected to materially impact the Company’s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operations and resulting income taxes are calculated as if the Company filed a combined, separate federal income tax return until the Recombination. All tax years since inception are subject to examination by tax authorities. The Company is currently not under examination by any federal or state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3370"/>
                <wp:effectExtent l="0" t="0" r="0" b="0"/>
                <wp:wrapNone/>
                <wp:docPr id="42" name="Frame4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color w:val="000000"/>
          <w:sz w:val="20"/>
        </w:rPr>
        <w:t>NOTE 14</w:t>
      </w:r>
      <w:r>
        <w:rPr>
          <w:color w:val="000000"/>
        </w:rPr>
        <w:t>—</w:t>
      </w:r>
      <w:r>
        <w:rPr>
          <w:rFonts w:ascii="Times New Roman;serif" w:hAnsi="Times New Roman;serif"/>
          <w:b/>
          <w:color w:val="000000"/>
          <w:sz w:val="20"/>
        </w:rPr>
        <w:t>SUBSEQUENT EVENTS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events occurred subsequent to June 30, 2026 through August 14, 2026, the date at which the Company’s Condensed Consolidated Financial Statements were available to be issued.</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Issuance of 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14, 2026, the Company closed its previously announced private offering of $600.0 million principal amount of 8.500% Senior Notes. The Notes were issued pursuant to an indenture (the “Indenture”) dated as of July 14, 2026 among the Company, certain of the Company’s domestic wholly-owned subsidiaries as guarantors (the “Guarantors”) and Wilmington Trust, National Association, as trustee (the “Trustee”). The Notes accrue interest at a rate of 8.50% per annum, payable semiannually in arrears on January 31 and July 31 of each year, beginning on January 31, 2027. The Notes will mature on July 31, 2031, unless earlier repurchased or redeemed.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and as a result of, the issuance of the Notes, the Company terminated the Bridge Loan Facility effective July 14, 2026. Prior to its termination, there were no outstanding borrowings under the Bridge Loan Facility, and no early termination penalties were incurred as a result of the cancellation. Refer to “Note 6—Debt” for further information regarding the Bridge Loan Facility.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the net proceeds to fund the cash consideration payable in connection with its previously announced Merger, for general corporate purposes, and to pay fees and expenses related to the offering. If the proposed acquisition of Kiavi is not completed, the net proceeds from this offering will be used for general corporate purposes. Refer to “Note 10—Commitments and Contingencies” for further information on the proposed acquisition of Kiavi.</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Warehouse Facility 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Company amended its agreement with Warehouse Facility 5 to extend the maturity date to October 2026. No other terms of the agreement were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3370"/>
                <wp:effectExtent l="0" t="0" r="0" b="0"/>
                <wp:wrapNone/>
                <wp:docPr id="43" name="Frame4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as well as our audited consolidated financial statements and related notes as disclosed in our Annual Report on Form 10-K for the fiscal year ended December 31, 2025, filed with the SEC on March 16, 2026 (the “2025 Form 10-K”). Some of the information contained in this discussion and analysis or set forth elsewhere in this Quarterly Report, including information with respect to our plans and strategy for our business, includes forward-looking statements that involve risks and uncertainties. You should read the section titled “Special Note Regarding Forward-Looking Statements” in this Quarterly Report and “Risk Factors” in our 2025 Form 10-K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 In each table where “n.m.” appears, management has deemed the percentage calculation not meaningful.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Figure is building the future of capital markets using blockchain-based technology. Financial services have historically been and are still trust-based markets, which require intermediation. Large institutional companies have been built around this. Blockchain-based technology has the power to distill these multi-party marketplaces down to just two: buyer and seller.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Blockchain can do more than disrupt existing markets. By taking historically illiquid assets, such as loans, and putting these assets and their performance history on-chain, blockchain is able to bring liquidity to historically static markets. That liquidity, coupled with the ability to achieve true digital perfection and control, opens previously inaccessible financing opportunities.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there are three core benefits blockchain delivers to the capital markets. The first is transactional: the reduction of audit, quality control, third-party review and other expenses. The second is liquidity: the ability to support 24x7, real-time bilateral marketplaces. The third is financing: the democratization of capital access through programmable smart contracts that enable peer-to-peer funding and real time loan perfection.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Figure’s proprietary technology powers next-generation lending, trading and investing activities in areas such as consumer credit and digital assets. Our application of the blockchain ledger allows us to better serve our end-customers, increase speed and efficiency, and enhance standardization and liquidity. Using our technology, we continue to develop dynamic, vertically-integrated marketplaces.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Reclassifications and Immaterial Error Corrections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Management’s Discussion and Analysis of Financial Condition and Results of Operations gives effect to certain voluntary reclassifications, a voluntary change in accounting principle, and immaterial error corrections made to the previously reported Condensed Consolidated Financial Statements for the three and six months ended June 30, 2025. These items include changes in the presentation of marketable securities income and customer deposit liability activity within the Condensed Consolidated Statements of Operations and Condensed Consolidated Statements of Cash Flows, a change in accounting principle for payment stablecoins, and a correction to the presentation of retained beneficial interests in loan securitizations within the Condensed Consolidated Statements of Cash Flows. See “Note 2—Summary of Significant Accounting Policies” in the Condensed Consolidated Financial Statements for further detail. In addition, the Management’s Discussion and Analysis of Financial Condition and Results of Operations may have other immaterial corrections and reclassifications that management has deemed necessary to conform prior period presentation to current period presentation for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Proposed Acquisition of Kiavi,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10, 2026, we entered into an Agreement and Plan of Merger (the “Merger Agreement”), to acquire Kiavi, Inc., a Delaware corporation (“Kiavi”), a market leading AI-powered lending platform for residential real estate investors used to buy, renovate, and resell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3370"/>
                <wp:effectExtent l="0" t="0" r="0" b="0"/>
                <wp:wrapNone/>
                <wp:docPr id="44" name="Frame4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closing of the Merger (the “Closing”), we will pay an aggregate of approximately $532.4 million in cash to Kiavi equity holders, subject to customary purchase price adjustments set forth in the Merger Agreement, including for Kiavi's cash, indebtedness, transaction expenses, operating net working capital, and warehouse working capital.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14, 2026, we closed a private offering of $600.0 million principal amount of 8.500% Senior Notes due 2031 (the “Notes”). The net proceeds from the offering were $586.5 million. We intend to utilize the net proceeds from the offering to fund the cash consideration payable in connection with the proposed acquisition of Kiavi, as well as for general corporate purposes and to pay fees and expenses related to the Notes. The completion of the offering was not conditioned on the completion of the Kiavi acquisition and if the Kiavi acquisition is not completed, the net proceeds will be used for general corporate purposes.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Concurrently with, and as a result of the issuance of the Notes, we terminated the Bridge Loan Facility that was entered into concurrent with the Merger Agreement. Refer to “Note 14—Subsequent Events” in the Condensed Consolidated Financial Statements for further information regarding the issuance of the senior notes.</w:t>
      </w:r>
    </w:p>
    <w:p>
      <w:pPr>
        <w:pStyle w:val="TextBody"/>
        <w:bidi w:val="0"/>
        <w:spacing w:lineRule="auto" w:line="288" w:before="0" w:after="180"/>
        <w:jc w:val="both"/>
        <w:rPr/>
      </w:pPr>
      <w:r>
        <w:rPr>
          <w:rFonts w:ascii="Times New Roman;serif" w:hAnsi="Times New Roman;serif"/>
          <w:b w:val="false"/>
          <w:color w:val="000000"/>
          <w:sz w:val="20"/>
        </w:rPr>
        <w:t>The obligation to consummate the transactions contemplated by the Merger Agreement is subject to the satisfaction or waiver of a number of customary closing conditions</w:t>
      </w:r>
      <w:r>
        <w:rPr>
          <w:color w:val="000000"/>
        </w:rPr>
        <w:t xml:space="preserve"> </w:t>
      </w:r>
      <w:r>
        <w:rPr>
          <w:rFonts w:ascii="Times New Roman;serif" w:hAnsi="Times New Roman;serif"/>
          <w:b w:val="false"/>
          <w:color w:val="000000"/>
          <w:sz w:val="20"/>
        </w:rPr>
        <w:t>set forth in the Merger Agreement. In addition, the obligation of us to consummate the Merger is subject to the satisfaction or waiver of certain additional conditions, including the completion of a pre-closing restructuring, the contemporaneous closing of the sale of a subsidiary of Kiavi to a newly formed joint venture between the Company and a third party immediately prior to the Merger, and obtaining certain governmental and regulatory licenses and approvals. The Merger Agreement contains representations, warranties and covenants that are customary for a transaction of this nature.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mutual termination rights for Kiavi and Figure under certain conditions, as defined in the Merger Agreement. The Merger Agreement also contains a termination right for us if Kiavi has not delivered the Requisite Stockholder Consent (as defined in the Merger Agreement) to us prior to the date specified in the Merger Agreement. Under the Merger Agreement, we may be required to pay a termination fee to Kiavi of $25.0 million if the Merger Agreement is terminated by us under certain conditions, as defined in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Key Operating Metrics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review several key performance measures, discussed below, to evaluate our business and results, measure performance, identify trends, formulate plans, and make strategic decisions. We believe that the presentation of such metrics is useful to our investors and counterparties because they are used to measure and model the performance of companies similar to us using similar metrics.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key performance measures that we use to evaluate our business for the three months ended June 30, 2026 and 2025:</w:t>
      </w:r>
    </w:p>
    <w:tbl>
      <w:tblPr>
        <w:tblW w:w="9063" w:type="dxa"/>
        <w:jc w:val="left"/>
        <w:tblInd w:w="0" w:type="dxa"/>
        <w:tblLayout w:type="fixed"/>
        <w:tblCellMar>
          <w:top w:w="28" w:type="dxa"/>
          <w:left w:w="28" w:type="dxa"/>
          <w:bottom w:w="28" w:type="dxa"/>
          <w:right w:w="28" w:type="dxa"/>
        </w:tblCellMar>
      </w:tblPr>
      <w:tblGrid>
        <w:gridCol w:w="1014"/>
        <w:gridCol w:w="892"/>
        <w:gridCol w:w="89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86"/>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Ecosystem volume</w:t>
            </w:r>
            <w:r>
              <w:rPr>
                <w:rFonts w:ascii="Times New Roman;serif" w:hAnsi="Times New Roman;serif"/>
                <w:b w:val="false"/>
                <w:color w:val="000000"/>
                <w:sz w:val="10"/>
              </w:rPr>
              <w:t>(A)</w:t>
            </w:r>
            <w:r>
              <w:rPr>
                <w:rFonts w:ascii="Times New Roman;serif" w:hAnsi="Times New Roman;serif"/>
                <w:b w:val="false"/>
                <w:color w:val="000000"/>
                <w:sz w:val="16"/>
              </w:rPr>
              <w: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4,950,335 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1,924,208 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8,670,753 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3,501,918 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Consumer loan marketplace volume</w:t>
            </w:r>
            <w:r>
              <w:rPr>
                <w:rFonts w:ascii="Times New Roman;serif" w:hAnsi="Times New Roman;serif"/>
                <w:b w:val="false"/>
                <w:color w:val="000000"/>
                <w:sz w:val="10"/>
              </w:rPr>
              <w:t>(B)</w:t>
            </w:r>
            <w:r>
              <w:rPr>
                <w:rFonts w:ascii="Times New Roman;serif" w:hAnsi="Times New Roman;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4,258,796 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1,837,994 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7,161,174 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Partner-branded volume</w:t>
            </w:r>
            <w:r>
              <w:rPr>
                <w:rFonts w:ascii="Times New Roman;serif" w:hAnsi="Times New Roman;serif"/>
                <w:b w:val="false"/>
                <w:color w:val="000000"/>
                <w:sz w:val="10"/>
              </w:rPr>
              <w:t>(C)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3,535,721 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5,801,062 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2,453,143 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Figure-branded volume</w:t>
            </w:r>
            <w:r>
              <w:rPr>
                <w:rFonts w:ascii="Times New Roman;serif" w:hAnsi="Times New Roman;serif"/>
                <w:b w:val="false"/>
                <w:color w:val="000000"/>
                <w:sz w:val="10"/>
              </w:rPr>
              <w:t>(D)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723,075 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749,987 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 marketplace volume</w:t>
            </w:r>
            <w:r>
              <w:rPr>
                <w:rFonts w:ascii="Times New Roman;serif" w:hAnsi="Times New Roman;serif"/>
                <w:b w:val="false"/>
                <w:color w:val="000000"/>
                <w:sz w:val="10"/>
              </w:rPr>
              <w: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691,539 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1,509,579 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Figure connect volume</w:t>
            </w:r>
            <w:r>
              <w:rPr>
                <w:rFonts w:ascii="Times New Roman;serif" w:hAnsi="Times New Roman;serif"/>
                <w:b w:val="false"/>
                <w:color w:val="000000"/>
                <w:sz w:val="10"/>
              </w:rPr>
              <w:t>(F)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2,772,935 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766,662 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4,384,775 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1,244,566 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take rate</w:t>
            </w:r>
            <w:r>
              <w:rPr>
                <w:rFonts w:ascii="Times New Roman;serif" w:hAnsi="Times New Roman;serif"/>
                <w:b w:val="false"/>
                <w:color w:val="000000"/>
                <w:sz w:val="10"/>
              </w:rPr>
              <w:t>(G)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392,595 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net revenue</w:t>
            </w:r>
            <w:r>
              <w:rPr>
                <w:rFonts w:ascii="Times New Roman;serif" w:hAnsi="Times New Roman;serif"/>
                <w:b w:val="false"/>
                <w:color w:val="000000"/>
                <w:sz w:val="10"/>
              </w:rPr>
              <w:t>(H)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385,288 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w:t>
            </w:r>
            <w:r>
              <w:rPr>
                <w:rFonts w:ascii="Times New Roman;serif" w:hAnsi="Times New Roman;serif"/>
                <w:b w:val="false"/>
                <w:color w:val="000000"/>
                <w:sz w:val="10"/>
              </w:rPr>
              <w:t>(H)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10"/>
        </w:rPr>
        <w:t>(A)</w:t>
      </w:r>
      <w:r>
        <w:rPr>
          <w:rFonts w:ascii="Times New Roman;serif" w:hAnsi="Times New Roman;serif"/>
          <w:b w:val="false"/>
          <w:color w:val="000000"/>
          <w:sz w:val="16"/>
        </w:rPr>
        <w:t>Ecosystem Volume consists of Consumer Loan Marketplace Volume and Digital Asset Marketplace Volume.</w:t>
      </w:r>
    </w:p>
    <w:p>
      <w:pPr>
        <w:pStyle w:val="TextBody"/>
        <w:bidi w:val="0"/>
        <w:spacing w:lineRule="auto" w:line="288" w:before="0" w:after="0"/>
        <w:ind w:left="0" w:right="0" w:hanging="360"/>
        <w:jc w:val="both"/>
        <w:rPr/>
      </w:pPr>
      <w:r>
        <w:rPr>
          <w:rFonts w:ascii="Times New Roman;serif" w:hAnsi="Times New Roman;serif"/>
          <w:b w:val="false"/>
          <w:color w:val="000000"/>
          <w:sz w:val="10"/>
        </w:rPr>
        <w:t>(B)</w:t>
      </w:r>
      <w:r>
        <w:rPr>
          <w:rFonts w:ascii="Times New Roman;serif" w:hAnsi="Times New Roman;serif"/>
          <w:b w:val="false"/>
          <w:color w:val="000000"/>
          <w:sz w:val="16"/>
        </w:rPr>
        <w:t>We define Consumer Loan Marketplace Volume as the total U.S. dollar equivalent value of originations of HELOCs, DSCR, and personal loans on our LOS, as well as the volume of third-party loans traded on Figure Connect. We believe this measure is an indication of our scale and represents a potential revenue opportunity from the technology used for consumer credit loan originations.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3370"/>
                <wp:effectExtent l="0" t="0" r="0" b="0"/>
                <wp:wrapNone/>
                <wp:docPr id="45" name="Frame4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ind w:left="0" w:right="0" w:hanging="360"/>
        <w:jc w:val="both"/>
        <w:rPr/>
      </w:pPr>
      <w:r>
        <w:rPr>
          <w:rFonts w:ascii="Aptos;sans-serif" w:hAnsi="Aptos;sans-serif"/>
          <w:b w:val="false"/>
          <w:color w:val="000000"/>
          <w:sz w:val="10"/>
        </w:rPr>
        <w:t>(C)</w:t>
      </w:r>
      <w:r>
        <w:rPr>
          <w:rFonts w:ascii="Times New Roman;serif" w:hAnsi="Times New Roman;serif"/>
          <w:b w:val="false"/>
          <w:color w:val="000000"/>
          <w:sz w:val="16"/>
        </w:rPr>
        <w:t>We define Partner-branded Volume as the total U.S. dollar equivalent value of loans originated using our LOS under our partners’ brands. Partner-branded volume is inclusive of Figure Connect Volume.</w:t>
      </w:r>
      <w:r>
        <w:rPr>
          <w:color w:val="000000"/>
        </w:rPr>
        <w:t xml:space="preserve"> </w:t>
      </w:r>
    </w:p>
    <w:p>
      <w:pPr>
        <w:pStyle w:val="TextBody"/>
        <w:bidi w:val="0"/>
        <w:spacing w:lineRule="auto" w:line="288" w:before="0" w:after="0"/>
        <w:ind w:left="0" w:right="0" w:hanging="360"/>
        <w:jc w:val="both"/>
        <w:rPr/>
      </w:pPr>
      <w:r>
        <w:rPr>
          <w:rFonts w:ascii="Aptos;sans-serif" w:hAnsi="Aptos;sans-serif"/>
          <w:b w:val="false"/>
          <w:color w:val="000000"/>
          <w:sz w:val="10"/>
        </w:rPr>
        <w:t>(D)</w:t>
      </w:r>
      <w:r>
        <w:rPr>
          <w:rFonts w:ascii="Times New Roman;serif" w:hAnsi="Times New Roman;serif"/>
          <w:b w:val="false"/>
          <w:color w:val="000000"/>
          <w:sz w:val="16"/>
        </w:rPr>
        <w:t xml:space="preserve">We define Figure-branded Volume as the total U.S. dollar equivalent value of loans originated using our LOS under our brand. </w:t>
      </w:r>
    </w:p>
    <w:p>
      <w:pPr>
        <w:pStyle w:val="TextBody"/>
        <w:bidi w:val="0"/>
        <w:spacing w:lineRule="auto" w:line="288" w:before="0" w:after="0"/>
        <w:ind w:left="0" w:right="0" w:hanging="360"/>
        <w:jc w:val="both"/>
        <w:rPr/>
      </w:pPr>
      <w:r>
        <w:rPr>
          <w:rFonts w:ascii="Times New Roman;serif" w:hAnsi="Times New Roman;serif"/>
          <w:b w:val="false"/>
          <w:color w:val="000000"/>
          <w:sz w:val="10"/>
        </w:rPr>
        <w:t>(E)</w:t>
      </w:r>
      <w:r>
        <w:rPr>
          <w:rFonts w:ascii="Times New Roman;serif" w:hAnsi="Times New Roman;serif"/>
          <w:b w:val="false"/>
          <w:color w:val="000000"/>
          <w:sz w:val="16"/>
        </w:rPr>
        <w:t>We define Digital Asset Marketplace Volume as the total U.S. dollar equivalent value of matched trades transacted between a buyer and seller through Figure Exchange. We believe this measure is an indication of our scale and represents a potential opportunity for our digital asset offering.</w:t>
      </w:r>
    </w:p>
    <w:p>
      <w:pPr>
        <w:pStyle w:val="TextBody"/>
        <w:bidi w:val="0"/>
        <w:spacing w:lineRule="auto" w:line="288" w:before="0" w:after="0"/>
        <w:ind w:left="0" w:right="0" w:hanging="360"/>
        <w:jc w:val="both"/>
        <w:rPr/>
      </w:pPr>
      <w:r>
        <w:rPr>
          <w:rFonts w:ascii="Times New Roman;serif" w:hAnsi="Times New Roman;serif"/>
          <w:b w:val="false"/>
          <w:color w:val="000000"/>
          <w:sz w:val="10"/>
        </w:rPr>
        <w:t>(F)</w:t>
      </w:r>
      <w:r>
        <w:rPr>
          <w:rFonts w:ascii="Times New Roman;serif" w:hAnsi="Times New Roman;serif"/>
          <w:b w:val="false"/>
          <w:color w:val="000000"/>
          <w:sz w:val="16"/>
        </w:rPr>
        <w:t>We define Figure Connect Volume as the total U.S. dollar equivalent value of Consumer Loan Marketplace Volume originated by third-party sellers through our Figure Connect marketplace. We believe this measure is a reflection of the underlying growth of our Figure Connect ecosystem.</w:t>
      </w:r>
    </w:p>
    <w:p>
      <w:pPr>
        <w:pStyle w:val="TextBody"/>
        <w:bidi w:val="0"/>
        <w:spacing w:lineRule="auto" w:line="288" w:before="0" w:after="0"/>
        <w:ind w:left="0" w:right="0" w:hanging="360"/>
        <w:jc w:val="both"/>
        <w:rPr/>
      </w:pPr>
      <w:r>
        <w:rPr>
          <w:rFonts w:ascii="Times New Roman;serif" w:hAnsi="Times New Roman;serif"/>
          <w:b w:val="false"/>
          <w:color w:val="000000"/>
          <w:sz w:val="10"/>
        </w:rPr>
        <w:t>(G)</w:t>
      </w:r>
      <w:r>
        <w:rPr>
          <w:rFonts w:ascii="Times New Roman;serif" w:hAnsi="Times New Roman;serif"/>
          <w:b w:val="false"/>
          <w:color w:val="000000"/>
          <w:sz w:val="16"/>
        </w:rPr>
        <w:t>Net Take Rate is derived from the sum of ecosystem and technology fees, origination fees, gain on sale of loans, net and gain on servicing asset, net from our Condensed Consolidated Statements of Operations. These items represent revenue generated from Figure-branded and Partner-branded volume. Valuation changes in fair value of mortgage servicing rights, which we believe are not indicative of operating performance, and marketing expenses in our operating expenses are deducted. This net amount is divided by overall consumer loan marketplace volume for that period.</w:t>
      </w:r>
    </w:p>
    <w:p>
      <w:pPr>
        <w:pStyle w:val="TextBody"/>
        <w:bidi w:val="0"/>
        <w:spacing w:lineRule="auto" w:line="288" w:before="0" w:after="180"/>
        <w:ind w:left="0" w:right="0" w:hanging="360"/>
        <w:jc w:val="both"/>
        <w:rPr/>
      </w:pPr>
      <w:r>
        <w:rPr>
          <w:rFonts w:ascii="Times New Roman;serif" w:hAnsi="Times New Roman;serif"/>
          <w:b w:val="false"/>
          <w:color w:val="000000"/>
          <w:sz w:val="10"/>
        </w:rPr>
        <w:t>(H)</w:t>
      </w:r>
      <w:r>
        <w:rPr>
          <w:rFonts w:ascii="Times New Roman;serif" w:hAnsi="Times New Roman;serif"/>
          <w:b w:val="false"/>
          <w:color w:val="000000"/>
          <w:sz w:val="16"/>
        </w:rPr>
        <w:t>For definitions of Adjusted Net Revenue and Adjusted EBITDA and reconciliations to our most directly comparable financial measures calculated and presented in accordance with GAAP, see “—Non-GAAP Financial Measures.”</w:t>
      </w:r>
    </w:p>
    <w:tbl>
      <w:tblPr>
        <w:tblW w:w="4902" w:type="dxa"/>
        <w:jc w:val="left"/>
        <w:tblInd w:w="0" w:type="dxa"/>
        <w:tblLayout w:type="fixed"/>
        <w:tblCellMar>
          <w:top w:w="28" w:type="dxa"/>
          <w:left w:w="28" w:type="dxa"/>
          <w:bottom w:w="28" w:type="dxa"/>
          <w:right w:w="28" w:type="dxa"/>
        </w:tblCellMar>
      </w:tblPr>
      <w:tblGrid>
        <w:gridCol w:w="690"/>
        <w:gridCol w:w="607"/>
        <w:gridCol w:w="608"/>
        <w:gridCol w:w="212"/>
        <w:gridCol w:w="796"/>
        <w:gridCol w:w="117"/>
        <w:gridCol w:w="109"/>
        <w:gridCol w:w="109"/>
        <w:gridCol w:w="109"/>
        <w:gridCol w:w="279"/>
        <w:gridCol w:w="1047"/>
        <w:gridCol w:w="219"/>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YLDS in circulation</w:t>
            </w:r>
            <w:r>
              <w:rPr>
                <w:rFonts w:ascii="Times New Roman;serif" w:hAnsi="Times New Roman;serif"/>
                <w:b w:val="false"/>
                <w:color w:val="000000"/>
                <w:sz w:val="10"/>
              </w:rPr>
              <w:t>(A)</w:t>
            </w:r>
            <w:r>
              <w:rPr>
                <w:rFonts w:ascii="Times New Roman;serif" w:hAnsi="Times New Roman;serif"/>
                <w:b w:val="false"/>
                <w:color w:val="000000"/>
                <w:sz w:val="16"/>
              </w:rPr>
              <w: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556,033 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328,193 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Democratized Prime: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Matched offers balance</w:t>
            </w:r>
            <w:r>
              <w:rPr>
                <w:rFonts w:ascii="Times New Roman;serif" w:hAnsi="Times New Roman;serif"/>
                <w:b w:val="false"/>
                <w:color w:val="000000"/>
                <w:sz w:val="10"/>
              </w:rPr>
              <w:t>(B)</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Borrower demand</w:t>
            </w:r>
            <w:r>
              <w:rPr>
                <w:rFonts w:ascii="Times New Roman;serif" w:hAnsi="Times New Roman;serif"/>
                <w:b w:val="false"/>
                <w:color w:val="000000"/>
                <w:sz w:val="10"/>
              </w:rPr>
              <w:t>(C)</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Available lender supply</w:t>
            </w:r>
            <w:r>
              <w:rPr>
                <w:rFonts w:ascii="Times New Roman;serif" w:hAnsi="Times New Roman;serif"/>
                <w:b w:val="false"/>
                <w:color w:val="000000"/>
                <w:sz w:val="10"/>
              </w:rPr>
              <w:t>(D)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522,154 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10"/>
        </w:rPr>
        <w:t>(A)</w:t>
      </w:r>
      <w:r>
        <w:rPr>
          <w:rFonts w:ascii="Times New Roman;serif" w:hAnsi="Times New Roman;serif"/>
          <w:b w:val="false"/>
          <w:color w:val="000000"/>
          <w:sz w:val="16"/>
        </w:rPr>
        <w:t>We define YLDS in Circulation as the total U.S. dollar equivalent value of unsecured face-amount certificates solely backed by the assets of Figure Certificate Company (FCC), which is the issuer of the certificates. This is reported as an end of period outstanding balance.</w:t>
      </w:r>
    </w:p>
    <w:p>
      <w:pPr>
        <w:pStyle w:val="TextBody"/>
        <w:bidi w:val="0"/>
        <w:spacing w:lineRule="auto" w:line="288" w:before="0" w:after="0"/>
        <w:ind w:left="0" w:right="0" w:hanging="360"/>
        <w:jc w:val="both"/>
        <w:rPr/>
      </w:pPr>
      <w:r>
        <w:rPr>
          <w:rFonts w:ascii="Times New Roman;serif" w:hAnsi="Times New Roman;serif"/>
          <w:b w:val="false"/>
          <w:color w:val="000000"/>
          <w:sz w:val="10"/>
        </w:rPr>
        <w:t>(B)</w:t>
      </w:r>
      <w:r>
        <w:rPr>
          <w:rFonts w:ascii="Times New Roman;serif" w:hAnsi="Times New Roman;serif"/>
          <w:b w:val="false"/>
          <w:color w:val="000000"/>
          <w:sz w:val="16"/>
        </w:rPr>
        <w:t>We define Matched Offers as the U.S. dollar equivalent value of offers matched between borrower and lenders on the Democratized Prime platform. This is reported as an end of period outstanding balance.</w:t>
      </w:r>
    </w:p>
    <w:p>
      <w:pPr>
        <w:pStyle w:val="TextBody"/>
        <w:bidi w:val="0"/>
        <w:spacing w:lineRule="auto" w:line="288" w:before="0" w:after="0"/>
        <w:ind w:left="0" w:right="0" w:hanging="360"/>
        <w:jc w:val="both"/>
        <w:rPr/>
      </w:pPr>
      <w:r>
        <w:rPr>
          <w:rFonts w:ascii="Times New Roman;serif" w:hAnsi="Times New Roman;serif"/>
          <w:b w:val="false"/>
          <w:color w:val="000000"/>
          <w:sz w:val="10"/>
        </w:rPr>
        <w:t>(C)</w:t>
      </w:r>
      <w:r>
        <w:rPr>
          <w:rFonts w:ascii="Times New Roman;serif" w:hAnsi="Times New Roman;serif"/>
          <w:b w:val="false"/>
          <w:color w:val="000000"/>
          <w:sz w:val="16"/>
        </w:rPr>
        <w:t>We define Borrower Demand as the U.S. dollar equivalent value that borrowers seek to borrow from the lending pool on the Democratized Prime platform. This is reported as an end of period outstanding balance.</w:t>
      </w:r>
    </w:p>
    <w:p>
      <w:pPr>
        <w:pStyle w:val="TextBody"/>
        <w:bidi w:val="0"/>
        <w:spacing w:lineRule="auto" w:line="288" w:before="0" w:after="0"/>
        <w:ind w:left="0" w:right="0" w:hanging="360"/>
        <w:jc w:val="both"/>
        <w:rPr/>
      </w:pPr>
      <w:r>
        <w:rPr>
          <w:rFonts w:ascii="Times New Roman;serif" w:hAnsi="Times New Roman;serif"/>
          <w:b w:val="false"/>
          <w:color w:val="000000"/>
          <w:sz w:val="10"/>
        </w:rPr>
        <w:t>(D)</w:t>
      </w:r>
      <w:r>
        <w:rPr>
          <w:rFonts w:ascii="Times New Roman;serif" w:hAnsi="Times New Roman;serif"/>
          <w:b w:val="false"/>
          <w:color w:val="000000"/>
          <w:sz w:val="16"/>
        </w:rPr>
        <w:t>We define Lender Supply as the U.S. dollar equivalent value that lenders have made available in the lending pool on the Democratized Prime platform. This is reported as an end of period outstanding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Trends and Other Factors Affecting Our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our performance depends, and will in the future depend, on many factors, including those described in Part II, Item 7. Management’s Discussion and Analysis of Financial Condition and Results of Operations of our 2025 Form 10-K, to which there have been no material changes. Additionally, third party loans can be accessed on our Democratized Prime platform pursuant to strategic partnerships, which may affect our results of operations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Loan Characteristics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weighted-average characteristics of loans we originated or purchased for the three and six months ended June 30, 2026 and 2025:</w:t>
      </w:r>
    </w:p>
    <w:tbl>
      <w:tblPr>
        <w:tblW w:w="6786" w:type="dxa"/>
        <w:jc w:val="left"/>
        <w:tblInd w:w="0" w:type="dxa"/>
        <w:tblLayout w:type="fixed"/>
        <w:tblCellMar>
          <w:top w:w="28" w:type="dxa"/>
          <w:left w:w="28" w:type="dxa"/>
          <w:bottom w:w="28" w:type="dxa"/>
          <w:right w:w="28" w:type="dxa"/>
        </w:tblCellMar>
      </w:tblPr>
      <w:tblGrid>
        <w:gridCol w:w="753"/>
        <w:gridCol w:w="664"/>
        <w:gridCol w:w="668"/>
        <w:gridCol w:w="238"/>
        <w:gridCol w:w="402"/>
        <w:gridCol w:w="293"/>
        <w:gridCol w:w="132"/>
        <w:gridCol w:w="132"/>
        <w:gridCol w:w="132"/>
        <w:gridCol w:w="238"/>
        <w:gridCol w:w="402"/>
        <w:gridCol w:w="293"/>
        <w:gridCol w:w="109"/>
        <w:gridCol w:w="109"/>
        <w:gridCol w:w="109"/>
        <w:gridCol w:w="217"/>
        <w:gridCol w:w="367"/>
        <w:gridCol w:w="267"/>
        <w:gridCol w:w="120"/>
        <w:gridCol w:w="120"/>
        <w:gridCol w:w="120"/>
        <w:gridCol w:w="217"/>
        <w:gridCol w:w="367"/>
        <w:gridCol w:w="317"/>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(A)</w:t>
            </w:r>
            <w:r>
              <w:rPr>
                <w:rFonts w:ascii="Times New Roman;serif" w:hAnsi="Times New Roman;serif"/>
                <w:b w:val="false"/>
                <w:color w:val="000000"/>
                <w:sz w:val="16"/>
              </w:rPr>
              <w:t>:</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Partner-branded:</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term (in months)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interest rate</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FICO score</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balance (in thousands)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Figure-branded:</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term (in months)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interest rate</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FICO score</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balance (in thousands)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180"/>
        <w:ind w:left="0" w:right="0" w:hanging="360"/>
        <w:jc w:val="both"/>
        <w:rPr/>
      </w:pPr>
      <w:r>
        <w:rPr>
          <w:rFonts w:ascii="Times New Roman;serif" w:hAnsi="Times New Roman;serif"/>
          <w:b w:val="false"/>
          <w:color w:val="000000"/>
          <w:sz w:val="10"/>
        </w:rPr>
        <w:t>(A)</w:t>
      </w:r>
      <w:r>
        <w:rPr>
          <w:rFonts w:ascii="Times New Roman;serif" w:hAnsi="Times New Roman;serif"/>
          <w:b w:val="false"/>
          <w:color w:val="000000"/>
          <w:sz w:val="16"/>
        </w:rPr>
        <w:t>HELOC loans subject to monthly, amortizing borrower payments and may be prepaid and redrawn within a limited period of time. Personal, mortgage, and other loans are not considered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3370"/>
                <wp:effectExtent l="0" t="0" r="0" b="0"/>
                <wp:wrapNone/>
                <wp:docPr id="46" name="Frame4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loan counts held by the Company at June 30, 2026 and December 31, 2025:</w:t>
      </w:r>
    </w:p>
    <w:tbl>
      <w:tblPr>
        <w:tblW w:w="5290" w:type="dxa"/>
        <w:jc w:val="left"/>
        <w:tblInd w:w="0" w:type="dxa"/>
        <w:tblLayout w:type="fixed"/>
        <w:tblCellMar>
          <w:top w:w="28" w:type="dxa"/>
          <w:left w:w="28" w:type="dxa"/>
          <w:bottom w:w="28" w:type="dxa"/>
          <w:right w:w="28" w:type="dxa"/>
        </w:tblCellMar>
      </w:tblPr>
      <w:tblGrid>
        <w:gridCol w:w="782"/>
        <w:gridCol w:w="687"/>
        <w:gridCol w:w="691"/>
        <w:gridCol w:w="374"/>
        <w:gridCol w:w="374"/>
        <w:gridCol w:w="376"/>
        <w:gridCol w:w="109"/>
        <w:gridCol w:w="109"/>
        <w:gridCol w:w="109"/>
        <w:gridCol w:w="491"/>
        <w:gridCol w:w="491"/>
        <w:gridCol w:w="697"/>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16"/>
              </w:rPr>
              <w:t>December 31, 2025</w:t>
            </w:r>
            <w:r>
              <w:rPr>
                <w:rFonts w:ascii="Times New Roman;serif" w:hAnsi="Times New Roman;serif"/>
                <w:b/>
                <w:color w:val="000000"/>
                <w:sz w:val="10"/>
              </w:rPr>
              <w:t>(C)</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Count of loans held for sale:</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0"/>
              </w:rPr>
              <w:t>(A)</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6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 count held for sale</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7,093 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5,213 </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10"/>
        </w:rPr>
        <w:t>(A)</w:t>
      </w:r>
      <w:r>
        <w:rPr>
          <w:rFonts w:ascii="Times New Roman;serif" w:hAnsi="Times New Roman;serif"/>
          <w:b w:val="false"/>
          <w:color w:val="000000"/>
          <w:sz w:val="16"/>
        </w:rPr>
        <w:t>Loans collateralized by digital assets.</w:t>
      </w:r>
    </w:p>
    <w:p>
      <w:pPr>
        <w:pStyle w:val="TextBody"/>
        <w:bidi w:val="0"/>
        <w:spacing w:lineRule="auto" w:line="288" w:before="0" w:after="0"/>
        <w:ind w:left="0" w:right="0" w:hanging="360"/>
        <w:jc w:val="both"/>
        <w:rPr/>
      </w:pPr>
      <w:r>
        <w:rPr>
          <w:rFonts w:ascii="Times New Roman;serif" w:hAnsi="Times New Roman;serif"/>
          <w:b w:val="false"/>
          <w:color w:val="000000"/>
          <w:sz w:val="10"/>
        </w:rPr>
        <w:t>(B)</w:t>
      </w:r>
      <w:r>
        <w:rPr>
          <w:rFonts w:ascii="Times New Roman;serif" w:hAnsi="Times New Roman;serif"/>
          <w:b w:val="false"/>
          <w:color w:val="000000"/>
          <w:sz w:val="16"/>
        </w:rPr>
        <w:t>Primarily contains residential transition loans, other mortgage loans, legacy mortgages and other unsecured loans.</w:t>
      </w:r>
    </w:p>
    <w:p>
      <w:pPr>
        <w:pStyle w:val="TextBody"/>
        <w:bidi w:val="0"/>
        <w:spacing w:lineRule="auto" w:line="288" w:before="0" w:after="180"/>
        <w:ind w:left="0" w:right="0" w:hanging="360"/>
        <w:jc w:val="both"/>
        <w:rPr/>
      </w:pPr>
      <w:r>
        <w:rPr>
          <w:rFonts w:ascii="Times New Roman;serif" w:hAnsi="Times New Roman;serif"/>
          <w:b w:val="false"/>
          <w:color w:val="000000"/>
          <w:sz w:val="10"/>
        </w:rPr>
        <w:t>(C)</w:t>
      </w:r>
      <w:r>
        <w:rPr>
          <w:rFonts w:ascii="Times New Roman;serif" w:hAnsi="Times New Roman;serif"/>
          <w:b w:val="false"/>
          <w:color w:val="000000"/>
          <w:sz w:val="16"/>
        </w:rPr>
        <w:t xml:space="preserve">The loan counts as of December 31, 2025 have been corrected.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Components of Results of Operation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net revenue is primarily derived from ecosystem and technology fees, loan originations and sales, including interest income earned thereon, income earned on marketable securities, and loan servicing.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Ecosystem and technology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Partner-branded channel, we earn volume-based technology and processing fees, based on the principal balance of each loan originated on our LOS and the principal balance of loans transacted on Figure Connect. Such fees arise 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provided within submitted applications, risk underwriting, delivery of electronic loan offers, and electronic loan documentation signed by the borrower.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earn a fee for arranging and facilitating the securitization of HELOCs based on the outstanding principal balance of the transferred HELOCs, which is fully earned on the securitization closing date. Program fees are paid by the trust as the fees are earned and paid upon closing.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Origination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 These fees are earned through both our Figure-branded channel as well as our Partner-branded channel through wholesale brokers.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Servicing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Gain on sale of loans,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Gain on sale of loans consists of the net proceeds from the difference between the proceeds received at the sale of loans to third-party buyers, and the unpaid principal balance of such loans, including adjustments for changes in fair value for loans sold during the period. These realized and unrealized gains or losses and fair value adjustments are recognized through both our Figure-branded and Partner-branded channels based on the fair value of the loan originated by us, or purchased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3370"/>
                <wp:effectExtent l="0" t="0" r="0" b="0"/>
                <wp:wrapNone/>
                <wp:docPr id="47" name="Frame4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partners, generally represented by the consideration paid relative to the loans’ estimated fair value at each quarter end or consideration received upon sale.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elected the fair value option for both the Figure-branded loans we originate as well as the Partner-branded loans we purchase from our partners that we hold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earn interest income primarily from the following 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Loans</w:t>
      </w:r>
      <w:r>
        <w:rPr>
          <w:color w:val="000000"/>
        </w:rPr>
        <w:t xml:space="preserve"> — </w:t>
      </w:r>
      <w:r>
        <w:rPr>
          <w:rFonts w:ascii="Times New Roman;serif" w:hAnsi="Times New Roman;serif"/>
          <w:b w:val="false"/>
          <w:color w:val="000000"/>
          <w:sz w:val="20"/>
        </w:rPr>
        <w:t>We accrue interest income on loans we hold based on the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Cash and Cash Equivalents</w:t>
      </w:r>
      <w:r>
        <w:rPr>
          <w:color w:val="000000"/>
        </w:rPr>
        <w:t xml:space="preserve"> — </w:t>
      </w:r>
      <w:r>
        <w:rPr>
          <w:rFonts w:ascii="Times New Roman;serif" w:hAnsi="Times New Roman;serif"/>
          <w:b w:val="false"/>
          <w:color w:val="000000"/>
          <w:sz w:val="20"/>
        </w:rPr>
        <w:t>We accrue interest income monthly for cash held at depository institutions and investments in short-term instruments, such as money-market funds and U.S. Treasury Bills, and through repurchase agreements that are collateralized by U.S. Treasury Bills.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Gain on servicing asset,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routinely sell HELOCs, and in the past we have also sold personal loans, mortgage loans and Figure Pay credit loans, with servicing rights retained. Figure Pay credit loans are short duration, installment loans that consumers can use at their discretion.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 These gains are recognized through both our Figure-branded and Partner-branded channels.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Marketable securities income,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recognize interest income on the debt securities we hold where we expect to collect all contractual cash flows, and the debt security cannot be contractually prepaid 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 We carry marketable securities at fair value. Any changes in the fair value are included in our results of operations as net fair value adjustments.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revenue primarily consists of gains (losses) on the Company’s investments in certain entities and fees earned on marketing services provided for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3370"/>
                <wp:effectExtent l="0" t="0" r="0" b="0"/>
                <wp:wrapNone/>
                <wp:docPr id="48" name="Frame4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general and administrative, technology and product development, operations and processing, sales and marketing, and interest expenses.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payroll and other personnel-related costs, including stock-based compensation, for legal and compliance, finance and accounting, human resources and facilities teams; professional services fees; facilities and travel expenses.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Technology and product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processing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Operations and processing expenses primarily consist of payroll and other personnel-related costs, including stock-based compensation for personnel engaged in onboarding, loan servicing, customer support and other related operational teams. These expenses also include the costs of third-party systems and tools we use as part of the loan origination process, including information verification, fraud detection, and payment processing activities.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costs incurred across various advertising channels, including expenses associated with advertising campaigns, and building overall brand awareness. Sales and marketing expenses also include payroll and other personnel-related costs, including stock-based compensation expense, for our sales and marketing personnel.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of the costs we incur on our borrowings, amortization of fees, and other costs associated with our debt obligations. It also includes interest accrued and paid to holders of YLDS in the form of additional YLDS, in addition to interest accrued and paid to Democratized Prime lenders.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contractual agreements with loan buyers to repurchase loans under certain circumstances, including in the event of borrower delinquencies within the first 30 to 90 days of loan origination. We record a loss on those loans based on the fair value at the date on which we identify the repurchase obligation.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includes unrealized and realized gains (losses) resulting from transactions of certain digital assets, litigation settlements, adjustments to equity and non-equity method investments, foreign exchange rate gains (losses) and other non-income based state and local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3370"/>
                <wp:effectExtent l="0" t="0" r="0" b="0"/>
                <wp:wrapNone/>
                <wp:docPr id="49" name="Frame4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for the periods presented:</w:t>
      </w:r>
    </w:p>
    <w:tbl>
      <w:tblPr>
        <w:tblW w:w="11000" w:type="dxa"/>
        <w:jc w:val="left"/>
        <w:tblInd w:w="0" w:type="dxa"/>
        <w:tblLayout w:type="fixed"/>
        <w:tblCellMar>
          <w:top w:w="28" w:type="dxa"/>
          <w:left w:w="28" w:type="dxa"/>
          <w:bottom w:w="28" w:type="dxa"/>
          <w:right w:w="28" w:type="dxa"/>
        </w:tblCellMar>
      </w:tblPr>
      <w:tblGrid>
        <w:gridCol w:w="552"/>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85"/>
        <w:gridCol w:w="286"/>
        <w:gridCol w:w="241"/>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285"/>
        <w:gridCol w:w="286"/>
        <w:gridCol w:w="286"/>
      </w:tblGrid>
      <w:tr>
        <w:trPr/>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Interest income</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Gain on sale of loans, net</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servicing asset,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Marketable securities income, net</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911.7 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product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processing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350.9 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noncontrolling interests in consolidated subsidiaries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Figure Technology Solutions, Inc.</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Ecosystem and technology fees</w:t>
      </w:r>
    </w:p>
    <w:tbl>
      <w:tblPr>
        <w:tblW w:w="10685" w:type="dxa"/>
        <w:jc w:val="left"/>
        <w:tblInd w:w="0" w:type="dxa"/>
        <w:tblLayout w:type="fixed"/>
        <w:tblCellMar>
          <w:top w:w="28" w:type="dxa"/>
          <w:left w:w="28" w:type="dxa"/>
          <w:bottom w:w="28" w:type="dxa"/>
          <w:right w:w="28" w:type="dxa"/>
        </w:tblCellMar>
      </w:tblPr>
      <w:tblGrid>
        <w:gridCol w:w="357"/>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3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offering fees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ecosystem and technology fees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Ecosystem and technology fees increased $44.7 million, or 158.9%, primarily due to growth of 261.7% in Figure Connect Volume, as well as a $4.6 million increase in program fees due to a $1.4 billion increase in the volume of securitizations for which we earn program fees. Our ecosystem fees are based on a sliding scale that decreases as higher volume tiers are reached, resulting in lower fee rates as an individual partner’s origination volume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3370"/>
                <wp:effectExtent l="0" t="0" r="0" b="0"/>
                <wp:wrapNone/>
                <wp:docPr id="50" name="Frame5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Ecosystem and technology fees increased $76.4 million, or 174.7%, primarily due to growth of 252.3% in Figure Connect Volume, as well as a $7.7 million increase in program fees due to a $2.3 billion increase in the volume of securitizations for which we earn program fees. Our ecosystem fees are based on a sliding scale that decreases as higher volume tiers are reached, resulting in lower fee rates as an individual partners origination volume increases.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Servicing fees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Servicing fees increased $3.8 million, or 51.4%, driven by a $6.8 billion, or 73.9%, increase in the weighted average unpaid principal balance of HELOC loans serviced, rising to $16.0 billion at June 30, 2026, from $9.2 billion at June 30, 2025, partially offset by a decrease of 5 basis points in the weighted average servicing fee rate from 33 basis points to 28 basis points.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Servicing fees increased $6.5 million, or 44.2%, due to a $6.2 billion, or 69.4%, increase in the weighted average unpaid principal balance of HELOC loans serviced, rising to $15.1 billion at June 30, 2026, from $8.9 billion at June 30, 2025, partially offset by a decrease of 5 basis points in the weighted average servicing fee rate from 33 basis points to 28 basis points.</w:t>
      </w:r>
    </w:p>
    <w:p>
      <w:pPr>
        <w:pStyle w:val="TextBody"/>
        <w:bidi w:val="0"/>
        <w:spacing w:lineRule="auto" w:line="288" w:before="0" w:after="18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Interest income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increased $10.8 million, or 90.6%, primarily due to a $5.5 million increase in interest earned on cash balances, as well as a $3.7 million increase in interest earned on HELOCs.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increased $19.0 million, or 81.9%, primarily due to a $11.3 million increase in interest earned on cash balances, as well as a $5.9 million increase in interest earned on HELOCs.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3370"/>
                <wp:effectExtent l="0" t="0" r="0" b="0"/>
                <wp:wrapNone/>
                <wp:docPr id="51" name="Frame5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Origination fees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Origination fees increased $10.1 million, or 62.1%, primarily due to a 38.7% increase in overall volume of transactions for which we earn origination fees, as well as higher weighted average origination fees driven by a change in mix driven by Figure-branded volume growing 68.2% year over year, for which we earn higher origination fees relative to Partner-branded volume.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Origination fees increased $20.7 million, or 72.2%, primarily due to a 41.8% increase in overall volume of transactions for which we earn origination fees, as well as higher weighted average origination fees driven by a change in mix driven by Figure-branded volume growing 81.4% year over year, for which we earn higher origination fees relative to Partner-branded volume.</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on sale of loans, net</w:t>
      </w:r>
    </w:p>
    <w:tbl>
      <w:tblPr>
        <w:tblW w:w="10700" w:type="dxa"/>
        <w:jc w:val="left"/>
        <w:tblInd w:w="0" w:type="dxa"/>
        <w:tblLayout w:type="fixed"/>
        <w:tblCellMar>
          <w:top w:w="28" w:type="dxa"/>
          <w:left w:w="28" w:type="dxa"/>
          <w:bottom w:w="28" w:type="dxa"/>
          <w:right w:w="28" w:type="dxa"/>
        </w:tblCellMar>
      </w:tblPr>
      <w:tblGrid>
        <w:gridCol w:w="342"/>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85"/>
        <w:gridCol w:w="286"/>
        <w:gridCol w:w="241"/>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85"/>
        <w:gridCol w:w="286"/>
        <w:gridCol w:w="28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(loss):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 loan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332.6 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sale of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hanging="180"/>
        <w:jc w:val="both"/>
        <w:rPr/>
      </w:pPr>
      <w:r>
        <w:rPr/>
      </w:r>
    </w:p>
    <w:p>
      <w:pPr>
        <w:pStyle w:val="TextBody"/>
        <w:bidi w:val="0"/>
        <w:spacing w:lineRule="auto" w:line="288" w:before="0" w:after="180"/>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pPr>
      <w:r>
        <w:rPr>
          <w:rFonts w:ascii="Times New Roman;serif" w:hAnsi="Times New Roman;serif"/>
          <w:b w:val="false"/>
          <w:color w:val="000000"/>
          <w:sz w:val="20"/>
        </w:rPr>
        <w:t xml:space="preserve">Gain on sale of loans, net, increased $21.3 million, or 58.5%, primarily due to a $11.2 million increase in the realized gains on whole loan and securitized loan sales, driven by an increase in the UPB of loans sold from $1.1 billion to $2.5 billion, together with a 4.9% decrease in the weighted average price of loans sold for the three months ended June 30, 2026 compared to the three months ended June 30, 2025. Additionally, there was a $7.8 million increase in the fair value of loans not yet sold during three months ended June 30, 2026 compared to the three months ended June 30, 2025. </w:t>
      </w:r>
      <w:r>
        <w:rPr>
          <w:rFonts w:ascii="Times New Roman;serif" w:hAnsi="Times New Roman;serif"/>
          <w:b w:val="false"/>
          <w:color w:val="000000"/>
          <w:sz w:val="20"/>
          <w:shd w:fill="FFFFFF" w:val="clear"/>
        </w:rPr>
        <w:t>Due to changes in rates impacting our derivative positions, we reco</w:t>
      </w:r>
      <w:r>
        <w:rPr>
          <w:rFonts w:ascii="Times New Roman;serif" w:hAnsi="Times New Roman;serif"/>
          <w:b w:val="false"/>
          <w:color w:val="000000"/>
          <w:sz w:val="20"/>
        </w:rPr>
        <w:t xml:space="preserve">gnized realized gains on our derivatives of $5.7 million and unrealized losses of $4.9 million for the three months ended June 30, 2026.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Gain on sale of loans, net, increased $40.8 million, or 61.8%, due to a $30.4 million increase in the total realized gains on whole loan and securitized loan sales, driven by an increase in the UPB of loans sold from $2.4 billion to $4.3 billion, an increase of $1.9 billion period over period, together with a 3.8% decrease in the weighted average price of loans sold. Additionally, there was a $0.5 million decrease in the fair value of loans not yet sold offset by an increase in unrealized derivatives during the six months ended June 30, 2026 compared to the six months ended June 30, 2025. Due to changes in rates impacting our derivative positions, we recognized realized gains on our derivatives of $7.3 million and unrealized losses of $2.6 million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3370"/>
                <wp:effectExtent l="0" t="0" r="0" b="0"/>
                <wp:wrapNone/>
                <wp:docPr id="52" name="Frame5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on servicing asset, net</w:t>
      </w:r>
    </w:p>
    <w:tbl>
      <w:tblPr>
        <w:tblW w:w="10595" w:type="dxa"/>
        <w:jc w:val="left"/>
        <w:tblInd w:w="0" w:type="dxa"/>
        <w:tblLayout w:type="fixed"/>
        <w:tblCellMar>
          <w:top w:w="28" w:type="dxa"/>
          <w:left w:w="28" w:type="dxa"/>
          <w:bottom w:w="28" w:type="dxa"/>
          <w:right w:w="28" w:type="dxa"/>
        </w:tblCellMar>
      </w:tblPr>
      <w:tblGrid>
        <w:gridCol w:w="357"/>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3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Realization of cash flows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servicing asset,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Gain on servicing asset, net increased $27.2 million, primarily due to a $17.0 million increase in new servicing assets retained on the increase of UPB of loans sold from $1.1 billion to $2.5 billion for the three months ended June 30, 2026 compared to the three months ended June 30, 2025, as well as a $14.2 million increase resulting from changes in valuation inputs and assumptions, driven by an increasing rate environment in the current period compared to a decreasing rate environment in the prior period. Partially offsetting, there was a $4.0 million change due to the realization of cash flows derived from a larger servicing portfolio during the three months ended June 30, 2026 compared to the three months ended June 30, 2025.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Gain on servicing asset, net increased $39.8 million, primarily due to a $27.1 million increase in new servicing assets retained on the increase of UPB of loans sold from $2.4 billion to $4.3 billion for the six months ended June 30, 2026 compared to the six months ended June 30, 2025, as well as a $20.1 million increase resulting from changes in valuation inputs and assumptions, driven by an increasing rate environment in the current period compared to a decreasing rate environment in the prior period. Partially offsetting, there was a $7.4 million change due to the realization of cash flows derived from a larger servicing portfolio during the six months ended June 30, 2026 compared to the six months ended June 30, 2025.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Marketable securities income, net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Marketable securities income, net remained flat for the three months ended June 30, 2026, compared to three months ended June 30, 2025 as the change in fair value of the marketable securities we held was offset by an increase in interest income on the marketable securities we held.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Marketable securities income, net decreased $4.0 million, or 34.7%, primarily due to a $7.0 million decrease in recognized change in fair value of the marketable securities we held, partially offset by an $2.9 million increase in interest income on the marketable securities we held.</w:t>
      </w:r>
    </w:p>
    <w:p>
      <w:pPr>
        <w:pStyle w:val="TextBody"/>
        <w:bidi w:val="0"/>
        <w:spacing w:lineRule="auto" w:line="288" w:before="0" w:after="18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Other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is immaterial overall and components of other revenue did not materially change as fees, and the net assets on which we charge those fees, were consistent during the three and six months ended June 30, 2026 and 2025. The growth in other revenue is representative of the overall growth in Figure.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3370"/>
                <wp:effectExtent l="0" t="0" r="0" b="0"/>
                <wp:wrapNone/>
                <wp:docPr id="53" name="Frame5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Figure-branded revenue</w:t>
      </w:r>
    </w:p>
    <w:tbl>
      <w:tblPr>
        <w:tblW w:w="10835" w:type="dxa"/>
        <w:jc w:val="left"/>
        <w:tblInd w:w="0" w:type="dxa"/>
        <w:tblLayout w:type="fixed"/>
        <w:tblCellMar>
          <w:top w:w="28" w:type="dxa"/>
          <w:left w:w="28" w:type="dxa"/>
          <w:bottom w:w="28" w:type="dxa"/>
          <w:right w:w="28" w:type="dxa"/>
        </w:tblCellMar>
      </w:tblPr>
      <w:tblGrid>
        <w:gridCol w:w="597"/>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5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Figure-branded net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hanging="18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Figure-branded net revenue increased $23.0 million, or 84.7%, during the three months ended June 30, 2026, compared to the three months ended June 30, 2025. This was primarily due to a $12.9 million or 103.3% increase in gain on sale of loans as a result of an increase in the UPB of loans sold and fair value of loans not sold yet. Additionally, there was a $9.4 million, or 67.0%, increase in Figure-branded origination fees as a result of a 68.2% increase in Figure-branded volume.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Figure-branded net revenue increased $43.3 million, or 89.3%, during the six months ended June 30, 2026, compared to the six months ended June 30, 2025. This was primarily due to a $22.5 million or 99.6% increase in gain on sale of loans as a result of an increase in the UPB of loans sold and a $19.4 million, or 78.5%, increase in Figure-branded origination fees as a result of an 81.4% increase in Figure-branded volume.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Partner-branded revenue</w:t>
      </w:r>
    </w:p>
    <w:tbl>
      <w:tblPr>
        <w:tblW w:w="11060" w:type="dxa"/>
        <w:jc w:val="left"/>
        <w:tblInd w:w="0" w:type="dxa"/>
        <w:tblLayout w:type="fixed"/>
        <w:tblCellMar>
          <w:top w:w="28" w:type="dxa"/>
          <w:left w:w="28" w:type="dxa"/>
          <w:bottom w:w="28" w:type="dxa"/>
          <w:right w:w="28" w:type="dxa"/>
        </w:tblCellMar>
      </w:tblPr>
      <w:tblGrid>
        <w:gridCol w:w="642"/>
        <w:gridCol w:w="301"/>
        <w:gridCol w:w="303"/>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6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Partner-branded net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hanging="18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Partner-branded net revenue increased $53.1 million, or 99.1%, during the three months ended June 30, 2026, compared to the three months ended June 30, 2025. The increase was primarily attributable to ecosystem and technology fees, which increased by $44.1 million, or 159.8%, during the three months ended June 30, 2026, compared to the three months ended June 30, 2025. This was primarily due to an increase in volume transacted on our Connect platform. Additionally, Partner-branded gain on sale of loans, net increased by $8.3 million, or 35.0%, during the three months ended June 30, 2026, compared to the three months ended June 30, 2025, as a result of a 151% increase in Partner-branded volume, offset by a transition towards ecosystem and technology fee revenue as Partners transition to Connect.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Partner-branded net revenue increased $94.7 million, or 105.1%, during the six months ended June 30, 2026, compared to the six months ended June 30, 2025. The increase was primarily attributable to ecosystem and technology fees, which increased by $75.1 million, or 176.3%, during the six months ended June 30, 2026, compared to the six months ended June 30, 2025. This was primarily due to an increase in volume transacted on our Connect platform. Additionally, Partner-branded gain on sale of loans, net increased by $18.2 million, or 41.9%, during the six months ended June 30, 2026, compared to the six months ended June 30, 2025, as a result of a 136% increase in Partner-branded volume, offset by a transition towards ecosystem and technology fee revenue as Partners transition to Connect.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3370"/>
                <wp:effectExtent l="0" t="0" r="0" b="0"/>
                <wp:wrapNone/>
                <wp:docPr id="54" name="Frame5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tbl>
      <w:tblPr>
        <w:tblW w:w="10745" w:type="dxa"/>
        <w:jc w:val="left"/>
        <w:tblInd w:w="0" w:type="dxa"/>
        <w:tblLayout w:type="fixed"/>
        <w:tblCellMar>
          <w:top w:w="28" w:type="dxa"/>
          <w:left w:w="28" w:type="dxa"/>
          <w:bottom w:w="28" w:type="dxa"/>
          <w:right w:w="28" w:type="dxa"/>
        </w:tblCellMar>
      </w:tblPr>
      <w:tblGrid>
        <w:gridCol w:w="507"/>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5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general and administrative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$35.0 million, or 213.6%. This primarily consisted of an increase in stock-based compensation expense of $21.8 million, due to the recognition of expense for stock-based compensation awards that satisfied the liquidity condition in connection with the IPO, additional grants associated with the IPO, and an increase in grants in the current year due to increased headcount. Professional services increased $8.2 million, or 224.7%, primarily due to an increase in legal and accounting fees.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$61.8 million, or 175.3%. This primarily consisted of an increase in stock-based compensation expense of $43.5 million, due to the recognition of expense for stock-based compensation awards that satisfied the liquidity condition in connection with the IPO, additional grants associated with the IPO, and an increase in grants in the current year due to increased headcount. Professional services increased $10.4 million, or 108.3%, primarily due to an increase in legal and accounting fees.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Technology and product development</w:t>
      </w:r>
    </w:p>
    <w:tbl>
      <w:tblPr>
        <w:tblW w:w="10385" w:type="dxa"/>
        <w:jc w:val="left"/>
        <w:tblInd w:w="0" w:type="dxa"/>
        <w:tblLayout w:type="fixed"/>
        <w:tblCellMar>
          <w:top w:w="28" w:type="dxa"/>
          <w:left w:w="28" w:type="dxa"/>
          <w:bottom w:w="28" w:type="dxa"/>
          <w:right w:w="28" w:type="dxa"/>
        </w:tblCellMar>
      </w:tblPr>
      <w:tblGrid>
        <w:gridCol w:w="507"/>
        <w:gridCol w:w="301"/>
        <w:gridCol w:w="303"/>
        <w:gridCol w:w="196"/>
        <w:gridCol w:w="646"/>
        <w:gridCol w:w="109"/>
        <w:gridCol w:w="109"/>
        <w:gridCol w:w="109"/>
        <w:gridCol w:w="109"/>
        <w:gridCol w:w="196"/>
        <w:gridCol w:w="646"/>
        <w:gridCol w:w="109"/>
        <w:gridCol w:w="109"/>
        <w:gridCol w:w="109"/>
        <w:gridCol w:w="109"/>
        <w:gridCol w:w="196"/>
        <w:gridCol w:w="436"/>
        <w:gridCol w:w="109"/>
        <w:gridCol w:w="109"/>
        <w:gridCol w:w="109"/>
        <w:gridCol w:w="109"/>
        <w:gridCol w:w="240"/>
        <w:gridCol w:w="241"/>
        <w:gridCol w:w="241"/>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77"/>
        <w:gridCol w:w="279"/>
        <w:gridCol w:w="286"/>
      </w:tblGrid>
      <w:tr>
        <w:trPr/>
        <w:tc>
          <w:tcPr>
            <w:tcW w:w="5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technology and product development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Technology and product development expense decreased $0.5 million, or 2.9%, primarily due to a $1.8 million decrease in stock-based compensation expense related to services exchanged for the issuance of warrants in the prior year which were fully earned in the prior year and therefore had no impact in the three months ended June 30,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Technology and product development expense decreased $2.3 million, or 6.8%, primarily due to a $3.4 million decrease in stock-based compensation expense from prior year expense related to services exchanged for the issuance of warrants in the prior year which were fully earned in the prior year and therefore had no expense in the six months ended June 30, 2026. Additionally, compensation and benefits decreased driven by a decline in cost per employee, offset by an increase in software costs driven by cloud compute and storage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3370"/>
                <wp:effectExtent l="0" t="0" r="0" b="0"/>
                <wp:wrapNone/>
                <wp:docPr id="55" name="Frame5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Operations and processing</w:t>
      </w:r>
    </w:p>
    <w:tbl>
      <w:tblPr>
        <w:tblW w:w="10745" w:type="dxa"/>
        <w:jc w:val="left"/>
        <w:tblInd w:w="0" w:type="dxa"/>
        <w:tblLayout w:type="fixed"/>
        <w:tblCellMar>
          <w:top w:w="28" w:type="dxa"/>
          <w:left w:w="28" w:type="dxa"/>
          <w:bottom w:w="28" w:type="dxa"/>
          <w:right w:w="28" w:type="dxa"/>
        </w:tblCellMar>
      </w:tblPr>
      <w:tblGrid>
        <w:gridCol w:w="507"/>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5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Processing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processing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and processing expense increased $14.5 million, or 100.1%, primarily due to an $11.0 million increase in processing fees due to a 131.7% increase in Consumer Loan Marketplace Volume. Additionally, compensation and benefits increased $3.4 million, or 64.4%, primarily due to a 43.7% increase in average headcount driven by the increase in Consumer Loan Marketplace volume.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and processing expense increased $23.2 million, or 85.7%, primarily due to a $16.7 million increase in processing fees due to a 123.6% increase in Consumer Loan Marketplace Volume. Additionally, compensation and benefits increased $6.4 million, or 62.1%, primarily due to a 49.3% increase in average headcount.</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Sales and marketing</w:t>
      </w:r>
    </w:p>
    <w:tbl>
      <w:tblPr>
        <w:tblW w:w="10745" w:type="dxa"/>
        <w:jc w:val="left"/>
        <w:tblInd w:w="0" w:type="dxa"/>
        <w:tblLayout w:type="fixed"/>
        <w:tblCellMar>
          <w:top w:w="28" w:type="dxa"/>
          <w:left w:w="28" w:type="dxa"/>
          <w:bottom w:w="28" w:type="dxa"/>
          <w:right w:w="28" w:type="dxa"/>
        </w:tblCellMar>
      </w:tblPr>
      <w:tblGrid>
        <w:gridCol w:w="507"/>
        <w:gridCol w:w="301"/>
        <w:gridCol w:w="30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5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619.2 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Advertising and other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sales and marketing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$13.8 million, or 81.2%, primarily due to a $10.6 million increase in advertising and other expense driven by a 68.2% increase in Figure-branded volume, as well as a $2.4 million increase in compensation and benefits primarily due to a 117.1% increase in average headcount.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$24.3 million, or 76.1%, primarily due to a $19.1 million increase in advertising and other expense driven by an 81.4% increase in Figure-branded volume, as well as a $4.0 million increase in compensation and benefits primarily due to a 93.9% increase in average headcount.</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$7.3 million, or 58.9%, primarily due to a $7.3 million increase in interest expense related to Democratized Prime and a $3.2 million increase related to the Retained Interest Facility warehouse, offset by a $2.1 million decrease in warehouse facilities and a $1.9 million decrease in interest on our MSR Facility.</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$13.2 million, or 56.6%, primarily due to a $14.0 million increase in interest expense related to Democratized Prime, a $4.9 million increase related to the Retained Interest Facility warehouse, and a $2.1 million increase in interest related to YLDS holdings, offset by a $6.3 million decrease in warehouse facilities and a $1.9 million decrease in interest on our MSR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3370"/>
                <wp:effectExtent l="0" t="0" r="0" b="0"/>
                <wp:wrapNone/>
                <wp:docPr id="56" name="Frame5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(expense), net</w:t>
      </w:r>
    </w:p>
    <w:tbl>
      <w:tblPr>
        <w:tblW w:w="10205" w:type="dxa"/>
        <w:jc w:val="left"/>
        <w:tblInd w:w="0" w:type="dxa"/>
        <w:tblLayout w:type="fixed"/>
        <w:tblCellMar>
          <w:top w:w="28" w:type="dxa"/>
          <w:left w:w="28" w:type="dxa"/>
          <w:bottom w:w="28" w:type="dxa"/>
          <w:right w:w="28" w:type="dxa"/>
        </w:tblCellMar>
      </w:tblPr>
      <w:tblGrid>
        <w:gridCol w:w="373"/>
        <w:gridCol w:w="328"/>
        <w:gridCol w:w="330"/>
        <w:gridCol w:w="196"/>
        <w:gridCol w:w="558"/>
        <w:gridCol w:w="109"/>
        <w:gridCol w:w="109"/>
        <w:gridCol w:w="109"/>
        <w:gridCol w:w="109"/>
        <w:gridCol w:w="196"/>
        <w:gridCol w:w="558"/>
        <w:gridCol w:w="109"/>
        <w:gridCol w:w="109"/>
        <w:gridCol w:w="109"/>
        <w:gridCol w:w="109"/>
        <w:gridCol w:w="196"/>
        <w:gridCol w:w="573"/>
        <w:gridCol w:w="109"/>
        <w:gridCol w:w="109"/>
        <w:gridCol w:w="109"/>
        <w:gridCol w:w="109"/>
        <w:gridCol w:w="286"/>
        <w:gridCol w:w="287"/>
        <w:gridCol w:w="241"/>
        <w:gridCol w:w="109"/>
        <w:gridCol w:w="109"/>
        <w:gridCol w:w="109"/>
        <w:gridCol w:w="196"/>
        <w:gridCol w:w="573"/>
        <w:gridCol w:w="109"/>
        <w:gridCol w:w="109"/>
        <w:gridCol w:w="109"/>
        <w:gridCol w:w="109"/>
        <w:gridCol w:w="196"/>
        <w:gridCol w:w="573"/>
        <w:gridCol w:w="109"/>
        <w:gridCol w:w="109"/>
        <w:gridCol w:w="109"/>
        <w:gridCol w:w="109"/>
        <w:gridCol w:w="196"/>
        <w:gridCol w:w="556"/>
        <w:gridCol w:w="109"/>
        <w:gridCol w:w="109"/>
        <w:gridCol w:w="109"/>
        <w:gridCol w:w="109"/>
        <w:gridCol w:w="277"/>
        <w:gridCol w:w="279"/>
        <w:gridCol w:w="294"/>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digital assets held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value of fund investment</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Staking rewards and realized gains</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031"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031"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decreased $0.4 million, or 6.7%, primarily driven by a $2.9 million decrease in the change in fair value of digital assets held and a $1.6 million decrease in staking rewards and gain on sale and usage of digital assets, partially offset by a $4.3 million increase in Other, largely due to a $5.9 million gain recognized on the disposal of our equity-method investment in Reflow Services, LLC, during the three months ended June 30, 2026 compared to the three months ended June 30,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$3.2 million, or 177.2%, primarily driven by a $6.1 million increase in Other, largely due to a $5.9 million gain recognized on the disposal of our equity-method investment in Reflow Services, LLC in May 2026, along with a $0.7 million increase in the change in fair value of digital assets held, partially offset by a $0.8 million decrease in the change in value of fund investments, and a $2.8 million decrease in staking rewards and gain on sale and usage of digital assets, during the six months ended June 30, 2026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Tax Provision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$7.8 million for the three months ended June 30, 2026 compared to the three months ended June 30, 2025. The benefit for income taxes includes U.S. federal, state and local taxes. The effective tax rate for the three months ended June 30, 2026 was approximately (5.4)%, compared to 10.1% for the three months ended June 30, 2025. The effective tax rate differed from the U.S. federal statutory rate of 21.0% for the three months ended June 30, 2026 primarily due to discrete excess tax benefits associated with stock-based compensation during the period. The effective tax rate differed from the U.S. federal statutory rate for the three months ended June 30, 2025 of 21.0% primarily due to state tax expense attributable to FT Intermediate, Inc. filed on standalone basis, while Figure Markets Holdings, Inc. losses were not realizable prior to the Recombination.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decreased by $16.0 million for the six months ended June 30, 2026 compared to the six months ended June 30, 2025. The benefit for income taxes includes U.S. federal, state and local taxes. The effective tax rate for the six months ended June 30, 2026 was approximately (9.4)%, compared to 13.5% for the six months ended June 30, 2025. The effective tax rate differed from the U.S. federal statutory rate of 21.0% for the six months ended June 30, 2026 primarily due to discrete excess tax benefits associated with stock-based compensation during the period. The effective tax rate differed from the U.S. federal statutory rate for the six months ended June 30, 2025 of 21.0% primarily due to state tax expense attributable to FT Intermediate, Inc. filed on standalone basis, while Figure Markets Holdings, Inc. losses were not realizable prior to the Recombination.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Noncontrolling Interests in Consolidated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Third-party investors hold interests in entities that we consolidate, and to whom we allocate the net income or loss of those entities. During the three and six months ended June 30, 2026 and 2025, we allocated aggregate net income or loss to those third-party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3370"/>
                <wp:effectExtent l="0" t="0" r="0" b="0"/>
                <wp:wrapNone/>
                <wp:docPr id="57" name="Frame5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Financial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selected line items from our Condensed Consolidated Balance Sheets for the periods indicated, and the changes between such periods. These selected line items have been prepared on the same basis as our Condensed Consolidated Financial Statements. In the opinion of management, the financial information set forth in the table below reflects all normal recurring adjustments necessary for the fair statement of changes in the selected line items for these periods. The following selected line items should be read together with our Condensed Consolidated Financial Statements and related notes.</w:t>
      </w:r>
    </w:p>
    <w:tbl>
      <w:tblPr>
        <w:tblW w:w="8446" w:type="dxa"/>
        <w:jc w:val="left"/>
        <w:tblInd w:w="0" w:type="dxa"/>
        <w:tblLayout w:type="fixed"/>
        <w:tblCellMar>
          <w:top w:w="28" w:type="dxa"/>
          <w:left w:w="28" w:type="dxa"/>
          <w:bottom w:w="28" w:type="dxa"/>
          <w:right w:w="28" w:type="dxa"/>
        </w:tblCellMar>
      </w:tblPr>
      <w:tblGrid>
        <w:gridCol w:w="932"/>
        <w:gridCol w:w="820"/>
        <w:gridCol w:w="827"/>
        <w:gridCol w:w="196"/>
        <w:gridCol w:w="871"/>
        <w:gridCol w:w="109"/>
        <w:gridCol w:w="109"/>
        <w:gridCol w:w="109"/>
        <w:gridCol w:w="109"/>
        <w:gridCol w:w="250"/>
        <w:gridCol w:w="1111"/>
        <w:gridCol w:w="139"/>
        <w:gridCol w:w="109"/>
        <w:gridCol w:w="109"/>
        <w:gridCol w:w="109"/>
        <w:gridCol w:w="196"/>
        <w:gridCol w:w="736"/>
        <w:gridCol w:w="109"/>
        <w:gridCol w:w="109"/>
        <w:gridCol w:w="109"/>
        <w:gridCol w:w="109"/>
        <w:gridCol w:w="277"/>
        <w:gridCol w:w="279"/>
        <w:gridCol w:w="459"/>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1,198,141 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asset,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third-party loan owners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383,772 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current to related parties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restricted cash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increased by $239.4 million, or 20.0%, as of June 30, 2026 compared to December 31, 2025, and restricted cash increased $27.3 million, or 39.7%. Refer to “—Liquidity and Capital Resources—Cash Flows” for the drivers in the change of cash, cash equivalents and restricted cash provided by operating, investing and financing activities during the period.</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held for sale,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Loans held for sale, at fair value increased by $193.1 million, or 47.7%, as of June 30, 2026 compared to December 31, 2025, primarily due to originations of $2.7 billion and purchases of $2.4 billion offset by loan sales, net of repurchases, of $4.5 billion and principal payments of $395.2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Digital assets, current and non-current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assets, current and non-current, decreased $36.7 million, or 36.6%, as of June 30, 2026 compared to December 31, 2025, which represents the fair value change in digital assets we hold for sale and the gross change of digital assets we hold as collateral. We recognize offsetting liabilities and changes for digital assets held as collateral and do not record any net assets, gains, or losses thereon unless we are unable to liquidate collateral timely and are otherwise unable to collect amounts owed. We have not experienced any such losses to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assets held as collateral, gross of offsetting liabilities, decreased $31.4 million as of June 30, 2026 compared to December 31, 2025 due to a decrease of $27.8 million in Bitcoin holdings as a result of decreases in both the quantity and price of Bitcoin, and a $3.7 million decrease in Ethereum holdings due to a decrease in both the quantity and price of Ethereum.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held at fair value decreased $5.4 million as of June 30, 2026 compared to December 31, 2025 due to a $3.9 million decrease in the fair value of Solana holdings, a $1.0 million decrease in the fair value of digital assets held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3370"/>
                <wp:effectExtent l="0" t="0" r="0" b="0"/>
                <wp:wrapNone/>
                <wp:docPr id="58" name="Frame5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liquidity pools and a $0.8 million decrease in the fair value of United States Dollar Tether holdings, partially offset by immaterial increases in the fair value of other digital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3—Investments” in the Condensed Consolidated Financial Statements for further discussion on digital 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increased $36.5 million, or 70.2%, as of June 30, 2026 compared to December 31, 2025, primarily driven by a $16.8 million increase in other accounts receivable and trade accounts receivable increased $13.8 million driven by an overall increase in Partner-branded volume. Management continues to monitor customer credit exposure and collection trends.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servicing asset,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 servicing asset, at fair value, increased $42.0 million, or 37.1%, as of June 30, 2026 compared to December 31, 2025, reflecting a $52.2 million increase in the value of servicing rights retained during the six months ended June 30, 2026, and a $9.6 million increase in the estimated fair value of servicing assets held based upon changes in valuation assumptions, partially offset by a $19.8 million decrease in servicing fee collections. See “Note 4—Servicing” in the Condensed Consolidated Financial Statements for further discussion on loan servicing 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Marketable securities,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Marketable securities, at fair value increased $80.9 million, or 29.6%, as of June 30, 2026 compared to December 31, 2025, primarily due to an increase in the volume of new securitizations in which Figure Lending LLC acts as a sponsor of the transaction. The consolidated subsidiary is required to retain 5% of the total value of marketable securities issued as a result of the transaction, as described further in “Note 2—Summary of Significant Accounting Policies,” in the Annual Report on Form 10-K for the fiscal year ended December 31, 2025. The increase in marketable securities retained are partially offset by the scheduled paydown of collateralized loans backing marketable securities held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Liabilities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Payables to third-party loan owners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Payables to third-party loan owners increased $122.9 million, or 32.0%, as of June 30, 2026 compared to December 31, 2025, due to an increase in our servicing portfolio. The overall balance may fluctuate based on timing of collections and payments to third-party loan owners.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current and non-current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debt, current and non-current, including related party debt, increased by $405.8 million, or 72.8%, as of June 30, 2026 compared to December 31, 2025, primarily due to an increase of $278.1 million in debt at fair value as a result of the growth in YLDS at FCC and Democratized Prime as well as an $85.7 million increase in non-current debt related to the increase in marketable securities.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current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current liabilities decreased $32.6 million, or 30.8%, as of June 30, 2026 compared to December 31, 2025, primarily due to lower crypto collateral balances, reflecting declines in both quantity and price of crypto assets held, as well as reduced platform liabilities. These decreases were partially offset by growth in loan-related payables, consistent with higher loan volume, and a modest increase in other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Sources and Uses of Funds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through Figure Connect,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long-term relationships with a diverse group of existing funding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3370"/>
                <wp:effectExtent l="0" t="0" r="0" b="0"/>
                <wp:wrapNone/>
                <wp:docPr id="59" name="Frame5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partners help provide flexibility as we optimize our funding to support the growth in loan volume. For those loans sold through Figure Connect, we also collect fees as a source of funds. Our principal sources of liquidity are cash and cash equivalents, digital assets, available for sale securities, available capacity from warehouse and revolving credit facilities, securitization trusts, forward flow loan sale arrangements, and cash flows from our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$1.4 billion in cash and cash equivalents, $95.9 million in restricted cash, $42.4 million in digital assets, excluding digital assets held as collateral, and $2.0 billion in available debt capacity, excluding purchase commitments from third-party loan buyers. As of December 31, 2025, we had $1.2 billion in cash and cash equivalents, $68.6 million in restricted cash, $47.6 million in digital assets held, excluding digital assets held as collateral, and $1.8 billion in available debt capacity, excluding purchase commitments from third-party loan buyers. Our restricted cash primarily relates to cash held by us on behalf of third-party loan sellers or buyers that represent collection of principal and interest from loan borrowers that we remit to those third parties as servicer of those loans. </w:t>
      </w:r>
    </w:p>
    <w:p>
      <w:pPr>
        <w:pStyle w:val="TextBody"/>
        <w:bidi w:val="0"/>
        <w:spacing w:lineRule="auto" w:line="288" w:before="0" w:after="180"/>
        <w:jc w:val="both"/>
        <w:rPr/>
      </w:pPr>
      <w:r>
        <w:rPr>
          <w:rFonts w:ascii="Times New Roman;serif" w:hAnsi="Times New Roman;serif"/>
          <w:b w:val="false"/>
          <w:color w:val="000000"/>
          <w:sz w:val="20"/>
        </w:rPr>
        <w:t xml:space="preserve">Based on our current business plan and revenue prospects, we believe that our existing cash and cash equivalents, our anticipated cash flows from operations, and our available debt capacity will be sufficient to meet our working capital and operating resource expenditure requirements for at least the next 12 months from the date of this Quarterly Report. </w:t>
      </w:r>
      <w:r>
        <w:rPr>
          <w:rFonts w:ascii="Times New Roman;serif" w:hAnsi="Times New Roman;serif"/>
          <w:b w:val="false"/>
          <w:color w:val="000000"/>
          <w:sz w:val="20"/>
          <w:shd w:fill="FFFFFF" w:val="clear"/>
        </w:rPr>
        <w:t>Beyond the next 12 months, we expect our long-term liquidity needs to consist primarily of working capital requirements and ongoing investments to support growth. We intend to maintain a strong liquidity position to provide flexibility to pursue strategic opportunities and manage potential variability in operating cash flows. As a result, we do not currently expect to require additional external financing to support our business operations over the long term, although we may from time to time enter into or expand credit facilities to enhance our liquidity position or fund growth initiatives.</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Funding Sources</w:t>
      </w:r>
    </w:p>
    <w:p>
      <w:pPr>
        <w:pStyle w:val="TextBody"/>
        <w:bidi w:val="0"/>
        <w:spacing w:lineRule="auto" w:line="288" w:before="0" w:after="180"/>
        <w:jc w:val="both"/>
        <w:rPr/>
      </w:pPr>
      <w:r>
        <w:rPr>
          <w:rFonts w:ascii="Times New Roman;serif" w:hAnsi="Times New Roman;serif"/>
          <w:b w:val="false"/>
          <w:color w:val="000000"/>
          <w:sz w:val="20"/>
          <w:shd w:fill="FFFFFF" w:val="clear"/>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if any, the loans held in the securitization trusts are included in loans held for investment, and the notes sold to third-party investors are recorded in notes issued by securitization trusts in the consolidated balance sheets. We did not consolidate any securitization VIEs at June 30, 2026 or December 31, 2025. Refer to “Note 9</w:t>
      </w:r>
      <w:r>
        <w:rPr>
          <w:color w:val="000000"/>
        </w:rPr>
        <w:t>—</w:t>
      </w:r>
      <w:r>
        <w:rPr>
          <w:rFonts w:ascii="Times New Roman;serif" w:hAnsi="Times New Roman;serif"/>
          <w:b w:val="false"/>
          <w:color w:val="000000"/>
          <w:sz w:val="20"/>
        </w:rPr>
        <w:t>Variable Interest Entities”</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Condensed Consolidated Financial Statements</w:t>
      </w:r>
      <w:r>
        <w:rPr>
          <w:color w:val="000000"/>
          <w:shd w:fill="FFFFFF" w:val="clear"/>
        </w:rPr>
        <w:t xml:space="preserve"> </w:t>
      </w:r>
      <w:r>
        <w:rPr>
          <w:rFonts w:ascii="Times New Roman;serif" w:hAnsi="Times New Roman;serif"/>
          <w:b w:val="false"/>
          <w:color w:val="000000"/>
          <w:sz w:val="20"/>
          <w:shd w:fill="FFFFFF" w:val="clear"/>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Debt Obligations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FL LLC, Figure Markets Credit LLC, and their subsidiaries. Our warehouse credit 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one month, until the loans are sold. During the time the loans are held for sale, we earn interest income from the customer on the underlying loan. This income is partially offset by the interest and fees we pay due to borrowings from the warehouse credit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3370"/>
                <wp:effectExtent l="0" t="0" r="0" b="0"/>
                <wp:wrapNone/>
                <wp:docPr id="60" name="Frame6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 capacity of committed debt facilities as of June 30, 2026 include the following:</w:t>
      </w:r>
    </w:p>
    <w:tbl>
      <w:tblPr>
        <w:tblW w:w="9319" w:type="dxa"/>
        <w:jc w:val="left"/>
        <w:tblInd w:w="0" w:type="dxa"/>
        <w:tblLayout w:type="fixed"/>
        <w:tblCellMar>
          <w:top w:w="28" w:type="dxa"/>
          <w:left w:w="28" w:type="dxa"/>
          <w:bottom w:w="28" w:type="dxa"/>
          <w:right w:w="28" w:type="dxa"/>
        </w:tblCellMar>
      </w:tblPr>
      <w:tblGrid>
        <w:gridCol w:w="663"/>
        <w:gridCol w:w="582"/>
        <w:gridCol w:w="585"/>
        <w:gridCol w:w="564"/>
        <w:gridCol w:w="564"/>
        <w:gridCol w:w="566"/>
        <w:gridCol w:w="109"/>
        <w:gridCol w:w="109"/>
        <w:gridCol w:w="109"/>
        <w:gridCol w:w="265"/>
        <w:gridCol w:w="1178"/>
        <w:gridCol w:w="147"/>
        <w:gridCol w:w="109"/>
        <w:gridCol w:w="109"/>
        <w:gridCol w:w="109"/>
        <w:gridCol w:w="305"/>
        <w:gridCol w:w="1146"/>
        <w:gridCol w:w="169"/>
        <w:gridCol w:w="109"/>
        <w:gridCol w:w="109"/>
        <w:gridCol w:w="109"/>
        <w:gridCol w:w="257"/>
        <w:gridCol w:w="1145"/>
        <w:gridCol w:w="202"/>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Final Stated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Available Financing</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2</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5</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293,810 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6</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233,877 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7</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220,737 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Interest Facility</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182,336 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Bridge Loan Facility</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2,385,300 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422,624 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1,962,676 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“Note 6—Debt” in the Condensed Consolidated Financial Statements for further details on our Warehouse Facilities, and borrowing capacity.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than as noted above, our warehouse credit facilities bear floating interest rates, are payable on a monthly basis, and contain certain financial covenants, such as minimum tangible net worth, minimum liquidity, maximum leverage ratios, required range of net income or loss during specified periods, and periodic financial reporting requirements. Failure to comply with these covenants may result in an acceleration of payment on outstanding principal and accrued interest. As of June 30, 2026 and December 31, 2025,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 any additional financing will be available to us on acceptable terms, or at all. If we raise additional funds by issuing equity or equity-linked securities, the ownership of our existing stockholders will be diluted.</w:t>
      </w:r>
    </w:p>
    <w:p>
      <w:pPr>
        <w:pStyle w:val="TextBody"/>
        <w:bidi w:val="0"/>
        <w:spacing w:lineRule="auto" w:line="288" w:before="0" w:after="180"/>
        <w:jc w:val="both"/>
        <w:rPr>
          <w:rFonts w:ascii="Times New Roman;serif" w:hAnsi="Times New Roman;serif"/>
          <w:b/>
          <w:i/>
          <w:color w:val="000000"/>
          <w:sz w:val="20"/>
          <w:u w:val="single"/>
        </w:rPr>
      </w:pPr>
      <w:r>
        <w:rPr>
          <w:rFonts w:ascii="Times New Roman;serif" w:hAnsi="Times New Roman;serif"/>
          <w:b/>
          <w:i/>
          <w:color w:val="000000"/>
          <w:sz w:val="20"/>
          <w:u w:val="single"/>
        </w:rPr>
        <w:t>Pending Acquisition and Related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10, 2026, we entered into an Agreement and Plan of Merger (the “Merger Agreement”), to acquire Kiavi.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we entered into a commitment letter with Bank of America, N.A., BofA Securities, Inc. and Barclays Bank PLC, pursuant to which Bank of America, N.A. and Barclays Bank PLC committed, subject to the satisfaction of customary conditions, to provide us with a 364-day bridge loan facility in an aggregate principal amount not to exceed $600.0 million. As of June 30, 2026, there were no outstanding borrowings under the Bridge Loan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14, 2026, we closed on a private offering of $600.0 million principal amount of 8.500% Senior Notes due 2031. The net proceeds from the offering were $586.5 million. Concurrently with, and as a result of the issuance of the Senior Notes, the Company terminated the Bridge Loan Facility effective July 14, 2026. If the Kiavi acquisition does not close, the proceeds from the Notes will be used for general corporate purposes. Interest payments for the Notes are due semi-annually in arrears on January 31 and July 31 of each year, beginning on January 31, 2027. The Notes will mature on July 31, 2031, unless earlier repurchased or redeemed.</w:t>
      </w:r>
    </w:p>
    <w:p>
      <w:pPr>
        <w:pStyle w:val="TextBody"/>
        <w:bidi w:val="0"/>
        <w:spacing w:lineRule="auto" w:line="288" w:before="0" w:after="180"/>
        <w:jc w:val="both"/>
        <w:rPr/>
      </w:pPr>
      <w:r>
        <w:rPr>
          <w:rFonts w:ascii="Times New Roman;serif" w:hAnsi="Times New Roman;serif"/>
          <w:b w:val="false"/>
          <w:color w:val="000000"/>
          <w:sz w:val="20"/>
        </w:rPr>
        <w:t>Refer to “Note 10—Commitments and Contingencies” for more information regarding the proposed acquisition of Kiavi and “Note 14—Subsequent Events”</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Condensed Consolidated Financial Statements for further details on the Senior Note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3370"/>
                <wp:effectExtent l="0" t="0" r="0" b="0"/>
                <wp:wrapNone/>
                <wp:docPr id="61" name="Frame6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for the periods indicated:</w:t>
      </w:r>
    </w:p>
    <w:tbl>
      <w:tblPr>
        <w:tblW w:w="5964" w:type="dxa"/>
        <w:jc w:val="left"/>
        <w:tblInd w:w="0" w:type="dxa"/>
        <w:tblLayout w:type="fixed"/>
        <w:tblCellMar>
          <w:top w:w="28" w:type="dxa"/>
          <w:left w:w="28" w:type="dxa"/>
          <w:bottom w:w="28" w:type="dxa"/>
          <w:right w:w="28" w:type="dxa"/>
        </w:tblCellMar>
      </w:tblPr>
      <w:tblGrid>
        <w:gridCol w:w="1310"/>
        <w:gridCol w:w="1151"/>
        <w:gridCol w:w="1154"/>
        <w:gridCol w:w="196"/>
        <w:gridCol w:w="721"/>
        <w:gridCol w:w="109"/>
        <w:gridCol w:w="109"/>
        <w:gridCol w:w="109"/>
        <w:gridCol w:w="109"/>
        <w:gridCol w:w="196"/>
        <w:gridCol w:w="64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Cash from 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$73.0 million for the six months ended June 30, 2026, which consisted of negative working capital adjustments of $114.0 million and non-cash adjustments of $91.4 million, partially offset by net income of $132.5 million. The working capital adjustments were driven by originations of loans held for sale of $2.7 billion and purchases of loans held for sale of $2.4 billion, partially offset by proceeds from loan sales, net of repurchases of $4.6 billion and principal payments on loans held for sale of $389.0 million. Additionally, working capital adjustments were negatively impacted by changes in accounts receivable of $37.9 million, partially offset by positive impacts from accounts payable and other liabilities of $42.0 million. The non-cash adjustments were primarily driven by gain on sale of loans, net, of $106.9 million, gains on servicing assets, net, of $42.0 million, partially offset by $52.0 million in stock based compensation, net.</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provided by operating activities was $76.1 million for the six months ended June 30, 2025, which consisted of net income of $29.4 million, working capital adjustments of $91.0 million, partially offset by non-cash adjustments of $44.3 million. The working capital adjustments were driven by proceeds from loan sales, net of repurchases of </w:t>
      </w:r>
      <w:r>
        <w:rPr>
          <w:rFonts w:ascii="Times New Roman;serif" w:hAnsi="Times New Roman;serif"/>
          <w:b w:val="false"/>
          <w:color w:val="000000"/>
          <w:sz w:val="20"/>
        </w:rPr>
        <w:t>$2.7 billion</w:t>
      </w:r>
      <w:r>
        <w:rPr>
          <w:color w:val="000000"/>
          <w:shd w:fill="FFFFFF" w:val="clear"/>
        </w:rPr>
        <w:t xml:space="preserve"> </w:t>
      </w:r>
      <w:r>
        <w:rPr>
          <w:rFonts w:ascii="Times New Roman;serif" w:hAnsi="Times New Roman;serif"/>
          <w:b w:val="false"/>
          <w:color w:val="000000"/>
          <w:sz w:val="20"/>
          <w:shd w:fill="FFFFFF" w:val="clear"/>
        </w:rPr>
        <w:t xml:space="preserve">and principal payments on loans held for sale of $209.5 million, partially offset by originations of loans held for sale of </w:t>
      </w:r>
      <w:r>
        <w:rPr>
          <w:rFonts w:ascii="Times New Roman;serif" w:hAnsi="Times New Roman;serif"/>
          <w:b w:val="false"/>
          <w:color w:val="000000"/>
          <w:sz w:val="20"/>
        </w:rPr>
        <w:t>$1.5 billion</w:t>
      </w:r>
      <w:r>
        <w:rPr>
          <w:color w:val="000000"/>
          <w:shd w:fill="FFFFFF" w:val="clear"/>
        </w:rPr>
        <w:t xml:space="preserve"> </w:t>
      </w:r>
      <w:r>
        <w:rPr>
          <w:rFonts w:ascii="Times New Roman;serif" w:hAnsi="Times New Roman;serif"/>
          <w:b w:val="false"/>
          <w:color w:val="000000"/>
          <w:sz w:val="20"/>
          <w:shd w:fill="FFFFFF" w:val="clear"/>
        </w:rPr>
        <w:t xml:space="preserve">and purchases of loans held for sale of </w:t>
      </w:r>
      <w:r>
        <w:rPr>
          <w:rFonts w:ascii="Times New Roman;serif" w:hAnsi="Times New Roman;serif"/>
          <w:b w:val="false"/>
          <w:color w:val="000000"/>
          <w:sz w:val="20"/>
        </w:rPr>
        <w:t>$1.3 billion</w:t>
      </w:r>
      <w:r>
        <w:rPr>
          <w:rFonts w:ascii="Times New Roman;serif" w:hAnsi="Times New Roman;serif"/>
          <w:b w:val="false"/>
          <w:color w:val="000000"/>
          <w:sz w:val="20"/>
          <w:shd w:fill="FFFFFF" w:val="clear"/>
        </w:rPr>
        <w:t xml:space="preserve">. The non-cash adjustments were primarily driven by gain on sale of loans, net, of $66.1 million, and gains on servicing assets, net, of $2.2 million, which were offset by non-cash add backs of $8.1 million in amortization of internally developed software, services exchanged for the issuance of warrants of </w:t>
      </w:r>
      <w:r>
        <w:rPr>
          <w:rFonts w:ascii="Times New Roman;serif" w:hAnsi="Times New Roman;serif"/>
          <w:b w:val="false"/>
          <w:color w:val="000000"/>
          <w:sz w:val="20"/>
        </w:rPr>
        <w:t xml:space="preserve">$5.4 million, </w:t>
      </w:r>
      <w:r>
        <w:rPr>
          <w:rFonts w:ascii="Times New Roman;serif" w:hAnsi="Times New Roman;serif"/>
          <w:b w:val="false"/>
          <w:color w:val="000000"/>
          <w:sz w:val="20"/>
          <w:shd w:fill="FFFFFF" w:val="clear"/>
        </w:rPr>
        <w:t>$5.3 million in stock based compensation,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losses on repurchased loans of $3.7 million.</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from 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$75.3 million for the six months ended June 30, 2026, primarily due to $128.0 million in purchases of marketable securities, $13.0 million in partner prefunding, $12.7 million in capitalization of internally developed software, and $11.7 million related to the deconsolidation of a subsidiary, partially offset by $44.0 million of partner prefunding repayments, $36.6 million of principal payments on marketable securities, and $7.3 million of realized gains on futures.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used in investing activities was $29.7 million for the six months ended June 30, 2025, primarily due to </w:t>
      </w:r>
      <w:r>
        <w:rPr>
          <w:rFonts w:ascii="Times New Roman;serif" w:hAnsi="Times New Roman;serif"/>
          <w:b w:val="false"/>
          <w:color w:val="000000"/>
          <w:sz w:val="20"/>
        </w:rPr>
        <w:t xml:space="preserve">$36.2 million in purchases of marketable securities, </w:t>
      </w:r>
      <w:r>
        <w:rPr>
          <w:rFonts w:ascii="Times New Roman;serif" w:hAnsi="Times New Roman;serif"/>
          <w:b w:val="false"/>
          <w:color w:val="000000"/>
          <w:sz w:val="20"/>
          <w:shd w:fill="FFFFFF" w:val="clear"/>
        </w:rPr>
        <w:t>$9.9 million in capitalization of internally developed software costs</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 xml:space="preserve">$2.2 million in purchases of digital assets, partially offset by </w:t>
      </w:r>
      <w:r>
        <w:rPr>
          <w:rFonts w:ascii="Times New Roman;serif" w:hAnsi="Times New Roman;serif"/>
          <w:b w:val="false"/>
          <w:color w:val="000000"/>
          <w:sz w:val="20"/>
        </w:rPr>
        <w:t>$19.1 million of principal payments on marketable securities and</w:t>
      </w:r>
      <w:r>
        <w:rPr>
          <w:color w:val="000000"/>
          <w:shd w:fill="FFFFFF" w:val="clear"/>
        </w:rPr>
        <w:t xml:space="preserve"> </w:t>
      </w:r>
      <w:r>
        <w:rPr>
          <w:rFonts w:ascii="Times New Roman;serif" w:hAnsi="Times New Roman;serif"/>
          <w:b w:val="false"/>
          <w:color w:val="000000"/>
          <w:sz w:val="20"/>
          <w:shd w:fill="FFFFFF" w:val="clear"/>
        </w:rPr>
        <w:t>$3.1 million of proceeds from digital asset sales.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from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$414.9 million for the six months ended June 30, 2026, during which we received total proceeds from debt of $4.9 billion, partially offset by $4.6 billion related to total principal payments on debt. Additionally, financing activities were impacted by $121.5 million in proceeds from servicing activity on behalf of third-party loan owners and $23.8 million in proceeds from stock option exercises, partially offset by $18.1 million in taxes paid related to net share settlement of equity awards and $9.7 million in common stock repurchases.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financing activities was $50.7 million for the six months ended June 30, 2025, during which we received proceeds from debt of </w:t>
      </w:r>
      <w:r>
        <w:rPr>
          <w:rFonts w:ascii="Times New Roman;serif" w:hAnsi="Times New Roman;serif"/>
          <w:b w:val="false"/>
          <w:color w:val="000000"/>
          <w:sz w:val="20"/>
        </w:rPr>
        <w:t>$2.5 billion</w:t>
      </w:r>
      <w:r>
        <w:rPr>
          <w:rFonts w:ascii="Times New Roman;serif" w:hAnsi="Times New Roman;serif"/>
          <w:b w:val="false"/>
          <w:color w:val="000000"/>
          <w:sz w:val="20"/>
          <w:shd w:fill="FFFFFF" w:val="clear"/>
        </w:rPr>
        <w:t xml:space="preserve">, partially offset by </w:t>
      </w:r>
      <w:r>
        <w:rPr>
          <w:rFonts w:ascii="Times New Roman;serif" w:hAnsi="Times New Roman;serif"/>
          <w:b w:val="false"/>
          <w:color w:val="000000"/>
          <w:sz w:val="20"/>
        </w:rPr>
        <w:t>$2.5 billion</w:t>
      </w:r>
      <w:r>
        <w:rPr>
          <w:color w:val="000000"/>
          <w:shd w:fill="FFFFFF" w:val="clear"/>
        </w:rPr>
        <w:t xml:space="preserve"> </w:t>
      </w:r>
      <w:r>
        <w:rPr>
          <w:rFonts w:ascii="Times New Roman;serif" w:hAnsi="Times New Roman;serif"/>
          <w:b w:val="false"/>
          <w:color w:val="000000"/>
          <w:sz w:val="20"/>
          <w:shd w:fill="FFFFFF" w:val="clear"/>
        </w:rPr>
        <w:t>related to principal payments on debt. Additionally, financing activities were impacted by $67.9 million in proceeds from servicing activity on behalf of third-party loan owners.</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Changes in Financial Position</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Noncontrolling interest in consolidated subsidiaries was $27 thousand at June 30, 2026, a decrease of $8.4 million from December 31, 2025, primarily due to the deconsolidation of </w:t>
      </w:r>
      <w:r>
        <w:rPr>
          <w:rFonts w:ascii="Times New Roman;serif" w:hAnsi="Times New Roman;serif"/>
          <w:b w:val="false"/>
          <w:color w:val="000000"/>
          <w:sz w:val="20"/>
        </w:rPr>
        <w:t xml:space="preserve">Figure REIT, Inc. in March 2026. For further information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3370"/>
                <wp:effectExtent l="0" t="0" r="0" b="0"/>
                <wp:wrapNone/>
                <wp:docPr id="62" name="Frame6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deconsolidation, see “Note 7—Equity—Noncontrolling Interests in Consolidated Subsidiaries”, in the Condensed Consolidated Financial Statements.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Factors Affecting Liquidity and Capital Resources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Lease Obligations</w:t>
      </w:r>
    </w:p>
    <w:p>
      <w:pPr>
        <w:pStyle w:val="TextBody"/>
        <w:bidi w:val="0"/>
        <w:spacing w:lineRule="auto" w:line="288" w:before="0" w:after="180"/>
        <w:jc w:val="both"/>
        <w:rPr/>
      </w:pPr>
      <w:r>
        <w:rPr>
          <w:rFonts w:ascii="Times New Roman;serif" w:hAnsi="Times New Roman;serif"/>
          <w:b w:val="false"/>
          <w:color w:val="000000"/>
          <w:sz w:val="20"/>
        </w:rPr>
        <w:t xml:space="preserve">Our operating lease obligations consist of our lease of real property from third parties under noncancellable operating leases, including the lease of its current office spaces. Operating lease expense for our office space was </w:t>
      </w:r>
      <w:r>
        <w:rPr>
          <w:rFonts w:ascii="Times New Roman;serif" w:hAnsi="Times New Roman;serif"/>
          <w:b w:val="false"/>
          <w:color w:val="000000"/>
          <w:sz w:val="20"/>
          <w:shd w:fill="FFFFFF" w:val="clear"/>
        </w:rPr>
        <w:t>$0.7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$1.3 million</w:t>
      </w:r>
      <w:r>
        <w:rPr>
          <w:color w:val="000000"/>
        </w:rPr>
        <w:t xml:space="preserve"> </w:t>
      </w:r>
      <w:r>
        <w:rPr>
          <w:rFonts w:ascii="Times New Roman;serif" w:hAnsi="Times New Roman;serif"/>
          <w:b w:val="false"/>
          <w:color w:val="000000"/>
          <w:sz w:val="20"/>
        </w:rPr>
        <w:t xml:space="preserve">for the three and six months ended June 30, 2026, respectively, and </w:t>
      </w:r>
      <w:r>
        <w:rPr>
          <w:rFonts w:ascii="Times New Roman;serif" w:hAnsi="Times New Roman;serif"/>
          <w:b w:val="false"/>
          <w:color w:val="000000"/>
          <w:sz w:val="20"/>
          <w:shd w:fill="FFFFFF" w:val="clear"/>
        </w:rPr>
        <w:t>$0.6 million and</w:t>
      </w:r>
      <w:r>
        <w:rPr>
          <w:color w:val="000000"/>
        </w:rPr>
        <w:t xml:space="preserve"> </w:t>
      </w:r>
      <w:r>
        <w:rPr>
          <w:rFonts w:ascii="Times New Roman;serif" w:hAnsi="Times New Roman;serif"/>
          <w:b w:val="false"/>
          <w:color w:val="000000"/>
          <w:sz w:val="20"/>
          <w:shd w:fill="FFFFFF" w:val="clear"/>
        </w:rPr>
        <w:t>$1.3 million</w:t>
      </w:r>
      <w:r>
        <w:rPr>
          <w:color w:val="000000"/>
        </w:rPr>
        <w:t xml:space="preserve"> </w:t>
      </w:r>
      <w:r>
        <w:rPr>
          <w:rFonts w:ascii="Times New Roman;serif" w:hAnsi="Times New Roman;serif"/>
          <w:b w:val="false"/>
          <w:color w:val="000000"/>
          <w:sz w:val="20"/>
        </w:rPr>
        <w:t>for the three and six months ended June 30, 2025, respectively. Our office leases are scheduled to expire between 2026 and 2031.</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Available 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our cash, cash equivalents, and restricted cash was $1.5 billion, which included $487.5 million of cash held for the benefit of third parties. As of December 31, 2025, our cash, cash equivalents, and restricted cash was $1.3 billion, which included $364.9 million of cash held for the benefit of third parties. The restricted cash held by us primarily relates to cash held by us on behalf of third-party loan sellers or buyers that represent collection of principal and interest from loan borrowers that we remit to those third parties as servicer of those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Figure’s secondary public offering in February 2026, the Company utilized approximately $10 million of cash on hand to repurchase 312,500 shares of its Class A common stock from the underwriters at the public offering price of $32.00 (the “Share Repurchase”). The shares acquired in the Share Repurchase are held in treasury. The completion of this transaction resulted in an approximately $10 million reduction in cash and cash equivalents and a corresponding increase in treasury stock, with no net impact on the total number of common shares outstanding.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Board of Directors authorized a Share Repurchase Program under which the Company may repurchase up to $200 million of its Class A common stock and Blockchain common stock over the next 12 months subject to market conditions, contractual restrictions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Repurchases under the Share Repurchase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may also, from time to time, enter into Rule 10b5-1 plans to facilitate repurchases of its shares under this authorization.</w:t>
        <w:br/>
        <w:br/>
        <w:t>This Share Repurchase Program does not obligate the Company to acquire any particular amount of stock and the program may be extended, modified, suspended or discontinued at any time at the Company’s discretion.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Figure repurchased no shares and has $200.0 million remaining authorized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better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Adjusted Net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3370"/>
                <wp:effectExtent l="0" t="0" r="0" b="0"/>
                <wp:wrapNone/>
                <wp:docPr id="63" name="Frame6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fair value of MSR and change in fair value of marketable securities associated with changes in our estimates that management has determined are not reflective of our operating performance, and net of interest paid to holders of YLDS.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Adjusted EBITDA and Adjusted EBITDA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non-GAAP financial measures used by our management to evaluate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these measures provide useful information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ongoing operating performance. Adjusted EBITDA Margin is calculated as Adjusted EBITDA divided by adjusted net revenue. The most directly comparable GAAP measure is net income margin (calculated as net income divided by total net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added valuation changes in the fair value of marketable securities and YLDS funding costs to its definition of Adjusted Net Revenue, and valuation changes in the fair value of marketable securities, to its definition of Adjusted EBITDA effective March 31, 2026. Additionally, the Company added acquisition-related costs to its definition of Adjusted EBITDA effective June 30,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excludes period-to-period changes in the fair value of marketable securities from Adjusted Net Revenue and Adjusted EBITDA because they reflect non-cash, unrealized mark-to-market fluctuations driven by external market factors, including changes in discount rates, prepayment speeds, and credit spreads, that are not reflective of the Company's underlying operating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economic benefit from YLDS is the 35 basis point spread it retains on outstanding balances, regardless of the total amount of YLDS in circulation. Management therefore presents YLDS-related interest expense net of associated interest income within Adjusted Net Revenue, as it believes this net spread is the most meaningful measure of the YLDS's contribution to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3370"/>
                <wp:effectExtent l="0" t="0" r="0" b="0"/>
                <wp:wrapNone/>
                <wp:docPr id="64" name="Frame6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revenue to adjusted net revenue, net income to adjusted EBITDA, and net income margin to adjusted EBITDA margin for the three and six months ended June 30, 2026 and 2025:</w:t>
      </w:r>
    </w:p>
    <w:tbl>
      <w:tblPr>
        <w:tblW w:w="10007" w:type="dxa"/>
        <w:jc w:val="left"/>
        <w:tblInd w:w="0" w:type="dxa"/>
        <w:tblLayout w:type="fixed"/>
        <w:tblCellMar>
          <w:top w:w="28" w:type="dxa"/>
          <w:left w:w="28" w:type="dxa"/>
          <w:bottom w:w="28" w:type="dxa"/>
          <w:right w:w="28" w:type="dxa"/>
        </w:tblCellMar>
      </w:tblPr>
      <w:tblGrid>
        <w:gridCol w:w="1555"/>
        <w:gridCol w:w="1366"/>
        <w:gridCol w:w="1368"/>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86"/>
      </w:tblGrid>
      <w:tr>
        <w:trPr/>
        <w:tc>
          <w:tcPr>
            <w:tcW w:w="155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392,595 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for:</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Valuation changes in fair value of MSRs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Valuation changes in fair value of marketable securities</w:t>
            </w:r>
            <w:r>
              <w:rPr>
                <w:rFonts w:ascii="Times New Roman;serif" w:hAnsi="Times New Roman;serif"/>
                <w:b w:val="false"/>
                <w:color w:val="000000"/>
                <w:sz w:val="10"/>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YLDS funding costs</w:t>
            </w:r>
            <w:r>
              <w:rPr>
                <w:rFonts w:ascii="Times New Roman;serif" w:hAnsi="Times New Roman;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385,288 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198,877 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for:</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Valuation changes in fair value of MSRs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Valuation changes in fair value of marketable securities</w:t>
            </w:r>
            <w:r>
              <w:rPr>
                <w:rFonts w:ascii="Times New Roman;serif" w:hAnsi="Times New Roman;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digital assets and related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exchanged for issuance of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Registration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Acquisition-related costs </w:t>
            </w:r>
            <w:r>
              <w:rPr>
                <w:rFonts w:ascii="Times New Roman;serif" w:hAnsi="Times New Roman;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internally developed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Non-funding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 xml:space="preserve">The Company added valuation changes in the fair value of marketable securities and YLDS funding costs to its definition of Adjusted Net Revenue, and valuation changes in the fair value of marketable securities to its definition of Adjusted EBITDA effective March 31, 2026. Additionally, the Company added acquisition-related costs to the definition of Adjusted EBITDA effective June 30, 2026. These adjustments have been applied retrospectively to all periods presented. </w:t>
      </w:r>
    </w:p>
    <w:p>
      <w:pPr>
        <w:pStyle w:val="TextBody"/>
        <w:bidi w:val="0"/>
        <w:spacing w:before="0" w:after="18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conformity with accounting principles generally accepted in the United States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and “Note 2—Summary of Significant Accounting Policies,” in the Notes to Consolidated Financial Statements in our Annual Report on Form 10-K for the fiscal year ended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for the fiscal year ended December 31, 2025. There have been no material changes to our critical accounting policies and estimates during the three and six months ended June 30, 2026, as compared to those disclosed in our Annual Report on Form 10-K for the fiscal year ended December 31, 2025. We believe these policies are the most critical to aid in fully understanding and evaluating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2—Summary of Significant Accounting Policies” to our Condensed Consolidated Financial Statements for recently issued accounting pronouncements not yet adopted as of the dates of the statement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3370"/>
                <wp:effectExtent l="0" t="0" r="0" b="0"/>
                <wp:wrapNone/>
                <wp:docPr id="65" name="Frame6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from the disclosure included under “Quantitative and Qualitative Disclosures of Market risk”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concluded that, as of June 30, 2026, our disclosure controls and procedures were effective at the reasonable assurance level.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3370"/>
                <wp:effectExtent l="0" t="0" r="0" b="0"/>
                <wp:wrapNone/>
                <wp:docPr id="66" name="Frame6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business, results of operations, and financial condition are subject to various risks described in the Company's Annual Report on Form 10-K for the fiscal year ended December 31, 2025. There have been no material changes to the risk factors identified in the Company's Annual Report on Form 10-K as filed on March 16, 2026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Unregistered Sale of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Initial Public Offering Proceeds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10, 2025, the SEC declared effective our Registration Statement on Form S</w:t>
        <w:noBreakHyphen/>
        <w:t>1 (File No. 333</w:t>
        <w:noBreakHyphen/>
        <w:t>289695), as amended, filed in connection with our IPO. There has been no material change in the planned use of the net proceeds from our IPO as described in our Prospectus.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Repurchases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Board of Directors authorized a Share Repurchase Program under which the Company may repurchase up to $200 million of its Class A and Blockchain common stock over the following 12 months subject to market conditions, contractual restrictions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Repurchases under the Share Repurchase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may also, from time to time, enter into Rule 10b5-1 plans to facilitate repurchases of its shares under this authorization.</w:t>
        <w:br/>
        <w:br/>
        <w:t>This Share Repurchase Program does not obligate the Company to acquire any particular amount of stock and the program may be extended, modified, suspended or discontinued at any time at the Company’s discretion. As of June 30, 2026, the Company has not repurchased shares under this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3370"/>
                <wp:effectExtent l="0" t="0" r="0" b="0"/>
                <wp:wrapNone/>
                <wp:docPr id="67" name="Frame6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 Disclosure in lieu of reporting on a Current Report on Form 8-K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 Material changes to the procedures by which security holders may recommend nominees to the board of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 Insider Trading Arrangements and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11, 2026, Michael Tannenbaum, the Company's Chief Executive Officer, entered into a new trading plan intended to satisfy the affirmative defense conditions of Rule 10b5-1(c) under the Exchange Act for the sale of up to 60,315 shares of the Company's Class A common stock until February 18, 2027. On the same date, Mr. Tannenbaum also terminated his previous agreement which was entered into on December 3, 2025 and was set to expire on August 27,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June 16, 2026, Horsley Capital Partners LLC, an entity for which the beneficial owner is Adam Boyden, a member of the Company’s Board of Directors, entered into a new trading plan intended to satisfy the affirmative defense conditions of Rule 10b5-1(c) under the Exchange Act for the sale of up to 57,780 shares of the Company's Class A common stock until September 13,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as part of this Quarterly Report.</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278"/>
        <w:gridCol w:w="1168"/>
        <w:gridCol w:w="1171"/>
        <w:gridCol w:w="109"/>
        <w:gridCol w:w="109"/>
        <w:gridCol w:w="109"/>
        <w:gridCol w:w="195"/>
        <w:gridCol w:w="195"/>
        <w:gridCol w:w="196"/>
        <w:gridCol w:w="109"/>
        <w:gridCol w:w="109"/>
        <w:gridCol w:w="109"/>
        <w:gridCol w:w="340"/>
        <w:gridCol w:w="276"/>
        <w:gridCol w:w="186"/>
        <w:gridCol w:w="109"/>
        <w:gridCol w:w="109"/>
        <w:gridCol w:w="109"/>
        <w:gridCol w:w="245"/>
        <w:gridCol w:w="245"/>
        <w:gridCol w:w="246"/>
        <w:gridCol w:w="109"/>
        <w:gridCol w:w="109"/>
        <w:gridCol w:w="109"/>
        <w:gridCol w:w="225"/>
        <w:gridCol w:w="225"/>
        <w:gridCol w:w="226"/>
        <w:gridCol w:w="109"/>
        <w:gridCol w:w="109"/>
        <w:gridCol w:w="109"/>
        <w:gridCol w:w="294"/>
        <w:gridCol w:w="294"/>
        <w:gridCol w:w="42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Furnished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u w:val="single"/>
                </w:rPr>
                <w:t>Agreement and Plan of Merger, dated as of June 10, 2026, by and among Figure Technology Solutions, Inc., Project Mason Merger Sub, Inc., Kiavi, Inc. and Fortis Advisors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Second Amended and Restated Articles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Amended and Restated Bylaws</w:t>
              </w:r>
            </w:hyperlink>
            <w:r>
              <w:rPr>
                <w:color w:val="000000"/>
              </w:rPr>
              <w:t xml:space="preserve"> </w:t>
            </w:r>
            <w:r>
              <w:rPr>
                <w:rFonts w:ascii="Times New Roman;serif" w:hAnsi="Times New Roman;serif"/>
                <w:b w:val="false"/>
                <w:color w:val="000000"/>
                <w:sz w:val="20"/>
              </w:rPr>
              <w:t>of Figure Technology Solutions,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00"/>
                  <w:sz w:val="20"/>
                  <w:u w:val="single"/>
                </w:rPr>
                <w:t>Form of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00"/>
                  <w:sz w:val="20"/>
                  <w:u w:val="single"/>
                </w:rPr>
                <w:t>Form of Class B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00"/>
                  <w:sz w:val="20"/>
                  <w:u w:val="single"/>
                </w:rPr>
                <w:t>Assignment, Assumption and Amendment Agreement, dated as of August 29, 2025, by and among FT Intermediate, Inc., Figure Markets Holdings, Inc. and J. Digital 6 Cayman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00"/>
                  <w:sz w:val="20"/>
                  <w:u w:val="single"/>
                </w:rPr>
                <w:t>Form of Certificate of Designation for the Series A Blockchain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333-291591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00"/>
                  <w:sz w:val="20"/>
                  <w:u w:val="single"/>
                </w:rPr>
                <w:t>Amended and Restated 2025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00"/>
                  <w:sz w:val="20"/>
                  <w:u w:val="single"/>
                </w:rPr>
                <w:t>Letter Agreement, dated May 14, 2026, among Figure Technology Solutions, Inc. and Todd Stevens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00"/>
                  <w:sz w:val="20"/>
                  <w:u w:val="single"/>
                </w:rPr>
                <w:t>Bridge Commitment Letter, dated as of June 10, 2026 by and among Figure Technology Solutions, Inc., Bank of America, N.A., BofA Securities, Inc. and Barclays Bank PLC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q26ceo.htm">
              <w:r>
                <w:rPr>
                  <w:rStyle w:val="InternetLink"/>
                  <w:rFonts w:ascii="Times New Roman;serif" w:hAnsi="Times New Roman;serif"/>
                  <w:b w:val="false"/>
                  <w:color w:val="000000"/>
                  <w:sz w:val="20"/>
                  <w:u w:val="single"/>
                </w:rPr>
                <w:t>Rule 13a-14(a)/15d-14(a)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q26cfo.htm">
              <w:r>
                <w:rPr>
                  <w:rStyle w:val="InternetLink"/>
                  <w:rFonts w:ascii="Times New Roman;serif" w:hAnsi="Times New Roman;serif"/>
                  <w:b w:val="false"/>
                  <w:color w:val="000000"/>
                  <w:sz w:val="20"/>
                  <w:u w:val="single"/>
                </w:rPr>
                <w:t>Rule 13a-14(a)/15d-14(a)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q26ceo.htm">
              <w:r>
                <w:rPr>
                  <w:rStyle w:val="InternetLink"/>
                  <w:rFonts w:ascii="Times New Roman;serif" w:hAnsi="Times New Roman;serif"/>
                  <w:b w:val="false"/>
                  <w:color w:val="000000"/>
                  <w:sz w:val="20"/>
                  <w:u w:val="single"/>
                </w:rPr>
                <w:t>Section 1350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3370"/>
                <wp:effectExtent l="0" t="0" r="0" b="0"/>
                <wp:wrapNone/>
                <wp:docPr id="68" name="Frame6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297"/>
        <w:gridCol w:w="258"/>
        <w:gridCol w:w="260"/>
        <w:gridCol w:w="109"/>
        <w:gridCol w:w="109"/>
        <w:gridCol w:w="109"/>
        <w:gridCol w:w="1914"/>
        <w:gridCol w:w="1914"/>
        <w:gridCol w:w="191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9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q26cfo.htm">
              <w:r>
                <w:rPr>
                  <w:rStyle w:val="InternetLink"/>
                  <w:rFonts w:ascii="Times New Roman;serif" w:hAnsi="Times New Roman;serif"/>
                  <w:b w:val="false"/>
                  <w:color w:val="000000"/>
                  <w:sz w:val="20"/>
                  <w:u w:val="single"/>
                </w:rPr>
                <w:t>Section 1350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jc w:val="both"/>
        <w:rPr/>
      </w:pPr>
      <w:r>
        <w:rPr/>
      </w:r>
    </w:p>
    <w:p>
      <w:pPr>
        <w:pStyle w:val="TextBody"/>
        <w:bidi w:val="0"/>
        <w:spacing w:before="0" w:after="18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3370"/>
                <wp:effectExtent l="0" t="0" r="0" b="0"/>
                <wp:wrapNone/>
                <wp:docPr id="69" name="Frame6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02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316"/>
        <w:gridCol w:w="316"/>
        <w:gridCol w:w="316"/>
        <w:gridCol w:w="316"/>
        <w:gridCol w:w="316"/>
        <w:gridCol w:w="316"/>
        <w:gridCol w:w="895"/>
        <w:gridCol w:w="895"/>
        <w:gridCol w:w="13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Figure Technology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Michael Tannenbaum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tbl>
      <w:tblPr>
        <w:tblW w:w="474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109"/>
        <w:gridCol w:w="109"/>
        <w:gridCol w:w="109"/>
        <w:gridCol w:w="585"/>
        <w:gridCol w:w="585"/>
        <w:gridCol w:w="8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Macrina Kgil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3370"/>
                <wp:effectExtent l="0" t="0" r="0" b="0"/>
                <wp:wrapNone/>
                <wp:docPr id="70" name="Frame7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lineRule="auto" w:line="288" w:before="0" w:after="180"/>
                        <w:jc w:val="left"/>
                        <w:rPr/>
                      </w:pPr>
                      <w:hyperlink w:anchor="ic82950ca049c49cb847949a91d5d442a_10">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Tannenbaum, certify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Figure Technology Solutions, Inc.;</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[Omitted];</w:t>
      </w:r>
    </w:p>
    <w:p>
      <w:pPr>
        <w:pStyle w:val="TextBody"/>
        <w:bidi w:val="0"/>
        <w:spacing w:lineRule="auto" w:line="288" w:before="0" w:after="18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551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27"/>
        <w:gridCol w:w="927"/>
        <w:gridCol w:w="131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Michael Tannenbaum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Macrina Kgil, certify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Figure Technology Solutions, Inc.;</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[Omitted];</w:t>
      </w:r>
    </w:p>
    <w:p>
      <w:pPr>
        <w:pStyle w:val="TextBody"/>
        <w:bidi w:val="0"/>
        <w:spacing w:lineRule="auto" w:line="288" w:before="0" w:after="18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48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4"/>
        <w:gridCol w:w="734"/>
        <w:gridCol w:w="10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000000"/>
                <w:sz w:val="20"/>
                <w:u w:val="single"/>
              </w:rPr>
              <w:t>s/ Macrina Kgil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Figure Technology Solutions,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54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14"/>
        <w:gridCol w:w="914"/>
        <w:gridCol w:w="129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000000"/>
                <w:sz w:val="20"/>
                <w:u w:val="single"/>
              </w:rPr>
              <w:t>s/ Michael Tannenbaum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Figure Technology Solutions,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48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4"/>
        <w:gridCol w:w="734"/>
        <w:gridCol w:w="10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Macrina Kgil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4124/000149315226028126/ex2-1.htm" TargetMode="External"/><Relationship Id="rId3" Type="http://schemas.openxmlformats.org/officeDocument/2006/relationships/hyperlink" Target="https://www.sec.gov/Archives/edgar/data/2064124/000206412425000018/exhibit31-closing8xk.htm" TargetMode="External"/><Relationship Id="rId4" Type="http://schemas.openxmlformats.org/officeDocument/2006/relationships/hyperlink" Target="https://www.sec.gov/Archives/edgar/data/2064124/000206412425000018/exhibit32-closing8xk.htm" TargetMode="External"/><Relationship Id="rId5" Type="http://schemas.openxmlformats.org/officeDocument/2006/relationships/hyperlink" Target="https://www.sec.gov/Archives/edgar/data/2064124/000162828025041443/exhibit41-sx1a2.htm" TargetMode="External"/><Relationship Id="rId6" Type="http://schemas.openxmlformats.org/officeDocument/2006/relationships/hyperlink" Target="https://www.sec.gov/Archives/edgar/data/2064124/000162828025041443/exhibit42-sx1a2.htm" TargetMode="External"/><Relationship Id="rId7" Type="http://schemas.openxmlformats.org/officeDocument/2006/relationships/hyperlink" Target="https://www.sec.gov/Archives/edgar/data/2064124/000162828025041731/exhibit43-sx1a3.htm" TargetMode="External"/><Relationship Id="rId8" Type="http://schemas.openxmlformats.org/officeDocument/2006/relationships/hyperlink" Target="https://www.sec.gov/Archives/edgar/data/0002064124/000162828026007370/exhibit42-blockchainsx1a2.htm" TargetMode="External"/><Relationship Id="rId9" Type="http://schemas.openxmlformats.org/officeDocument/2006/relationships/hyperlink" Target="https://www.sec.gov/Archives/edgar/data/2064124/000206412426000029/exhibit101amendedandrestat.htm" TargetMode="External"/><Relationship Id="rId10" Type="http://schemas.openxmlformats.org/officeDocument/2006/relationships/hyperlink" Target="https://www.sec.gov/Archives/edgar/data/2064124/000206412426000029/exhibit102toddstevenssidel.htm" TargetMode="External"/><Relationship Id="rId11" Type="http://schemas.openxmlformats.org/officeDocument/2006/relationships/hyperlink" Target="https://www.sec.gov/Archives/edgar/data/2064124/000149315226028126/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37760</Words>
  <Characters>208089</Characters>
  <CharactersWithSpaces>242930</CharactersWithSpaces>
  <Paragraphs>5742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