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Figure Technology Solutions,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08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001-42829</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99-2556408</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jc w:val="center"/>
              <w:ind w:right="11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08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56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5080" w:type="dxa"/>
            <w:vAlign w:val="bottom"/>
            <w:gridSpan w:val="3"/>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8"/>
              </w:rPr>
              <w:t>100 West Liberty Street, Suite 600</w:t>
            </w: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5080" w:type="dxa"/>
            <w:vAlign w:val="bottom"/>
            <w:gridSpan w:val="3"/>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89501</w:t>
            </w:r>
          </w:p>
        </w:tc>
      </w:tr>
      <w:tr>
        <w:trPr>
          <w:trHeight w:val="238"/>
        </w:trPr>
        <w:tc>
          <w:tcPr>
            <w:tcW w:w="7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(917) 789-8049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FIGR</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Annual Meeting of Stockholders (“Annual Meeting”) of Figure Technology Solutions, Inc. (the “Company”) was held on June 4, 2026. Of the 690,250 shares of Blockchain common stock, 181,663,016 shares of Class A common stock and 37,893,047 shares of Class B common stock outstanding and entitled to vote at the Annual Meeting as of the April 9, 2026 record date, 76,375,292 shares of the Company’s Class A common stock and Blockchain common stock and 37,893,047 shares of Class B common stock were represented at the beginning of the meeting in person or by proxy, constituting a quorum. The following are voting results for the proposals considered and voted upon at the Annual Meeting, each of which were described in the Company’s Definitive Proxy Statement filed with the Securities and Exchange Commission on April 24, 2026.</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1: The Company’s stockholders elected eight Directors to serve until the Annual Meeting of Stockholders to be held in 2027 and until their respective successors shall be duly elected and qualified. The votes regarding the election of the directors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Name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Votes For</w:t>
            </w:r>
          </w:p>
        </w:tc>
        <w:tc>
          <w:tcPr>
            <w:tcW w:w="1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Withheld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3"/>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Tannenbaum</w:t>
            </w:r>
          </w:p>
        </w:tc>
        <w:tc>
          <w:tcPr>
            <w:tcW w:w="2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413,995,718</w:t>
            </w:r>
          </w:p>
        </w:tc>
        <w:tc>
          <w:tcPr>
            <w:tcW w:w="2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3,944,397</w:t>
            </w:r>
          </w:p>
        </w:tc>
        <w:tc>
          <w:tcPr>
            <w:tcW w:w="2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37,365,647</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Boyden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399,244,046</w:t>
            </w:r>
          </w:p>
        </w:tc>
        <w:tc>
          <w:tcPr>
            <w:tcW w:w="2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18,696,069</w:t>
            </w:r>
          </w:p>
        </w:tc>
        <w:tc>
          <w:tcPr>
            <w:tcW w:w="2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37,365,647</w:t>
            </w:r>
          </w:p>
        </w:tc>
        <w:tc>
          <w:tcPr>
            <w:tcW w:w="100" w:type="dxa"/>
            <w:vAlign w:val="bottom"/>
          </w:tcPr>
          <w:p>
            <w:pPr>
              <w:spacing w:after="0"/>
              <w:rPr>
                <w:sz w:val="19"/>
                <w:szCs w:val="19"/>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Cagney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403,744,858</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14,195,257</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37,365,647</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Katsujin Chao</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387,760,177</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30,179,838</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37,365,647</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Lesley Goldwasser</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401,970,390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15,969,725</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37,365,647</w:t>
            </w:r>
          </w:p>
        </w:tc>
        <w:tc>
          <w:tcPr>
            <w:tcW w:w="100" w:type="dxa"/>
            <w:vAlign w:val="bottom"/>
            <w:shd w:val="clear" w:color="auto" w:fill="CCEEFF"/>
          </w:tcPr>
          <w:p>
            <w:pPr>
              <w:spacing w:after="0"/>
              <w:rPr>
                <w:sz w:val="18"/>
                <w:szCs w:val="18"/>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Sachin Jaitly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414,256,352</w:t>
            </w:r>
          </w:p>
        </w:tc>
        <w:tc>
          <w:tcPr>
            <w:tcW w:w="2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3,683,763</w:t>
            </w:r>
          </w:p>
        </w:tc>
        <w:tc>
          <w:tcPr>
            <w:tcW w:w="2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37,365,647</w:t>
            </w:r>
          </w:p>
        </w:tc>
        <w:tc>
          <w:tcPr>
            <w:tcW w:w="100" w:type="dxa"/>
            <w:vAlign w:val="bottom"/>
          </w:tcPr>
          <w:p>
            <w:pPr>
              <w:spacing w:after="0"/>
              <w:rPr>
                <w:sz w:val="19"/>
                <w:szCs w:val="19"/>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Morehead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403,685,452</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14,254,663</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37,365,647</w:t>
            </w:r>
          </w:p>
        </w:tc>
        <w:tc>
          <w:tcPr>
            <w:tcW w:w="100" w:type="dxa"/>
            <w:vAlign w:val="bottom"/>
            <w:shd w:val="clear" w:color="auto" w:fill="CCEEFF"/>
          </w:tcPr>
          <w:p>
            <w:pPr>
              <w:spacing w:after="0"/>
              <w:rPr>
                <w:sz w:val="19"/>
                <w:szCs w:val="19"/>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Ou</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387,336,666</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30,603,449</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37,365,647</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2: The Company’s stockholders ratified the appointment of KPMG LLP as the Company’s independent registered public accounting firm for the fiscal year ending December 31, 2026. The proposal received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Votes For</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Votes Against</w:t>
            </w:r>
          </w:p>
        </w:tc>
        <w:tc>
          <w:tcPr>
            <w:tcW w:w="2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Abstentions</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454,618,693</w:t>
            </w:r>
          </w:p>
        </w:tc>
        <w:tc>
          <w:tcPr>
            <w:tcW w:w="2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109,576</w:t>
            </w:r>
          </w:p>
        </w:tc>
        <w:tc>
          <w:tcPr>
            <w:tcW w:w="24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577,493</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Tannenbaum</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Tannenbaum</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2026-06-10T15:10:13Z</dcterms:created>
  <dcterms:modified xsi:type="dcterms:W3CDTF">2026-06-10T15:10:13Z</dcterms:modified>
</cp:coreProperties>
</file>