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May 9, 2025.</w:t>
      </w:r>
    </w:p>
    <w:p>
      <w:pPr>
        <w:spacing w:after="0" w:line="69" w:lineRule="exact"/>
        <w:rPr>
          <w:sz w:val="24"/>
          <w:szCs w:val="24"/>
          <w:color w:val="auto"/>
        </w:rPr>
      </w:pPr>
    </w:p>
    <w:p>
      <w:pPr>
        <w:ind w:left="9400" w:right="60" w:hanging="9326"/>
        <w:spacing w:after="0" w:line="193" w:lineRule="exact"/>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r>
        <w:rPr>
          <w:rFonts w:ascii="MS PGothic" w:cs="MS PGothic" w:eastAsia="MS PGothic" w:hAnsi="MS PGothic"/>
          <w:sz w:val="14"/>
          <w:szCs w:val="14"/>
          <w:color w:val="auto"/>
          <w:strike w:val="1"/>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57785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57785</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FT Intermediate,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57785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0" w:lineRule="exact"/>
        <w:rPr>
          <w:sz w:val="24"/>
          <w:szCs w:val="24"/>
          <w:color w:val="auto"/>
        </w:rPr>
      </w:pPr>
    </w:p>
    <w:tbl>
      <w:tblPr>
        <w:tblLayout w:type="fixed"/>
        <w:tblInd w:w="820" w:type="dxa"/>
        <w:tblCellMar>
          <w:top w:w="0" w:type="dxa"/>
          <w:left w:w="0" w:type="dxa"/>
          <w:bottom w:w="0" w:type="dxa"/>
          <w:right w:w="0" w:type="dxa"/>
        </w:tblCellMar>
      </w:tblPr>
      <w:tr>
        <w:trPr>
          <w:trHeight w:val="223"/>
        </w:trPr>
        <w:tc>
          <w:tcPr>
            <w:tcW w:w="2940" w:type="dxa"/>
            <w:vAlign w:val="bottom"/>
          </w:tcPr>
          <w:p>
            <w:pPr>
              <w:jc w:val="center"/>
              <w:ind w:right="759"/>
              <w:spacing w:after="0"/>
              <w:rPr>
                <w:sz w:val="20"/>
                <w:szCs w:val="20"/>
                <w:color w:val="auto"/>
              </w:rPr>
            </w:pPr>
            <w:r>
              <w:rPr>
                <w:rFonts w:ascii="Arial" w:cs="Arial" w:eastAsia="Arial" w:hAnsi="Arial"/>
                <w:sz w:val="16"/>
                <w:szCs w:val="16"/>
                <w:b w:val="1"/>
                <w:bCs w:val="1"/>
                <w:color w:val="auto"/>
              </w:rPr>
              <w:t>Nevada</w:t>
            </w:r>
          </w:p>
        </w:tc>
        <w:tc>
          <w:tcPr>
            <w:tcW w:w="3840" w:type="dxa"/>
            <w:vAlign w:val="bottom"/>
          </w:tcPr>
          <w:p>
            <w:pPr>
              <w:jc w:val="center"/>
              <w:ind w:right="39"/>
              <w:spacing w:after="0"/>
              <w:rPr>
                <w:sz w:val="20"/>
                <w:szCs w:val="20"/>
                <w:color w:val="auto"/>
              </w:rPr>
            </w:pPr>
            <w:r>
              <w:rPr>
                <w:rFonts w:ascii="Arial" w:cs="Arial" w:eastAsia="Arial" w:hAnsi="Arial"/>
                <w:sz w:val="16"/>
                <w:szCs w:val="16"/>
                <w:b w:val="1"/>
                <w:bCs w:val="1"/>
                <w:color w:val="auto"/>
              </w:rPr>
              <w:t>7374</w:t>
            </w:r>
          </w:p>
        </w:tc>
        <w:tc>
          <w:tcPr>
            <w:tcW w:w="2560" w:type="dxa"/>
            <w:vAlign w:val="bottom"/>
          </w:tcPr>
          <w:p>
            <w:pPr>
              <w:jc w:val="center"/>
              <w:ind w:left="899"/>
              <w:spacing w:after="0"/>
              <w:rPr>
                <w:sz w:val="20"/>
                <w:szCs w:val="20"/>
                <w:color w:val="auto"/>
              </w:rPr>
            </w:pPr>
            <w:r>
              <w:rPr>
                <w:rFonts w:ascii="Arial" w:cs="Arial" w:eastAsia="Arial" w:hAnsi="Arial"/>
                <w:sz w:val="16"/>
                <w:szCs w:val="16"/>
                <w:b w:val="1"/>
                <w:bCs w:val="1"/>
                <w:color w:val="auto"/>
              </w:rPr>
              <w:t>99-2556408</w:t>
            </w:r>
          </w:p>
        </w:tc>
      </w:tr>
      <w:tr>
        <w:trPr>
          <w:trHeight w:val="196"/>
        </w:trPr>
        <w:tc>
          <w:tcPr>
            <w:tcW w:w="2940" w:type="dxa"/>
            <w:vAlign w:val="bottom"/>
          </w:tcPr>
          <w:p>
            <w:pPr>
              <w:jc w:val="center"/>
              <w:ind w:right="799"/>
              <w:spacing w:after="0"/>
              <w:rPr>
                <w:sz w:val="20"/>
                <w:szCs w:val="20"/>
                <w:color w:val="auto"/>
              </w:rPr>
            </w:pPr>
            <w:r>
              <w:rPr>
                <w:rFonts w:ascii="Arial" w:cs="Arial" w:eastAsia="Arial" w:hAnsi="Arial"/>
                <w:sz w:val="16"/>
                <w:szCs w:val="16"/>
                <w:color w:val="auto"/>
              </w:rPr>
              <w:t>(State or other jurisdiction of</w:t>
            </w:r>
          </w:p>
        </w:tc>
        <w:tc>
          <w:tcPr>
            <w:tcW w:w="3840" w:type="dxa"/>
            <w:vAlign w:val="bottom"/>
          </w:tcPr>
          <w:p>
            <w:pPr>
              <w:ind w:left="820"/>
              <w:spacing w:after="0"/>
              <w:rPr>
                <w:sz w:val="20"/>
                <w:szCs w:val="20"/>
                <w:color w:val="auto"/>
              </w:rPr>
            </w:pPr>
            <w:r>
              <w:rPr>
                <w:rFonts w:ascii="Arial" w:cs="Arial" w:eastAsia="Arial" w:hAnsi="Arial"/>
                <w:sz w:val="16"/>
                <w:szCs w:val="16"/>
                <w:color w:val="auto"/>
              </w:rPr>
              <w:t>(Primary Standard Industrial</w:t>
            </w:r>
          </w:p>
        </w:tc>
        <w:tc>
          <w:tcPr>
            <w:tcW w:w="2560" w:type="dxa"/>
            <w:vAlign w:val="bottom"/>
          </w:tcPr>
          <w:p>
            <w:pPr>
              <w:jc w:val="center"/>
              <w:ind w:left="839"/>
              <w:spacing w:after="0"/>
              <w:rPr>
                <w:sz w:val="20"/>
                <w:szCs w:val="20"/>
                <w:color w:val="auto"/>
              </w:rPr>
            </w:pPr>
            <w:r>
              <w:rPr>
                <w:rFonts w:ascii="Arial" w:cs="Arial" w:eastAsia="Arial" w:hAnsi="Arial"/>
                <w:sz w:val="16"/>
                <w:szCs w:val="16"/>
                <w:color w:val="auto"/>
              </w:rPr>
              <w:t>(I.R.S. Employer</w:t>
            </w:r>
          </w:p>
        </w:tc>
      </w:tr>
      <w:tr>
        <w:trPr>
          <w:trHeight w:val="215"/>
        </w:trPr>
        <w:tc>
          <w:tcPr>
            <w:tcW w:w="2940" w:type="dxa"/>
            <w:vAlign w:val="bottom"/>
          </w:tcPr>
          <w:p>
            <w:pPr>
              <w:jc w:val="center"/>
              <w:ind w:right="759"/>
              <w:spacing w:after="0"/>
              <w:rPr>
                <w:sz w:val="20"/>
                <w:szCs w:val="20"/>
                <w:color w:val="auto"/>
              </w:rPr>
            </w:pPr>
            <w:r>
              <w:rPr>
                <w:rFonts w:ascii="Arial" w:cs="Arial" w:eastAsia="Arial" w:hAnsi="Arial"/>
                <w:sz w:val="16"/>
                <w:szCs w:val="16"/>
                <w:color w:val="auto"/>
              </w:rPr>
              <w:t>incorporation or organization)</w:t>
            </w:r>
          </w:p>
        </w:tc>
        <w:tc>
          <w:tcPr>
            <w:tcW w:w="3840" w:type="dxa"/>
            <w:vAlign w:val="bottom"/>
          </w:tcPr>
          <w:p>
            <w:pPr>
              <w:jc w:val="center"/>
              <w:ind w:right="59"/>
              <w:spacing w:after="0"/>
              <w:rPr>
                <w:sz w:val="20"/>
                <w:szCs w:val="20"/>
                <w:color w:val="auto"/>
              </w:rPr>
            </w:pPr>
            <w:r>
              <w:rPr>
                <w:rFonts w:ascii="Arial" w:cs="Arial" w:eastAsia="Arial" w:hAnsi="Arial"/>
                <w:sz w:val="16"/>
                <w:szCs w:val="16"/>
                <w:color w:val="auto"/>
              </w:rPr>
              <w:t>Classification Code Number)</w:t>
            </w:r>
          </w:p>
        </w:tc>
        <w:tc>
          <w:tcPr>
            <w:tcW w:w="2560" w:type="dxa"/>
            <w:vAlign w:val="bottom"/>
          </w:tcPr>
          <w:p>
            <w:pPr>
              <w:jc w:val="center"/>
              <w:ind w:left="899"/>
              <w:spacing w:after="0"/>
              <w:rPr>
                <w:sz w:val="20"/>
                <w:szCs w:val="20"/>
                <w:color w:val="auto"/>
              </w:rPr>
            </w:pPr>
            <w:r>
              <w:rPr>
                <w:rFonts w:ascii="Arial" w:cs="Arial" w:eastAsia="Arial" w:hAnsi="Arial"/>
                <w:sz w:val="16"/>
                <w:szCs w:val="16"/>
                <w:color w:val="auto"/>
              </w:rPr>
              <w:t>Identification Number)</w:t>
            </w:r>
          </w:p>
        </w:tc>
      </w:tr>
      <w:tr>
        <w:trPr>
          <w:trHeight w:val="406"/>
        </w:trPr>
        <w:tc>
          <w:tcPr>
            <w:tcW w:w="2940" w:type="dxa"/>
            <w:vAlign w:val="bottom"/>
          </w:tcPr>
          <w:p>
            <w:pPr>
              <w:spacing w:after="0"/>
              <w:rPr>
                <w:sz w:val="24"/>
                <w:szCs w:val="24"/>
                <w:color w:val="auto"/>
              </w:rPr>
            </w:pPr>
          </w:p>
        </w:tc>
        <w:tc>
          <w:tcPr>
            <w:tcW w:w="3840" w:type="dxa"/>
            <w:vAlign w:val="bottom"/>
          </w:tcPr>
          <w:p>
            <w:pPr>
              <w:jc w:val="center"/>
              <w:ind w:right="39"/>
              <w:spacing w:after="0"/>
              <w:rPr>
                <w:sz w:val="20"/>
                <w:szCs w:val="20"/>
                <w:color w:val="auto"/>
              </w:rPr>
            </w:pPr>
            <w:r>
              <w:rPr>
                <w:rFonts w:ascii="Arial" w:cs="Arial" w:eastAsia="Arial" w:hAnsi="Arial"/>
                <w:sz w:val="16"/>
                <w:szCs w:val="16"/>
                <w:b w:val="1"/>
                <w:bCs w:val="1"/>
                <w:color w:val="auto"/>
              </w:rPr>
              <w:t>5 Bryant Park, 34th Floor</w:t>
            </w:r>
          </w:p>
        </w:tc>
        <w:tc>
          <w:tcPr>
            <w:tcW w:w="2560" w:type="dxa"/>
            <w:vAlign w:val="bottom"/>
          </w:tcPr>
          <w:p>
            <w:pPr>
              <w:spacing w:after="0"/>
              <w:rPr>
                <w:sz w:val="24"/>
                <w:szCs w:val="24"/>
                <w:color w:val="auto"/>
              </w:rPr>
            </w:pPr>
          </w:p>
        </w:tc>
      </w:tr>
      <w:tr>
        <w:trPr>
          <w:trHeight w:val="189"/>
        </w:trPr>
        <w:tc>
          <w:tcPr>
            <w:tcW w:w="2940" w:type="dxa"/>
            <w:vAlign w:val="bottom"/>
          </w:tcPr>
          <w:p>
            <w:pPr>
              <w:spacing w:after="0"/>
              <w:rPr>
                <w:sz w:val="16"/>
                <w:szCs w:val="16"/>
                <w:color w:val="auto"/>
              </w:rPr>
            </w:pPr>
          </w:p>
        </w:tc>
        <w:tc>
          <w:tcPr>
            <w:tcW w:w="3840" w:type="dxa"/>
            <w:vAlign w:val="bottom"/>
          </w:tcPr>
          <w:p>
            <w:pPr>
              <w:jc w:val="center"/>
              <w:ind w:right="19"/>
              <w:spacing w:after="0"/>
              <w:rPr>
                <w:sz w:val="20"/>
                <w:szCs w:val="20"/>
                <w:color w:val="auto"/>
              </w:rPr>
            </w:pPr>
            <w:r>
              <w:rPr>
                <w:rFonts w:ascii="Arial" w:cs="Arial" w:eastAsia="Arial" w:hAnsi="Arial"/>
                <w:sz w:val="16"/>
                <w:szCs w:val="16"/>
                <w:b w:val="1"/>
                <w:bCs w:val="1"/>
                <w:color w:val="auto"/>
              </w:rPr>
              <w:t>New York, NY 10018</w:t>
            </w:r>
          </w:p>
        </w:tc>
        <w:tc>
          <w:tcPr>
            <w:tcW w:w="2560" w:type="dxa"/>
            <w:vAlign w:val="bottom"/>
          </w:tcPr>
          <w:p>
            <w:pPr>
              <w:spacing w:after="0"/>
              <w:rPr>
                <w:sz w:val="16"/>
                <w:szCs w:val="16"/>
                <w:color w:val="auto"/>
              </w:rPr>
            </w:pPr>
          </w:p>
        </w:tc>
      </w:tr>
      <w:tr>
        <w:trPr>
          <w:trHeight w:val="218"/>
        </w:trPr>
        <w:tc>
          <w:tcPr>
            <w:tcW w:w="2940" w:type="dxa"/>
            <w:vAlign w:val="bottom"/>
          </w:tcPr>
          <w:p>
            <w:pPr>
              <w:spacing w:after="0"/>
              <w:rPr>
                <w:sz w:val="19"/>
                <w:szCs w:val="19"/>
                <w:color w:val="auto"/>
              </w:rPr>
            </w:pPr>
          </w:p>
        </w:tc>
        <w:tc>
          <w:tcPr>
            <w:tcW w:w="3840" w:type="dxa"/>
            <w:vAlign w:val="bottom"/>
          </w:tcPr>
          <w:p>
            <w:pPr>
              <w:jc w:val="center"/>
              <w:ind w:right="19"/>
              <w:spacing w:after="0"/>
              <w:rPr>
                <w:sz w:val="20"/>
                <w:szCs w:val="20"/>
                <w:color w:val="auto"/>
              </w:rPr>
            </w:pPr>
            <w:r>
              <w:rPr>
                <w:rFonts w:ascii="Arial" w:cs="Arial" w:eastAsia="Arial" w:hAnsi="Arial"/>
                <w:sz w:val="16"/>
                <w:szCs w:val="16"/>
                <w:b w:val="1"/>
                <w:bCs w:val="1"/>
                <w:color w:val="auto"/>
              </w:rPr>
              <w:t>(917) 789-8049</w:t>
            </w:r>
          </w:p>
        </w:tc>
        <w:tc>
          <w:tcPr>
            <w:tcW w:w="25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87630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Tannenbaum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FT Intermediate,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 Bryant Park, 34th Floor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10018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(917) 789-8049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53340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21"/>
        </w:trPr>
        <w:tc>
          <w:tcPr>
            <w:tcW w:w="27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Copies to:</w:t>
            </w:r>
          </w:p>
        </w:tc>
        <w:tc>
          <w:tcPr>
            <w:tcW w:w="2580" w:type="dxa"/>
            <w:vAlign w:val="bottom"/>
          </w:tcPr>
          <w:p>
            <w:pPr>
              <w:spacing w:after="0"/>
              <w:rPr>
                <w:sz w:val="19"/>
                <w:szCs w:val="19"/>
                <w:color w:val="auto"/>
              </w:rPr>
            </w:pPr>
          </w:p>
        </w:tc>
      </w:tr>
      <w:tr>
        <w:trPr>
          <w:trHeight w:val="22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Marc D. Jaffe</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Ronald Chillemi</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Byron B. Rooney</w:t>
            </w:r>
          </w:p>
        </w:tc>
      </w:tr>
      <w:tr>
        <w:trPr>
          <w:trHeight w:val="189"/>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Ian D. Schuman</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Chief Legal Officer and Corporate Secretary</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Derek Dostal</w:t>
            </w:r>
          </w:p>
        </w:tc>
      </w:tr>
      <w:tr>
        <w:trPr>
          <w:trHeight w:val="20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Adam J. Gelardi</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FT Intermediate, Inc.</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Davis Polk &amp; Wardwell LLP</w:t>
            </w:r>
          </w:p>
        </w:tc>
      </w:tr>
      <w:tr>
        <w:trPr>
          <w:trHeight w:val="189"/>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Latham &amp; Watkins LLP</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5 Bryant Park, 34th Floor</w:t>
            </w:r>
          </w:p>
        </w:tc>
        <w:tc>
          <w:tcPr>
            <w:tcW w:w="2580" w:type="dxa"/>
            <w:vAlign w:val="bottom"/>
          </w:tcPr>
          <w:p>
            <w:pPr>
              <w:jc w:val="center"/>
              <w:ind w:left="459"/>
              <w:spacing w:after="0"/>
              <w:rPr>
                <w:sz w:val="20"/>
                <w:szCs w:val="20"/>
                <w:color w:val="auto"/>
              </w:rPr>
            </w:pPr>
            <w:r>
              <w:rPr>
                <w:rFonts w:ascii="Arial" w:cs="Arial" w:eastAsia="Arial" w:hAnsi="Arial"/>
                <w:sz w:val="16"/>
                <w:szCs w:val="16"/>
                <w:b w:val="1"/>
                <w:bCs w:val="1"/>
                <w:color w:val="auto"/>
              </w:rPr>
              <w:t>450 Lexington Avenue</w:t>
            </w:r>
          </w:p>
        </w:tc>
      </w:tr>
      <w:tr>
        <w:trPr>
          <w:trHeight w:val="189"/>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1271 Avenue of the Americas</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New York, NY 10018</w:t>
            </w:r>
          </w:p>
        </w:tc>
        <w:tc>
          <w:tcPr>
            <w:tcW w:w="2580" w:type="dxa"/>
            <w:vAlign w:val="bottom"/>
          </w:tcPr>
          <w:p>
            <w:pPr>
              <w:jc w:val="center"/>
              <w:ind w:left="439"/>
              <w:spacing w:after="0"/>
              <w:rPr>
                <w:sz w:val="20"/>
                <w:szCs w:val="20"/>
                <w:color w:val="auto"/>
              </w:rPr>
            </w:pPr>
            <w:r>
              <w:rPr>
                <w:rFonts w:ascii="Arial" w:cs="Arial" w:eastAsia="Arial" w:hAnsi="Arial"/>
                <w:sz w:val="16"/>
                <w:szCs w:val="16"/>
                <w:b w:val="1"/>
                <w:bCs w:val="1"/>
                <w:color w:val="auto"/>
              </w:rPr>
              <w:t>New York, NY 10017</w:t>
            </w:r>
          </w:p>
        </w:tc>
      </w:tr>
      <w:tr>
        <w:trPr>
          <w:trHeight w:val="20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New York, NY 10020</w:t>
            </w:r>
          </w:p>
        </w:tc>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(917) 789-8049</w:t>
            </w:r>
          </w:p>
        </w:tc>
        <w:tc>
          <w:tcPr>
            <w:tcW w:w="2580" w:type="dxa"/>
            <w:vAlign w:val="bottom"/>
          </w:tcPr>
          <w:p>
            <w:pPr>
              <w:jc w:val="center"/>
              <w:ind w:left="419"/>
              <w:spacing w:after="0"/>
              <w:rPr>
                <w:sz w:val="20"/>
                <w:szCs w:val="20"/>
                <w:color w:val="auto"/>
              </w:rPr>
            </w:pPr>
            <w:r>
              <w:rPr>
                <w:rFonts w:ascii="Arial" w:cs="Arial" w:eastAsia="Arial" w:hAnsi="Arial"/>
                <w:sz w:val="16"/>
                <w:szCs w:val="16"/>
                <w:b w:val="1"/>
                <w:bCs w:val="1"/>
                <w:color w:val="auto"/>
              </w:rPr>
              <w:t>(212) 450-4000</w:t>
            </w:r>
          </w:p>
        </w:tc>
      </w:tr>
      <w:tr>
        <w:trPr>
          <w:trHeight w:val="223"/>
        </w:trPr>
        <w:tc>
          <w:tcPr>
            <w:tcW w:w="2720" w:type="dxa"/>
            <w:vAlign w:val="bottom"/>
          </w:tcPr>
          <w:p>
            <w:pPr>
              <w:jc w:val="center"/>
              <w:ind w:right="379"/>
              <w:spacing w:after="0"/>
              <w:rPr>
                <w:sz w:val="20"/>
                <w:szCs w:val="20"/>
                <w:color w:val="auto"/>
              </w:rPr>
            </w:pPr>
            <w:r>
              <w:rPr>
                <w:rFonts w:ascii="Arial" w:cs="Arial" w:eastAsia="Arial" w:hAnsi="Arial"/>
                <w:sz w:val="16"/>
                <w:szCs w:val="16"/>
                <w:b w:val="1"/>
                <w:bCs w:val="1"/>
                <w:color w:val="auto"/>
              </w:rPr>
              <w:t>(212) 906-1200</w:t>
            </w:r>
          </w:p>
        </w:tc>
        <w:tc>
          <w:tcPr>
            <w:tcW w:w="436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116205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46"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09"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160" w:type="dxa"/>
            <w:vAlign w:val="bottom"/>
          </w:tcPr>
          <w:p>
            <w:pPr>
              <w:ind w:left="168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6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ind w:right="280"/>
        <w:spacing w:after="0" w:line="280" w:lineRule="auto"/>
        <w:rPr>
          <w:sz w:val="20"/>
          <w:szCs w:val="20"/>
          <w:color w:val="auto"/>
        </w:rPr>
      </w:pPr>
      <w:r>
        <w:rPr>
          <w:rFonts w:ascii="Arial" w:cs="Arial" w:eastAsia="Arial" w:hAnsi="Arial"/>
          <w:sz w:val="16"/>
          <w:szCs w:val="16"/>
          <w:b w:val="1"/>
          <w:bCs w:val="1"/>
          <w:color w:val="DE1A1E"/>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45" w:lineRule="exact"/>
        <w:rPr>
          <w:sz w:val="20"/>
          <w:szCs w:val="20"/>
          <w:color w:val="auto"/>
        </w:rPr>
      </w:pPr>
    </w:p>
    <w:tbl>
      <w:tblPr>
        <w:tblLayout w:type="fixed"/>
        <w:tblInd w:w="3820" w:type="dxa"/>
        <w:tblCellMar>
          <w:top w:w="0" w:type="dxa"/>
          <w:left w:w="0" w:type="dxa"/>
          <w:bottom w:w="0" w:type="dxa"/>
          <w:right w:w="0" w:type="dxa"/>
        </w:tblCellMar>
      </w:tblPr>
      <w:tr>
        <w:trPr>
          <w:trHeight w:val="223"/>
        </w:trPr>
        <w:tc>
          <w:tcPr>
            <w:tcW w:w="2700" w:type="dxa"/>
            <w:vAlign w:val="bottom"/>
          </w:tcPr>
          <w:p>
            <w:pPr>
              <w:spacing w:after="0"/>
              <w:rPr>
                <w:sz w:val="20"/>
                <w:szCs w:val="20"/>
                <w:color w:val="auto"/>
              </w:rPr>
            </w:pPr>
            <w:r>
              <w:rPr>
                <w:rFonts w:ascii="Arial" w:cs="Arial" w:eastAsia="Arial" w:hAnsi="Arial"/>
                <w:sz w:val="16"/>
                <w:szCs w:val="16"/>
                <w:b w:val="1"/>
                <w:bCs w:val="1"/>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DE1A1E"/>
              </w:rPr>
              <w:t>, 2025</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PRELIMINARY PROSPECTUS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97790</wp:posOffset>
            </wp:positionV>
            <wp:extent cx="205740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FT Intermediate, Inc.</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140335</wp:posOffset>
            </wp:positionV>
            <wp:extent cx="1311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This is the initial public offering of FT Intermediate, Inc. We are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shares of our Class A common stock.</w:t>
      </w:r>
    </w:p>
    <w:p>
      <w:pPr>
        <w:spacing w:after="0" w:line="123" w:lineRule="exact"/>
        <w:rPr>
          <w:sz w:val="20"/>
          <w:szCs w:val="20"/>
          <w:color w:val="auto"/>
        </w:rPr>
      </w:pPr>
    </w:p>
    <w:p>
      <w:pPr>
        <w:sectPr>
          <w:pgSz w:w="11900" w:h="16838" w:orient="portrait"/>
          <w:cols w:equalWidth="0" w:num="2">
            <w:col w:w="4920" w:space="720"/>
            <w:col w:w="5600"/>
          </w:cols>
          <w:pgMar w:left="320" w:top="1205"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w:t>
      </w:r>
    </w:p>
    <w:p>
      <w:pPr>
        <w:spacing w:after="0" w:line="15" w:lineRule="exact"/>
        <w:rPr>
          <w:sz w:val="20"/>
          <w:szCs w:val="20"/>
          <w:color w:val="auto"/>
        </w:rPr>
      </w:pPr>
    </w:p>
    <w:p>
      <w:pPr>
        <w:ind w:left="540"/>
        <w:spacing w:after="0"/>
        <w:tabs>
          <w:tab w:leader="none" w:pos="1680" w:val="left"/>
        </w:tabs>
        <w:rPr>
          <w:sz w:val="20"/>
          <w:szCs w:val="20"/>
          <w:color w:val="auto"/>
        </w:rPr>
      </w:pPr>
      <w:r>
        <w:rPr>
          <w:rFonts w:ascii="Arial" w:cs="Arial" w:eastAsia="Arial" w:hAnsi="Arial"/>
          <w:sz w:val="14"/>
          <w:szCs w:val="14"/>
          <w:color w:val="auto"/>
        </w:rPr>
        <w:t>and $</w:t>
      </w:r>
      <w:r>
        <w:rPr>
          <w:sz w:val="20"/>
          <w:szCs w:val="20"/>
          <w:color w:val="auto"/>
        </w:rPr>
        <w:tab/>
      </w:r>
      <w:r>
        <w:rPr>
          <w:rFonts w:ascii="Arial" w:cs="Arial" w:eastAsia="Arial" w:hAnsi="Arial"/>
          <w:sz w:val="14"/>
          <w:szCs w:val="14"/>
          <w:color w:val="auto"/>
        </w:rPr>
        <w:t>per share.</w:t>
      </w:r>
    </w:p>
    <w:p>
      <w:pPr>
        <w:spacing w:after="0" w:line="109" w:lineRule="exact"/>
        <w:rPr>
          <w:sz w:val="20"/>
          <w:szCs w:val="20"/>
          <w:color w:val="auto"/>
        </w:rPr>
      </w:pPr>
    </w:p>
    <w:p>
      <w:pPr>
        <w:sectPr>
          <w:pgSz w:w="11900" w:h="16838" w:orient="portrait"/>
          <w:cols w:equalWidth="0" w:num="2">
            <w:col w:w="80" w:space="260"/>
            <w:col w:w="10900"/>
          </w:cols>
          <w:pgMar w:left="320" w:top="1205"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We intend to apply to list our Class A common stock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under the symbol “FIGR.”</w:t>
      </w:r>
    </w:p>
    <w:p>
      <w:pPr>
        <w:spacing w:after="0" w:line="123" w:lineRule="exact"/>
        <w:rPr>
          <w:sz w:val="20"/>
          <w:szCs w:val="20"/>
          <w:color w:val="auto"/>
        </w:rPr>
      </w:pPr>
    </w:p>
    <w:p>
      <w:pPr>
        <w:sectPr>
          <w:pgSz w:w="11900" w:h="16838" w:orient="portrait"/>
          <w:cols w:equalWidth="0" w:num="2">
            <w:col w:w="3920" w:space="720"/>
            <w:col w:w="6600"/>
          </w:cols>
          <w:pgMar w:left="320" w:top="1205" w:right="33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Following this offering, we will have two classes of authorized common stock, Class A common stock and Class B common stock. The rights of the holders of our Class A</w:t>
      </w:r>
    </w:p>
    <w:p>
      <w:pPr>
        <w:sectPr>
          <w:pgSz w:w="11900" w:h="16838" w:orient="portrait"/>
          <w:cols w:equalWidth="0" w:num="1">
            <w:col w:w="11240"/>
          </w:cols>
          <w:pgMar w:left="320" w:top="1205" w:right="339" w:bottom="1440" w:gutter="0" w:footer="0" w:header="0"/>
          <w:type w:val="continuous"/>
        </w:sectPr>
      </w:pP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common stock and Class B common stock will be identical, except with respect to voting and conversion rights. Each share of Class A common stock will be entitled to one vote per share. Each share of Class B common stock will be entitled to ten votes per share and will be convertible at any time into one share of Class A common stock. Immediately</w:t>
      </w:r>
    </w:p>
    <w:p>
      <w:pPr>
        <w:spacing w:after="0"/>
        <w:tabs>
          <w:tab w:leader="none" w:pos="10620" w:val="left"/>
        </w:tabs>
        <w:rPr>
          <w:sz w:val="20"/>
          <w:szCs w:val="20"/>
          <w:color w:val="auto"/>
        </w:rPr>
      </w:pPr>
      <w:r>
        <w:rPr>
          <w:rFonts w:ascii="Arial" w:cs="Arial" w:eastAsia="Arial" w:hAnsi="Arial"/>
          <w:sz w:val="14"/>
          <w:szCs w:val="14"/>
          <w:color w:val="auto"/>
        </w:rPr>
        <w:t>following the completion of this offering, Michael Cagney, our co-founder and a member of our board of directors, and his permitted transferees, will hold</w:t>
      </w:r>
      <w:r>
        <w:rPr>
          <w:sz w:val="20"/>
          <w:szCs w:val="20"/>
          <w:color w:val="auto"/>
        </w:rPr>
        <w:tab/>
      </w:r>
      <w:r>
        <w:rPr>
          <w:rFonts w:ascii="Arial" w:cs="Arial" w:eastAsia="Arial" w:hAnsi="Arial"/>
          <w:sz w:val="14"/>
          <w:szCs w:val="14"/>
          <w:color w:val="auto"/>
        </w:rPr>
        <w:t>shares of</w:t>
      </w:r>
    </w:p>
    <w:p>
      <w:pPr>
        <w:sectPr>
          <w:pgSz w:w="11900" w:h="16838" w:orient="portrait"/>
          <w:cols w:equalWidth="0" w:num="1">
            <w:col w:w="11240"/>
          </w:cols>
          <w:pgMar w:left="320" w:top="1205"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Class B common stock representing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of the voting power of our outstanding capital stock, assuming no exercise of the underwriters’ option to</w:t>
      </w:r>
    </w:p>
    <w:p>
      <w:pPr>
        <w:spacing w:after="0" w:line="15" w:lineRule="exact"/>
        <w:rPr>
          <w:sz w:val="20"/>
          <w:szCs w:val="20"/>
          <w:color w:val="auto"/>
        </w:rPr>
      </w:pPr>
    </w:p>
    <w:p>
      <w:pPr>
        <w:sectPr>
          <w:pgSz w:w="11900" w:h="16838" w:orient="portrait"/>
          <w:cols w:equalWidth="0" w:num="2">
            <w:col w:w="3600" w:space="720"/>
            <w:col w:w="6920"/>
          </w:cols>
          <w:pgMar w:left="320" w:top="1205" w:right="339" w:bottom="1440" w:gutter="0" w:footer="0" w:header="0"/>
          <w:type w:val="continuous"/>
        </w:sectPr>
      </w:pPr>
    </w:p>
    <w:p>
      <w:pPr>
        <w:spacing w:after="0"/>
        <w:rPr>
          <w:sz w:val="20"/>
          <w:szCs w:val="20"/>
          <w:color w:val="auto"/>
        </w:rPr>
      </w:pPr>
      <w:r>
        <w:rPr>
          <w:rFonts w:ascii="Arial" w:cs="Arial" w:eastAsia="Arial" w:hAnsi="Arial"/>
          <w:sz w:val="14"/>
          <w:szCs w:val="14"/>
          <w:color w:val="auto"/>
        </w:rPr>
        <w:t>purchase additional shares of Class A common stock. As a result, following this offering we will be a “controlled company” within the meaning of the corporate governance rules</w:t>
      </w:r>
    </w:p>
    <w:p>
      <w:pPr>
        <w:spacing w:after="0" w:line="14"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 For additional information, see the section titled “Management—Controlled Company.”</w:t>
      </w:r>
    </w:p>
    <w:p>
      <w:pPr>
        <w:spacing w:after="0" w:line="109" w:lineRule="exact"/>
        <w:rPr>
          <w:sz w:val="20"/>
          <w:szCs w:val="20"/>
          <w:color w:val="auto"/>
        </w:rPr>
      </w:pPr>
    </w:p>
    <w:p>
      <w:pPr>
        <w:ind w:right="20" w:firstLine="324"/>
        <w:spacing w:after="0" w:line="285" w:lineRule="auto"/>
        <w:rPr>
          <w:sz w:val="20"/>
          <w:szCs w:val="20"/>
          <w:color w:val="auto"/>
        </w:rPr>
      </w:pPr>
      <w:r>
        <w:rPr>
          <w:rFonts w:ascii="Arial" w:cs="Arial" w:eastAsia="Arial" w:hAnsi="Arial"/>
          <w:sz w:val="14"/>
          <w:szCs w:val="14"/>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62865</wp:posOffset>
            </wp:positionV>
            <wp:extent cx="131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75" w:lineRule="exact"/>
        <w:rPr>
          <w:sz w:val="20"/>
          <w:szCs w:val="20"/>
          <w:color w:val="auto"/>
        </w:rPr>
      </w:pPr>
    </w:p>
    <w:p>
      <w:pPr>
        <w:ind w:firstLine="324"/>
        <w:spacing w:after="0" w:line="311" w:lineRule="auto"/>
        <w:rPr>
          <w:sz w:val="20"/>
          <w:szCs w:val="20"/>
          <w:color w:val="auto"/>
        </w:rPr>
      </w:pPr>
      <w:r>
        <w:rPr>
          <w:rFonts w:ascii="Arial" w:cs="Arial" w:eastAsia="Arial" w:hAnsi="Arial"/>
          <w:sz w:val="14"/>
          <w:szCs w:val="14"/>
          <w:b w:val="1"/>
          <w:bCs w:val="1"/>
          <w:i w:val="1"/>
          <w:iCs w:val="1"/>
          <w:color w:val="auto"/>
        </w:rPr>
        <w:t>Investing in our Class A common stock involves risks. See the section titled “</w:t>
      </w:r>
      <w:r>
        <w:rPr>
          <w:rFonts w:ascii="Arial" w:cs="Arial" w:eastAsia="Arial" w:hAnsi="Arial"/>
          <w:sz w:val="14"/>
          <w:szCs w:val="14"/>
          <w:b w:val="1"/>
          <w:bCs w:val="1"/>
          <w:i w:val="1"/>
          <w:iCs w:val="1"/>
          <w:u w:val="single" w:color="auto"/>
          <w:color w:val="0000FF"/>
        </w:rPr>
        <w:t>Risk Factors</w:t>
      </w:r>
      <w:r>
        <w:rPr>
          <w:rFonts w:ascii="Arial" w:cs="Arial" w:eastAsia="Arial" w:hAnsi="Arial"/>
          <w:sz w:val="14"/>
          <w:szCs w:val="14"/>
          <w:b w:val="1"/>
          <w:bCs w:val="1"/>
          <w:i w:val="1"/>
          <w:iCs w:val="1"/>
          <w:color w:val="auto"/>
        </w:rPr>
        <w:t xml:space="preserve">” beginning on page </w:t>
      </w:r>
      <w:r>
        <w:rPr>
          <w:rFonts w:ascii="Arial" w:cs="Arial" w:eastAsia="Arial" w:hAnsi="Arial"/>
          <w:sz w:val="14"/>
          <w:szCs w:val="14"/>
          <w:b w:val="1"/>
          <w:bCs w:val="1"/>
          <w:i w:val="1"/>
          <w:iCs w:val="1"/>
          <w:u w:val="single" w:color="auto"/>
          <w:color w:val="0000FF"/>
        </w:rPr>
        <w:t>26</w:t>
      </w:r>
      <w:r>
        <w:rPr>
          <w:rFonts w:ascii="Arial" w:cs="Arial" w:eastAsia="Arial" w:hAnsi="Arial"/>
          <w:sz w:val="14"/>
          <w:szCs w:val="14"/>
          <w:b w:val="1"/>
          <w:bCs w:val="1"/>
          <w:i w:val="1"/>
          <w:iCs w:val="1"/>
          <w:color w:val="auto"/>
        </w:rPr>
        <w:t xml:space="preserve"> to read about factors you should consider before deciding to invest in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39370</wp:posOffset>
            </wp:positionV>
            <wp:extent cx="13112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6" w:lineRule="exact"/>
        <w:rPr>
          <w:sz w:val="20"/>
          <w:szCs w:val="20"/>
          <w:color w:val="auto"/>
        </w:rPr>
      </w:pPr>
    </w:p>
    <w:p>
      <w:pPr>
        <w:ind w:firstLine="324"/>
        <w:spacing w:after="0" w:line="314"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46990</wp:posOffset>
            </wp:positionV>
            <wp:extent cx="13112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90"/>
        </w:trPr>
        <w:tc>
          <w:tcPr>
            <w:tcW w:w="8420" w:type="dxa"/>
            <w:vAlign w:val="bottom"/>
          </w:tcPr>
          <w:p>
            <w:pPr>
              <w:spacing w:after="0"/>
              <w:rPr>
                <w:sz w:val="20"/>
                <w:szCs w:val="20"/>
                <w:color w:val="auto"/>
              </w:rPr>
            </w:pPr>
            <w:r>
              <w:rPr>
                <w:rFonts w:ascii="Arial" w:cs="Arial" w:eastAsia="Arial" w:hAnsi="Arial"/>
                <w:sz w:val="14"/>
                <w:szCs w:val="14"/>
                <w:color w:val="auto"/>
              </w:rPr>
              <w:t>Initial public offering price</w:t>
            </w: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9"/>
                <w:szCs w:val="9"/>
                <w:color w:val="auto"/>
              </w:rPr>
              <w:t>(1)</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r>
        <w:trPr>
          <w:trHeight w:val="203"/>
        </w:trPr>
        <w:tc>
          <w:tcPr>
            <w:tcW w:w="8420" w:type="dxa"/>
            <w:vAlign w:val="bottom"/>
          </w:tcPr>
          <w:p>
            <w:pPr>
              <w:spacing w:after="0"/>
              <w:rPr>
                <w:sz w:val="20"/>
                <w:szCs w:val="20"/>
                <w:color w:val="auto"/>
              </w:rPr>
            </w:pPr>
            <w:r>
              <w:rPr>
                <w:rFonts w:ascii="Arial" w:cs="Arial" w:eastAsia="Arial" w:hAnsi="Arial"/>
                <w:sz w:val="14"/>
                <w:szCs w:val="14"/>
                <w:color w:val="auto"/>
              </w:rPr>
              <w:t>Proceeds to us, before expenses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See the section titled “Underwriting” for a description of the compensation payable to the underwriters.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gridSpan w:val="2"/>
          </w:tcPr>
          <w:p>
            <w:pPr>
              <w:ind w:left="340"/>
              <w:spacing w:after="0"/>
              <w:rPr>
                <w:sz w:val="20"/>
                <w:szCs w:val="20"/>
                <w:color w:val="auto"/>
              </w:rPr>
            </w:pPr>
            <w:r>
              <w:rPr>
                <w:rFonts w:ascii="Arial" w:cs="Arial" w:eastAsia="Arial" w:hAnsi="Arial"/>
                <w:sz w:val="14"/>
                <w:szCs w:val="14"/>
                <w:color w:val="auto"/>
              </w:rPr>
              <w:t>We have granted the underwriters an option to purchase up to an additional</w:t>
            </w:r>
          </w:p>
        </w:tc>
        <w:tc>
          <w:tcPr>
            <w:tcW w:w="6080" w:type="dxa"/>
            <w:vAlign w:val="bottom"/>
            <w:gridSpan w:val="4"/>
          </w:tcPr>
          <w:p>
            <w:pPr>
              <w:jc w:val="right"/>
              <w:spacing w:after="0"/>
              <w:rPr>
                <w:sz w:val="20"/>
                <w:szCs w:val="20"/>
                <w:color w:val="auto"/>
              </w:rPr>
            </w:pPr>
            <w:r>
              <w:rPr>
                <w:rFonts w:ascii="Arial" w:cs="Arial" w:eastAsia="Arial" w:hAnsi="Arial"/>
                <w:sz w:val="14"/>
                <w:szCs w:val="14"/>
                <w:color w:val="auto"/>
              </w:rPr>
              <w:t>shares of our Class A common stock from us at the initial public offering price, less</w:t>
            </w:r>
          </w:p>
        </w:tc>
      </w:tr>
      <w:tr>
        <w:trPr>
          <w:trHeight w:val="190"/>
        </w:trPr>
        <w:tc>
          <w:tcPr>
            <w:tcW w:w="5160" w:type="dxa"/>
            <w:vAlign w:val="bottom"/>
            <w:gridSpan w:val="2"/>
          </w:tcPr>
          <w:p>
            <w:pPr>
              <w:spacing w:after="0"/>
              <w:rPr>
                <w:sz w:val="20"/>
                <w:szCs w:val="20"/>
                <w:color w:val="auto"/>
              </w:rPr>
            </w:pPr>
            <w:r>
              <w:rPr>
                <w:rFonts w:ascii="Arial" w:cs="Arial" w:eastAsia="Arial" w:hAnsi="Arial"/>
                <w:sz w:val="14"/>
                <w:szCs w:val="14"/>
                <w:color w:val="auto"/>
              </w:rPr>
              <w:t>underwriting discounts and commissions.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284"/>
        </w:trPr>
        <w:tc>
          <w:tcPr>
            <w:tcW w:w="7040" w:type="dxa"/>
            <w:vAlign w:val="bottom"/>
            <w:gridSpan w:val="5"/>
          </w:tcPr>
          <w:p>
            <w:pPr>
              <w:ind w:left="340"/>
              <w:spacing w:after="0"/>
              <w:rPr>
                <w:sz w:val="20"/>
                <w:szCs w:val="20"/>
                <w:color w:val="auto"/>
              </w:rPr>
            </w:pPr>
            <w:r>
              <w:rPr>
                <w:rFonts w:ascii="Arial" w:cs="Arial" w:eastAsia="Arial" w:hAnsi="Arial"/>
                <w:sz w:val="14"/>
                <w:szCs w:val="14"/>
                <w:color w:val="auto"/>
              </w:rPr>
              <w:t>The underwriters expect to deliver the shares against payment in New York, New York on or about</w:t>
            </w:r>
          </w:p>
        </w:tc>
        <w:tc>
          <w:tcPr>
            <w:tcW w:w="4200" w:type="dxa"/>
            <w:vAlign w:val="bottom"/>
          </w:tcPr>
          <w:p>
            <w:pPr>
              <w:jc w:val="right"/>
              <w:ind w:right="3381"/>
              <w:spacing w:after="0"/>
              <w:rPr>
                <w:sz w:val="20"/>
                <w:szCs w:val="20"/>
                <w:color w:val="auto"/>
              </w:rPr>
            </w:pPr>
            <w:r>
              <w:rPr>
                <w:rFonts w:ascii="Arial" w:cs="Arial" w:eastAsia="Arial" w:hAnsi="Arial"/>
                <w:sz w:val="14"/>
                <w:szCs w:val="14"/>
                <w:color w:val="auto"/>
              </w:rPr>
              <w:t>, 2025.</w:t>
            </w:r>
          </w:p>
        </w:tc>
      </w:tr>
      <w:tr>
        <w:trPr>
          <w:trHeight w:val="184"/>
        </w:trPr>
        <w:tc>
          <w:tcPr>
            <w:tcW w:w="46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546"/>
        </w:trPr>
        <w:tc>
          <w:tcPr>
            <w:tcW w:w="5160" w:type="dxa"/>
            <w:vAlign w:val="bottom"/>
            <w:gridSpan w:val="2"/>
          </w:tcPr>
          <w:p>
            <w:pPr>
              <w:ind w:left="300"/>
              <w:spacing w:after="0"/>
              <w:rPr>
                <w:sz w:val="20"/>
                <w:szCs w:val="20"/>
                <w:color w:val="auto"/>
              </w:rPr>
            </w:pPr>
            <w:r>
              <w:rPr>
                <w:rFonts w:ascii="Arial" w:cs="Arial" w:eastAsia="Arial" w:hAnsi="Arial"/>
                <w:sz w:val="25"/>
                <w:szCs w:val="25"/>
                <w:b w:val="1"/>
                <w:bCs w:val="1"/>
                <w:color w:val="auto"/>
              </w:rPr>
              <w:t>Goldman Sachs &amp; Co. LLC</w:t>
            </w:r>
          </w:p>
        </w:tc>
        <w:tc>
          <w:tcPr>
            <w:tcW w:w="1120" w:type="dxa"/>
            <w:vAlign w:val="bottom"/>
          </w:tcPr>
          <w:p>
            <w:pPr>
              <w:spacing w:after="0"/>
              <w:rPr>
                <w:sz w:val="20"/>
                <w:szCs w:val="20"/>
                <w:color w:val="auto"/>
              </w:rPr>
            </w:pPr>
            <w:r>
              <w:rPr>
                <w:rFonts w:ascii="Arial" w:cs="Arial" w:eastAsia="Arial" w:hAnsi="Arial"/>
                <w:sz w:val="25"/>
                <w:szCs w:val="25"/>
                <w:b w:val="1"/>
                <w:bCs w:val="1"/>
                <w:color w:val="auto"/>
              </w:rPr>
              <w:t>Jefferies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tcPr>
          <w:p>
            <w:pPr>
              <w:jc w:val="right"/>
              <w:ind w:right="821"/>
              <w:spacing w:after="0"/>
              <w:rPr>
                <w:sz w:val="20"/>
                <w:szCs w:val="20"/>
                <w:color w:val="auto"/>
              </w:rPr>
            </w:pPr>
            <w:r>
              <w:rPr>
                <w:rFonts w:ascii="Arial" w:cs="Arial" w:eastAsia="Arial" w:hAnsi="Arial"/>
                <w:sz w:val="25"/>
                <w:szCs w:val="25"/>
                <w:b w:val="1"/>
                <w:bCs w:val="1"/>
                <w:color w:val="auto"/>
              </w:rPr>
              <w:t>BofA Securities</w:t>
            </w:r>
          </w:p>
        </w:tc>
      </w:tr>
      <w:tr>
        <w:trPr>
          <w:trHeight w:val="176"/>
        </w:trPr>
        <w:tc>
          <w:tcPr>
            <w:tcW w:w="460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200" w:type="dxa"/>
            <w:vAlign w:val="bottom"/>
          </w:tcPr>
          <w:p>
            <w:pPr>
              <w:spacing w:after="0"/>
              <w:rPr>
                <w:sz w:val="15"/>
                <w:szCs w:val="15"/>
                <w:color w:val="auto"/>
              </w:rPr>
            </w:pPr>
          </w:p>
        </w:tc>
      </w:tr>
      <w:tr>
        <w:trPr>
          <w:trHeight w:val="364"/>
        </w:trPr>
        <w:tc>
          <w:tcPr>
            <w:tcW w:w="6280" w:type="dxa"/>
            <w:vAlign w:val="bottom"/>
            <w:gridSpan w:val="3"/>
          </w:tcPr>
          <w:p>
            <w:pPr>
              <w:ind w:left="4480"/>
              <w:spacing w:after="0"/>
              <w:rPr>
                <w:sz w:val="20"/>
                <w:szCs w:val="20"/>
                <w:color w:val="auto"/>
              </w:rPr>
            </w:pPr>
            <w:r>
              <w:rPr>
                <w:rFonts w:ascii="Arial" w:cs="Arial" w:eastAsia="Arial" w:hAnsi="Arial"/>
                <w:sz w:val="14"/>
                <w:szCs w:val="14"/>
                <w:color w:val="auto"/>
              </w:rPr>
              <w:t>Prospectus dated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 2025</w:t>
            </w:r>
          </w:p>
        </w:tc>
        <w:tc>
          <w:tcPr>
            <w:tcW w:w="4200" w:type="dxa"/>
            <w:vAlign w:val="bottom"/>
          </w:tcPr>
          <w:p>
            <w:pPr>
              <w:spacing w:after="0"/>
              <w:rPr>
                <w:sz w:val="24"/>
                <w:szCs w:val="24"/>
                <w:color w:val="auto"/>
              </w:rPr>
            </w:pPr>
          </w:p>
        </w:tc>
      </w:tr>
    </w:tbl>
    <w:p>
      <w:pPr>
        <w:sectPr>
          <w:pgSz w:w="11900" w:h="16838" w:orient="portrait"/>
          <w:cols w:equalWidth="0" w:num="1">
            <w:col w:w="11240"/>
          </w:cols>
          <w:pgMar w:left="320" w:top="1205" w:right="339" w:bottom="1440" w:gutter="0" w:footer="0" w:header="0"/>
          <w:type w:val="continuous"/>
        </w:sectPr>
      </w:pPr>
    </w:p>
    <w:bookmarkStart w:id="2" w:name="page3"/>
    <w:bookmarkEnd w:id="2"/>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185"/>
        </w:trPr>
        <w:tc>
          <w:tcPr>
            <w:tcW w:w="2220" w:type="dxa"/>
            <w:vAlign w:val="bottom"/>
            <w:gridSpan w:val="10"/>
          </w:tcPr>
          <w:p>
            <w:pPr>
              <w:spacing w:after="0" w:line="184" w:lineRule="exact"/>
              <w:rPr>
                <w:sz w:val="20"/>
                <w:szCs w:val="20"/>
                <w:color w:val="auto"/>
              </w:rPr>
            </w:pPr>
            <w:r>
              <w:rPr>
                <w:rFonts w:ascii="Arial" w:cs="Arial" w:eastAsia="Arial" w:hAnsi="Arial"/>
                <w:sz w:val="18"/>
                <w:szCs w:val="18"/>
                <w:color w:val="0000FF"/>
                <w:w w:val="99"/>
              </w:rPr>
              <w:t>PROSPECTUS SUMMARY</w:t>
            </w:r>
          </w:p>
        </w:tc>
        <w:tc>
          <w:tcPr>
            <w:tcW w:w="8140" w:type="dxa"/>
            <w:vAlign w:val="bottom"/>
            <w:gridSpan w:val="10"/>
          </w:tcPr>
          <w:p>
            <w:pPr>
              <w:spacing w:after="0"/>
              <w:rPr>
                <w:sz w:val="16"/>
                <w:szCs w:val="16"/>
                <w:color w:val="auto"/>
              </w:rPr>
            </w:pPr>
          </w:p>
        </w:tc>
        <w:tc>
          <w:tcPr>
            <w:tcW w:w="740" w:type="dxa"/>
            <w:vAlign w:val="bottom"/>
            <w:gridSpan w:val="2"/>
          </w:tcPr>
          <w:p>
            <w:pPr>
              <w:spacing w:after="0"/>
              <w:rPr>
                <w:sz w:val="16"/>
                <w:szCs w:val="16"/>
                <w:color w:val="auto"/>
              </w:rPr>
            </w:pPr>
          </w:p>
        </w:tc>
        <w:tc>
          <w:tcPr>
            <w:tcW w:w="12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0000FF"/>
                <w:w w:val="79"/>
              </w:rPr>
              <w:t>1</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20" w:type="dxa"/>
            <w:vAlign w:val="bottom"/>
            <w:gridSpan w:val="10"/>
          </w:tcPr>
          <w:p>
            <w:pPr>
              <w:spacing w:after="0"/>
              <w:rPr>
                <w:sz w:val="20"/>
                <w:szCs w:val="20"/>
                <w:color w:val="auto"/>
              </w:rPr>
            </w:pPr>
            <w:r>
              <w:rPr>
                <w:rFonts w:ascii="Arial" w:cs="Arial" w:eastAsia="Arial" w:hAnsi="Arial"/>
                <w:sz w:val="18"/>
                <w:szCs w:val="18"/>
                <w:color w:val="0000FF"/>
              </w:rPr>
              <w:t>RISK FACTORS</w:t>
            </w:r>
          </w:p>
        </w:tc>
        <w:tc>
          <w:tcPr>
            <w:tcW w:w="814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540" w:type="dxa"/>
            <w:vAlign w:val="bottom"/>
            <w:gridSpan w:val="16"/>
          </w:tcPr>
          <w:p>
            <w:pPr>
              <w:spacing w:after="0"/>
              <w:rPr>
                <w:sz w:val="20"/>
                <w:szCs w:val="20"/>
                <w:color w:val="auto"/>
              </w:rPr>
            </w:pPr>
            <w:r>
              <w:rPr>
                <w:rFonts w:ascii="Arial" w:cs="Arial" w:eastAsia="Arial" w:hAnsi="Arial"/>
                <w:sz w:val="18"/>
                <w:szCs w:val="18"/>
                <w:color w:val="0000FF"/>
                <w:w w:val="98"/>
              </w:rPr>
              <w:t>SPECIAL NOTE REGARDING FORWARD-LOOKING STATEMENTS</w:t>
            </w:r>
          </w:p>
        </w:tc>
        <w:tc>
          <w:tcPr>
            <w:tcW w:w="4820" w:type="dxa"/>
            <w:vAlign w:val="bottom"/>
            <w:gridSpan w:val="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119</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4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7"/>
              </w:rPr>
              <w:t>MARKET, INDUSTRY, AND OTHER DATA</w:t>
            </w:r>
          </w:p>
        </w:tc>
        <w:tc>
          <w:tcPr>
            <w:tcW w:w="2140" w:type="dxa"/>
            <w:vAlign w:val="bottom"/>
            <w:gridSpan w:val="2"/>
          </w:tcPr>
          <w:p>
            <w:pPr>
              <w:spacing w:after="0"/>
              <w:rPr>
                <w:sz w:val="18"/>
                <w:szCs w:val="18"/>
                <w:color w:val="auto"/>
              </w:rPr>
            </w:pPr>
          </w:p>
        </w:tc>
        <w:tc>
          <w:tcPr>
            <w:tcW w:w="4820" w:type="dxa"/>
            <w:vAlign w:val="bottom"/>
            <w:gridSpan w:val="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121</w:t>
            </w:r>
          </w:p>
        </w:tc>
        <w:tc>
          <w:tcPr>
            <w:tcW w:w="20" w:type="dxa"/>
            <w:vAlign w:val="bottom"/>
          </w:tcPr>
          <w:p>
            <w:pPr>
              <w:spacing w:after="0"/>
              <w:rPr>
                <w:sz w:val="18"/>
                <w:szCs w:val="18"/>
                <w:color w:val="auto"/>
              </w:rPr>
            </w:pPr>
          </w:p>
        </w:tc>
      </w:tr>
      <w:tr>
        <w:trPr>
          <w:trHeight w:val="210"/>
        </w:trPr>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USE OF PROCEEDS</w:t>
            </w:r>
          </w:p>
        </w:tc>
        <w:tc>
          <w:tcPr>
            <w:tcW w:w="8620" w:type="dxa"/>
            <w:vAlign w:val="bottom"/>
            <w:gridSpan w:val="11"/>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122</w:t>
            </w:r>
          </w:p>
        </w:tc>
        <w:tc>
          <w:tcPr>
            <w:tcW w:w="20" w:type="dxa"/>
            <w:vAlign w:val="bottom"/>
          </w:tcPr>
          <w:p>
            <w:pPr>
              <w:spacing w:after="0"/>
              <w:rPr>
                <w:sz w:val="18"/>
                <w:szCs w:val="18"/>
                <w:color w:val="auto"/>
              </w:rPr>
            </w:pPr>
          </w:p>
        </w:tc>
      </w:tr>
      <w:tr>
        <w:trPr>
          <w:trHeight w:val="210"/>
        </w:trPr>
        <w:tc>
          <w:tcPr>
            <w:tcW w:w="15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DIVIDEND POLICY</w:t>
            </w:r>
          </w:p>
        </w:tc>
        <w:tc>
          <w:tcPr>
            <w:tcW w:w="8780" w:type="dxa"/>
            <w:vAlign w:val="bottom"/>
            <w:gridSpan w:val="12"/>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123</w:t>
            </w:r>
          </w:p>
        </w:tc>
        <w:tc>
          <w:tcPr>
            <w:tcW w:w="20" w:type="dxa"/>
            <w:vAlign w:val="bottom"/>
          </w:tcPr>
          <w:p>
            <w:pPr>
              <w:spacing w:after="0"/>
              <w:rPr>
                <w:sz w:val="18"/>
                <w:szCs w:val="18"/>
                <w:color w:val="auto"/>
              </w:rPr>
            </w:pPr>
          </w:p>
        </w:tc>
      </w:tr>
      <w:tr>
        <w:trPr>
          <w:trHeight w:val="209"/>
        </w:trPr>
        <w:tc>
          <w:tcPr>
            <w:tcW w:w="1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CAPITALIZATION</w:t>
            </w:r>
          </w:p>
        </w:tc>
        <w:tc>
          <w:tcPr>
            <w:tcW w:w="892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124</w:t>
            </w:r>
          </w:p>
        </w:tc>
        <w:tc>
          <w:tcPr>
            <w:tcW w:w="20" w:type="dxa"/>
            <w:vAlign w:val="bottom"/>
          </w:tcPr>
          <w:p>
            <w:pPr>
              <w:spacing w:after="0"/>
              <w:rPr>
                <w:sz w:val="18"/>
                <w:szCs w:val="18"/>
                <w:color w:val="auto"/>
              </w:rPr>
            </w:pPr>
          </w:p>
        </w:tc>
      </w:tr>
      <w:tr>
        <w:trPr>
          <w:trHeight w:val="209"/>
        </w:trPr>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DILUTION</w:t>
            </w:r>
          </w:p>
        </w:tc>
        <w:tc>
          <w:tcPr>
            <w:tcW w:w="950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126</w:t>
            </w:r>
          </w:p>
        </w:tc>
        <w:tc>
          <w:tcPr>
            <w:tcW w:w="20" w:type="dxa"/>
            <w:vAlign w:val="bottom"/>
          </w:tcPr>
          <w:p>
            <w:pPr>
              <w:spacing w:after="0"/>
              <w:rPr>
                <w:sz w:val="18"/>
                <w:szCs w:val="18"/>
                <w:color w:val="auto"/>
              </w:rPr>
            </w:pPr>
          </w:p>
        </w:tc>
      </w:tr>
      <w:tr>
        <w:trPr>
          <w:trHeight w:val="210"/>
        </w:trPr>
        <w:tc>
          <w:tcPr>
            <w:tcW w:w="91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129</w:t>
            </w:r>
          </w:p>
        </w:tc>
        <w:tc>
          <w:tcPr>
            <w:tcW w:w="20" w:type="dxa"/>
            <w:vAlign w:val="bottom"/>
          </w:tcPr>
          <w:p>
            <w:pPr>
              <w:spacing w:after="0"/>
              <w:rPr>
                <w:sz w:val="18"/>
                <w:szCs w:val="18"/>
                <w:color w:val="auto"/>
              </w:rPr>
            </w:pPr>
          </w:p>
        </w:tc>
      </w:tr>
      <w:tr>
        <w:trPr>
          <w:trHeight w:val="209"/>
        </w:trPr>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BUSINESS</w:t>
            </w:r>
          </w:p>
        </w:tc>
        <w:tc>
          <w:tcPr>
            <w:tcW w:w="944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148</w:t>
            </w:r>
          </w:p>
        </w:tc>
        <w:tc>
          <w:tcPr>
            <w:tcW w:w="20" w:type="dxa"/>
            <w:vAlign w:val="bottom"/>
          </w:tcPr>
          <w:p>
            <w:pPr>
              <w:spacing w:after="0"/>
              <w:rPr>
                <w:sz w:val="18"/>
                <w:szCs w:val="18"/>
                <w:color w:val="auto"/>
              </w:rPr>
            </w:pPr>
          </w:p>
        </w:tc>
      </w:tr>
      <w:tr>
        <w:trPr>
          <w:trHeight w:val="210"/>
        </w:trPr>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MANAGEMENT</w:t>
            </w:r>
          </w:p>
        </w:tc>
        <w:tc>
          <w:tcPr>
            <w:tcW w:w="904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167</w:t>
            </w:r>
          </w:p>
        </w:tc>
        <w:tc>
          <w:tcPr>
            <w:tcW w:w="20" w:type="dxa"/>
            <w:vAlign w:val="bottom"/>
          </w:tcPr>
          <w:p>
            <w:pPr>
              <w:spacing w:after="0"/>
              <w:rPr>
                <w:sz w:val="18"/>
                <w:szCs w:val="18"/>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EXECUTIVE COMPENSATION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175</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PARTY TRANSACTIONS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184</w:t>
            </w:r>
          </w:p>
        </w:tc>
        <w:tc>
          <w:tcPr>
            <w:tcW w:w="20" w:type="dxa"/>
            <w:vAlign w:val="bottom"/>
          </w:tcPr>
          <w:p>
            <w:pPr>
              <w:spacing w:after="0"/>
              <w:rPr>
                <w:sz w:val="18"/>
                <w:szCs w:val="18"/>
                <w:color w:val="auto"/>
              </w:rPr>
            </w:pPr>
          </w:p>
        </w:tc>
      </w:tr>
      <w:tr>
        <w:trPr>
          <w:trHeight w:val="210"/>
        </w:trPr>
        <w:tc>
          <w:tcPr>
            <w:tcW w:w="25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PRINCIPAL STOCKHOLDERS</w:t>
            </w:r>
          </w:p>
        </w:tc>
        <w:tc>
          <w:tcPr>
            <w:tcW w:w="3120" w:type="dxa"/>
            <w:vAlign w:val="bottom"/>
            <w:tcBorders>
              <w:top w:val="single" w:sz="8" w:color="0000FF"/>
            </w:tcBorders>
            <w:gridSpan w:val="6"/>
          </w:tcPr>
          <w:p>
            <w:pPr>
              <w:spacing w:after="0"/>
              <w:rPr>
                <w:sz w:val="18"/>
                <w:szCs w:val="18"/>
                <w:color w:val="auto"/>
              </w:rPr>
            </w:pPr>
          </w:p>
        </w:tc>
        <w:tc>
          <w:tcPr>
            <w:tcW w:w="472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190</w:t>
            </w:r>
          </w:p>
        </w:tc>
        <w:tc>
          <w:tcPr>
            <w:tcW w:w="20" w:type="dxa"/>
            <w:vAlign w:val="bottom"/>
          </w:tcPr>
          <w:p>
            <w:pPr>
              <w:spacing w:after="0"/>
              <w:rPr>
                <w:sz w:val="18"/>
                <w:szCs w:val="18"/>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DESCRIPTION OF CAPITAL STOCK</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192</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3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SHARES ELIGIBLE FOR FUTURE SALE</w:t>
            </w:r>
          </w:p>
        </w:tc>
        <w:tc>
          <w:tcPr>
            <w:tcW w:w="7040" w:type="dxa"/>
            <w:vAlign w:val="bottom"/>
            <w:gridSpan w:val="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198</w:t>
            </w:r>
          </w:p>
        </w:tc>
        <w:tc>
          <w:tcPr>
            <w:tcW w:w="20" w:type="dxa"/>
            <w:vAlign w:val="bottom"/>
          </w:tcPr>
          <w:p>
            <w:pPr>
              <w:spacing w:after="0"/>
              <w:rPr>
                <w:sz w:val="18"/>
                <w:szCs w:val="18"/>
                <w:color w:val="auto"/>
              </w:rPr>
            </w:pPr>
          </w:p>
        </w:tc>
      </w:tr>
      <w:tr>
        <w:trPr>
          <w:trHeight w:val="210"/>
        </w:trPr>
        <w:tc>
          <w:tcPr>
            <w:tcW w:w="69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MATERIAL U.S. FEDERAL INCOME TAX CONSEQUENCES TO NON U.S. HOLDERS</w:t>
            </w:r>
          </w:p>
        </w:tc>
        <w:tc>
          <w:tcPr>
            <w:tcW w:w="33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200</w:t>
            </w:r>
          </w:p>
        </w:tc>
        <w:tc>
          <w:tcPr>
            <w:tcW w:w="20" w:type="dxa"/>
            <w:vAlign w:val="bottom"/>
          </w:tcPr>
          <w:p>
            <w:pPr>
              <w:spacing w:after="0"/>
              <w:rPr>
                <w:sz w:val="18"/>
                <w:szCs w:val="18"/>
                <w:color w:val="auto"/>
              </w:rPr>
            </w:pPr>
          </w:p>
        </w:tc>
      </w:tr>
      <w:tr>
        <w:trPr>
          <w:trHeight w:val="209"/>
        </w:trPr>
        <w:tc>
          <w:tcPr>
            <w:tcW w:w="10360" w:type="dxa"/>
            <w:vAlign w:val="bottom"/>
            <w:gridSpan w:val="20"/>
          </w:tcPr>
          <w:p>
            <w:pPr>
              <w:spacing w:after="0"/>
              <w:rPr>
                <w:sz w:val="20"/>
                <w:szCs w:val="20"/>
                <w:color w:val="auto"/>
              </w:rPr>
            </w:pPr>
            <w:r>
              <w:rPr>
                <w:rFonts w:ascii="Arial" w:cs="Arial" w:eastAsia="Arial" w:hAnsi="Arial"/>
                <w:sz w:val="18"/>
                <w:szCs w:val="18"/>
                <w:color w:val="0000FF"/>
              </w:rPr>
              <w:t>UNDERWRITING</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204</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0"/>
          </w:tcPr>
          <w:p>
            <w:pPr>
              <w:spacing w:after="0"/>
              <w:rPr>
                <w:sz w:val="20"/>
                <w:szCs w:val="20"/>
                <w:color w:val="auto"/>
              </w:rPr>
            </w:pPr>
            <w:r>
              <w:rPr>
                <w:rFonts w:ascii="Arial" w:cs="Arial" w:eastAsia="Arial" w:hAnsi="Arial"/>
                <w:sz w:val="18"/>
                <w:szCs w:val="18"/>
                <w:color w:val="0000FF"/>
              </w:rPr>
              <w:t>LEGAL MATTERS</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213</w:t>
            </w:r>
          </w:p>
        </w:tc>
        <w:tc>
          <w:tcPr>
            <w:tcW w:w="20" w:type="dxa"/>
            <w:vAlign w:val="bottom"/>
          </w:tcPr>
          <w:p>
            <w:pPr>
              <w:spacing w:after="0"/>
              <w:rPr>
                <w:sz w:val="18"/>
                <w:szCs w:val="18"/>
                <w:color w:val="auto"/>
              </w:rPr>
            </w:pPr>
          </w:p>
        </w:tc>
      </w:tr>
      <w:tr>
        <w:trPr>
          <w:trHeight w:val="210"/>
        </w:trPr>
        <w:tc>
          <w:tcPr>
            <w:tcW w:w="14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EXPERTS</w:t>
            </w:r>
          </w:p>
        </w:tc>
        <w:tc>
          <w:tcPr>
            <w:tcW w:w="8880" w:type="dxa"/>
            <w:vAlign w:val="bottom"/>
            <w:gridSpan w:val="1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5"/>
                <w:szCs w:val="15"/>
                <w:color w:val="0000FF"/>
                <w:w w:val="71"/>
              </w:rPr>
              <w:t>213</w:t>
            </w:r>
          </w:p>
        </w:tc>
        <w:tc>
          <w:tcPr>
            <w:tcW w:w="2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600" w:type="dxa"/>
            <w:vAlign w:val="bottom"/>
            <w:gridSpan w:val="1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20"/>
          </w:tcPr>
          <w:p>
            <w:pPr>
              <w:spacing w:after="0"/>
              <w:rPr>
                <w:sz w:val="20"/>
                <w:szCs w:val="20"/>
                <w:color w:val="auto"/>
              </w:rPr>
            </w:pPr>
            <w:r>
              <w:rPr>
                <w:rFonts w:ascii="Arial" w:cs="Arial" w:eastAsia="Arial" w:hAnsi="Arial"/>
                <w:sz w:val="18"/>
                <w:szCs w:val="18"/>
                <w:color w:val="0000FF"/>
              </w:rPr>
              <w:t>WHERE YOU CAN FIND ADDITIONAL INFORMATION</w:t>
            </w:r>
          </w:p>
        </w:tc>
        <w:tc>
          <w:tcPr>
            <w:tcW w:w="840" w:type="dxa"/>
            <w:vAlign w:val="bottom"/>
            <w:gridSpan w:val="3"/>
          </w:tcPr>
          <w:p>
            <w:pPr>
              <w:jc w:val="right"/>
              <w:spacing w:after="0"/>
              <w:rPr>
                <w:sz w:val="20"/>
                <w:szCs w:val="20"/>
                <w:color w:val="auto"/>
              </w:rPr>
            </w:pPr>
            <w:r>
              <w:rPr>
                <w:rFonts w:ascii="Arial" w:cs="Arial" w:eastAsia="Arial" w:hAnsi="Arial"/>
                <w:sz w:val="18"/>
                <w:szCs w:val="18"/>
                <w:color w:val="0000FF"/>
              </w:rPr>
              <w:t>213</w:t>
            </w:r>
          </w:p>
        </w:tc>
        <w:tc>
          <w:tcPr>
            <w:tcW w:w="20" w:type="dxa"/>
            <w:vAlign w:val="bottom"/>
          </w:tcPr>
          <w:p>
            <w:pPr>
              <w:spacing w:after="0"/>
              <w:rPr>
                <w:sz w:val="18"/>
                <w:szCs w:val="18"/>
                <w:color w:val="auto"/>
              </w:rPr>
            </w:pPr>
          </w:p>
        </w:tc>
      </w:tr>
      <w:tr>
        <w:trPr>
          <w:trHeight w:val="20"/>
        </w:trPr>
        <w:tc>
          <w:tcPr>
            <w:tcW w:w="4440" w:type="dxa"/>
            <w:vAlign w:val="bottom"/>
            <w:gridSpan w:val="15"/>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540" w:type="dxa"/>
            <w:vAlign w:val="bottom"/>
            <w:gridSpan w:val="16"/>
          </w:tcPr>
          <w:p>
            <w:pPr>
              <w:spacing w:after="0"/>
              <w:rPr>
                <w:sz w:val="20"/>
                <w:szCs w:val="20"/>
                <w:color w:val="auto"/>
              </w:rPr>
            </w:pPr>
            <w:r>
              <w:rPr>
                <w:rFonts w:ascii="Arial" w:cs="Arial" w:eastAsia="Arial" w:hAnsi="Arial"/>
                <w:sz w:val="18"/>
                <w:szCs w:val="18"/>
                <w:color w:val="0000FF"/>
                <w:w w:val="98"/>
              </w:rPr>
              <w:t>INDEX TO COMBINED CONSOLIDATED FINANCIAL STATEMENTS</w:t>
            </w:r>
          </w:p>
        </w:tc>
        <w:tc>
          <w:tcPr>
            <w:tcW w:w="4820" w:type="dxa"/>
            <w:vAlign w:val="bottom"/>
            <w:gridSpan w:val="4"/>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7"/>
                <w:szCs w:val="17"/>
                <w:color w:val="0000FF"/>
                <w:w w:val="70"/>
              </w:rPr>
              <w:t>F-1</w:t>
            </w:r>
          </w:p>
        </w:tc>
      </w:tr>
      <w:tr>
        <w:trPr>
          <w:trHeight w:val="20"/>
        </w:trPr>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3" w:name="page4"/>
    <w:bookmarkEnd w:id="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FT Intermediate, Inc. (“FTI”), the registrant whose name appears on the cover of this registration statement, is a corporation incorporated under the laws of the State of Nevada.</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2024, we separated our business through a series of transactions in which Figure Lending Corp. (“FLC”) and Figure Markets Holdings, Inc. (“FMH”) were separated and began operating as separate businesses (the “Separation”). In connection with and to effectuate the Separation, FT (as defined below)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 On March 19, 2024, Figure Technologies, Inc. converted into Figure Technologies, LLC. As used in this prospectus, unless the context otherwise indicates, any reference to “FT” refers to Figure Technologies, LLC (f/k/a Figure Technologies, Inc.).</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of each of FLC and FMH made a determination that it is in the best interests of both entities to recombine the</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businesses. On , 2025, we recombined the businesses through a series of transactions (the “Recombination”), and FMH became a wholly-owned subsidiary of FTI. For additional information, see the section titled “Prospectus Summary—Organizational History.”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respective direct and indirect subsidiaries. Except as otherwise disclosed in the prospectus included in this registration statement, the historical consolidated financial statements, the summary historical consolidated financial data, and the other financial information included in this registration statement are those of FTI and its consolidated subsidiaries after giving effect to the Recombination.</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used in this prospectus, unless the context otherwise indicates, any reference to “Figure,” “our Company,” “us,” “we,” and “our” refers to FTI, which as a result of the Recombination includes FMH, a Nevada corporation and a wholly-owned subsidiary of FTI, together with its consolidated subsidiaries.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Neither we nor any of the underwriters have authorized anyone to provide you with information that is different from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is an offer to sell only the securities offered hereby and only under circumstances and in jurisdictions where it is lawful to do so.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Except as otherwise disclosed in this prospectus, the historical consolidated financial statements, the summary historical consolidated financial data, and the other financial information included elsewhere in this prospectus have been prepared in U.S. dollars in accordance with accounting principles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accepted in the United States (“GAAP”) and for the year ended December 31, 2024 reflect the combined consolidated statements of FTI and FMH, whereas the comparative information for the year ended December 31, 2023 reflects the consolidated financial statements of the previous parent company, FT, prior to the Separation. This historical financial information does not give effect to this offering.</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Recombination by which FMH became a wholly-owned subsidiary of FTI was accounted for as a reorganization of entities under the common control of Michael Cagney. As a result, the consolidated financial statements of FTI recognize the assets and liabilities received in connection with the Recombination at their historical carrying amounts. As required under GAAP, the financial statements of FTI reflect the retrospective consolidation of FMH to give effect to the Recombination.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the information you should consider before investing in our Class A common stock. You should read this entire prospectus carefully, including the sections titled “</w:t>
      </w:r>
      <w:r>
        <w:rPr>
          <w:rFonts w:ascii="Arial" w:cs="Arial" w:eastAsia="Arial" w:hAnsi="Arial"/>
          <w:sz w:val="18"/>
          <w:szCs w:val="18"/>
          <w:i w:val="1"/>
          <w:iCs w:val="1"/>
          <w:u w:val="single" w:color="auto"/>
          <w:color w:val="0000FF"/>
        </w:rPr>
        <w:t>Risk Factors</w:t>
      </w:r>
      <w:r>
        <w:rPr>
          <w:rFonts w:ascii="Arial" w:cs="Arial" w:eastAsia="Arial" w:hAnsi="Arial"/>
          <w:sz w:val="18"/>
          <w:szCs w:val="18"/>
          <w:i w:val="1"/>
          <w:iCs w:val="1"/>
          <w:color w:val="auto"/>
        </w:rPr>
        <w:t>,” “</w:t>
      </w:r>
      <w:r>
        <w:rPr>
          <w:rFonts w:ascii="Arial" w:cs="Arial" w:eastAsia="Arial" w:hAnsi="Arial"/>
          <w:sz w:val="18"/>
          <w:szCs w:val="18"/>
          <w:i w:val="1"/>
          <w:iCs w:val="1"/>
          <w:u w:val="single" w:color="auto"/>
          <w:color w:val="0000FF"/>
        </w:rPr>
        <w:t>Management’s Discussion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0000FF"/>
        </w:rPr>
        <w:t>Analysis of Financial Condition and Results of Operations</w:t>
      </w:r>
      <w:r>
        <w:rPr>
          <w:rFonts w:ascii="Arial" w:cs="Arial" w:eastAsia="Arial" w:hAnsi="Arial"/>
          <w:sz w:val="18"/>
          <w:szCs w:val="18"/>
          <w:i w:val="1"/>
          <w:iCs w:val="1"/>
          <w:color w:val="000000"/>
        </w:rPr>
        <w:t>,” and our consolidated financial statements and related notes</w:t>
      </w:r>
      <w:r>
        <w:rPr>
          <w:rFonts w:ascii="Arial" w:cs="Arial" w:eastAsia="Arial" w:hAnsi="Arial"/>
          <w:sz w:val="18"/>
          <w:szCs w:val="18"/>
          <w:i w:val="1"/>
          <w:iCs w:val="1"/>
          <w:color w:val="0000FF"/>
        </w:rPr>
        <w:t xml:space="preserve"> </w:t>
      </w:r>
      <w:r>
        <w:rPr>
          <w:rFonts w:ascii="Arial" w:cs="Arial" w:eastAsia="Arial" w:hAnsi="Arial"/>
          <w:sz w:val="18"/>
          <w:szCs w:val="18"/>
          <w:i w:val="1"/>
          <w:iCs w:val="1"/>
          <w:color w:val="000000"/>
        </w:rPr>
        <w:t>included elsewhere in this prospectus, before making an investment decision.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Figure is building the future of capital markets using blockchain-based technology.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$3 trillion cryptocurrency and digital asset market. As a result, Figure has grown quickly and profitably, with net income of $20 million and Adjusted EBITDA of $102 million, for the year ended December 31, 2024.</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Figure’s loan origination system (“LOS”), the time it takes to fund a home equity loan from application has been reduced to a median of 10 days from an industry average of approximately 40 days (based on data from industry sources). Additionally, the average production cost per loan was reduced to approximately $730 for the year ended December 31, 2024 from a mortgage industry average of $11,230 for the quarter ended December 31, 2024, according to the Mortgage Bankers Association (“MBA”).</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technology enables the immutable recording of all assets and their key information on Provenance Blockchain. Provenance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$40 billion in both real -world and digital asset transactions from our launch in late 2018 to March 31, 2025. Further, 71% of our loan originations for the quarter ended March 31, 2025 utilized the Digital Asset Registration Technologies (“DART”) platform, our lien and eNote registry that is built on Provenance Blockchain, compared to only 2% of loan originations for the year ended December 31, 2024.</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year ended December 31, 2024, we facilitated $5 billion of home equity lending,</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00"/>
          </w:cols>
          <w:pgMar w:left="1000" w:top="1440" w:right="9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representing an increase of 50% compared to the prior year, and a compound annual growth rate of 79% since December 31, 2020. We worked with 129 active partners during 2024.</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June 2024, we launched Figure Connect, an electronic marketplace that employs blockchain technology, to directly connect sellers and buyers of loans. During the short period of 10 months from launch in June 2024 to March 2025, approximately $1 billion in home equity line of credit (“HELOC”) volume was transacted on Figure Connect, and 23 total marketplace participants (across loan originators, buyers and investors) were onboarded as of March 31, 2025.</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Securities and Exchange Commission (“SEC”). YLDS has many use cases resulting from its status as a security, including yielding collateral for institutions, cross-border payments and serving as the de-facto currency of Figure Exchange.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alternative trading system (“ATS”), which operations are conducted in accordance with SEC and Financial Industry Regulatory Authority (“FINRA”) rules and regulations.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grown quickly in a capital-efficient manner since our founding, and more recently have achieved strong and growing profitability. For the years ended December 31, 2024 and 2023, we generated net revenue of $341 million and $ 210 million, respectively, Adjusted Net Revenue of $339 million and $214 million, respectively, net income of $20 million and net loss of $52 million, respectively, and Adjusted EBITDA of $102 million and $(12)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Industry Dynamics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Friction in Access and Extension of Consumer Credit, with Challenging and Antiquated Funding Markets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900"/>
          </w:cols>
          <w:pgMar w:left="1000" w:top="1440" w:right="99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Loan application processes that involve excessive paperwork, physical appraisals, expensive title processes and manual income verification result in slow timelines to approval and funding. For example, home equity loans can take approximately 40 days to complete, driving incremental costs for borrowers, according to industry sources.</w:t>
      </w:r>
    </w:p>
    <w:p>
      <w:pPr>
        <w:spacing w:after="0" w:line="117"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14% over the five-year period ended December 31, 2023 to reach over $1 trillion, and is estimated to reach $3 trillion by 2028, access to private credit remains challenging for originators. Similarly, investors struggle to obtain expeditious and consistent access to reliable, quality assets. Furthermore, the standardization and therefore, access to guaranteed capital is limited today to only the “To-Be-Announced” (“TBA”) market for agency mortgages, which historically allowed for the proliferation of mortgage entrepreneurs unburdened by capital markets constraints.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Limited Real-World Success of Blockchain Technology</w:t>
      </w:r>
    </w:p>
    <w:p>
      <w:pPr>
        <w:spacing w:after="0" w:line="1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There are limited examples of real-world success using blockchain technology. We believe that on-chain digital real-world assets continue to represent a greenfield of opportunity of significant scale. According to industry sources, less than 1% of real-world assets are currently on blockchain. Using a blockchain-native ecosystem would reduce costs, improve liquidity and expand access to capital.</w:t>
      </w:r>
    </w:p>
    <w:p>
      <w:pPr>
        <w:spacing w:after="0" w:line="122"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March 31, 2025, only 2% of the $240 billion of stablecoins in circulation yielded interest, according to CoinGecko. Paying any type of yield would require a stablecoin to be registered as a security. Figure has created YLDS to solve this by designing a digitally native blockchain-based SEC-registered stablecoin that offers a yield to token holders, which should result in an uptick in adoption as compared to non-yielding stablecoins.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 xml:space="preserve">Our vision is to create a one-stop, vertically integrated capital markets trading platform for consumer assets. </w:t>
      </w:r>
      <w:r>
        <w:rPr>
          <w:rFonts w:ascii="Arial" w:cs="Arial" w:eastAsia="Arial" w:hAnsi="Arial"/>
          <w:sz w:val="18"/>
          <w:szCs w:val="18"/>
          <w:color w:val="auto"/>
        </w:rPr>
        <w:t>As a first</w:t>
      </w:r>
      <w:r>
        <w:rPr>
          <w:rFonts w:ascii="Arial" w:cs="Arial" w:eastAsia="Arial" w:hAnsi="Arial"/>
          <w:sz w:val="18"/>
          <w:szCs w:val="18"/>
          <w:color w:val="auto"/>
          <w:highlight w:val="white"/>
        </w:rPr>
        <w:t xml:space="preserve"> </w:t>
      </w:r>
      <w:r>
        <w:rPr>
          <w:rFonts w:ascii="Arial" w:cs="Arial" w:eastAsia="Arial" w:hAnsi="Arial"/>
          <w:sz w:val="18"/>
          <w:szCs w:val="18"/>
          <w:color w:val="auto"/>
        </w:rPr>
        <w:t>step, we developed a next-generation, 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foundation for our differentiated infrastructure has been in the HELOC market. We entered the market through our own Figure-branded strategy and have subsequently developed a Partner-branded strategy through which mortgage originators, servicers, banks and credit unions can use our technology to originate and distribute their own loans. We facilitated $5 billion in HELOCs in 2024, up 50% from</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900"/>
          </w:cols>
          <w:pgMar w:left="1000" w:top="1440" w:right="99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99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2023, accumulating more than $14 billion in cumulative originations since the product was launched in late 2018 to March 31, 2025 and achieving the #1 market share in the non-bank HELOC lending market in 2024, as reported by Home Equity Lending News.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since developed and extended our infrastructure into additional use cases, including launching Figure Exchange, developing an ATS, and issuing the YLDS stablecoin. Going forward, we believe our infrastructure is portable across a broad array of activities on our roadmap, ultimately allowing us to deliver powerful synergies across our vertically integrated platform.</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Proprietary Loan Origination System</w:t>
      </w:r>
    </w:p>
    <w:p>
      <w:pPr>
        <w:spacing w:after="0" w:line="16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July 2018, we launched our proprietary LOS, which uses modern technology to help deliver efficiency, speed and lower costs at each stage of the loan origination process. Leveraging automated valuation models, digital title and lien matching, and digital income verification via data aggregators, we are able to offer HELOC loan approval in as little as five minutes and funding in as few as five days (median of 10 days during the year ended December 31, 2024). In 2024, 84% of the loans we facilitated were fully automated from the start of the application to the underwriting stage of the loan process.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LOS excels in handling secured asset classes, such as HELOCs and mortgages, due to its robust infrastructure for data capture and verification. These capabilities are enhanced by data immutability and process compliance, as all loans and related data are recorded on a public blockchain, Provenance Blockchain. Our LOS also extends well to unsecured loans, such as personal loans and credit lines, given the automated underwriting that swiftly assesses borrower creditworthiness.</w:t>
      </w:r>
    </w:p>
    <w:p>
      <w:pPr>
        <w:spacing w:after="0" w:line="127" w:lineRule="exact"/>
        <w:rPr>
          <w:sz w:val="20"/>
          <w:szCs w:val="20"/>
          <w:color w:val="auto"/>
        </w:rPr>
      </w:pPr>
    </w:p>
    <w:p>
      <w:pPr>
        <w:jc w:val="both"/>
        <w:ind w:right="20" w:firstLine="324"/>
        <w:spacing w:after="0" w:line="285" w:lineRule="auto"/>
        <w:rPr>
          <w:sz w:val="20"/>
          <w:szCs w:val="20"/>
          <w:color w:val="auto"/>
        </w:rPr>
      </w:pPr>
      <w:r>
        <w:rPr>
          <w:rFonts w:ascii="Arial" w:cs="Arial" w:eastAsia="Arial" w:hAnsi="Arial"/>
          <w:sz w:val="18"/>
          <w:szCs w:val="18"/>
          <w:i w:val="1"/>
          <w:iCs w:val="1"/>
          <w:u w:val="single" w:color="auto"/>
          <w:color w:val="auto"/>
        </w:rPr>
        <w:t>We have reduced the time from HELOC application to funding from an industry average of approximately 40 days, according to industry sources, to a median of 10 days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typical end-customers for HELOCs are homeowners with high creditworthiness, as seen through an average FICO score of 749 and average income of approximately $187,000 for originations during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 ended December 31, 2024. Our customer base values financial products that reflect their strong financial standing. We provide a HELOC product that is fast and convenient to our end-customers, and is an alternative to taking out personal loans or holding credit card balances. During the quarter ended March 31, 2025, 14% of the total principal amount of HELOCs originated via our LOS were first-lien.</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white"/>
        </w:rPr>
        <w:t>We deploy our LOS through two strategies:</w:t>
      </w:r>
    </w:p>
    <w:p>
      <w:pPr>
        <w:spacing w:after="0" w:line="171" w:lineRule="exact"/>
        <w:rPr>
          <w:sz w:val="20"/>
          <w:szCs w:val="20"/>
          <w:color w:val="auto"/>
        </w:rPr>
      </w:pPr>
    </w:p>
    <w:p>
      <w:pPr>
        <w:jc w:val="both"/>
        <w:ind w:left="640" w:hanging="322"/>
        <w:spacing w:after="0" w:line="259"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Partner-branded</w:t>
      </w:r>
      <w:r>
        <w:rPr>
          <w:rFonts w:ascii="Arial" w:cs="Arial" w:eastAsia="Arial" w:hAnsi="Arial"/>
          <w:sz w:val="18"/>
          <w:szCs w:val="18"/>
          <w:color w:val="auto"/>
        </w:rPr>
        <w:t>: Our partners are mortgage originators, servicers, banks, and credit unions. These partners use</w:t>
      </w:r>
      <w:r>
        <w:rPr>
          <w:rFonts w:ascii="Arial" w:cs="Arial" w:eastAsia="Arial" w:hAnsi="Arial"/>
          <w:sz w:val="18"/>
          <w:szCs w:val="18"/>
          <w:b w:val="1"/>
          <w:bCs w:val="1"/>
          <w:color w:val="auto"/>
        </w:rPr>
        <w:t xml:space="preserve"> </w:t>
      </w:r>
      <w:r>
        <w:rPr>
          <w:rFonts w:ascii="Arial" w:cs="Arial" w:eastAsia="Arial" w:hAnsi="Arial"/>
          <w:sz w:val="18"/>
          <w:szCs w:val="18"/>
          <w:color w:val="auto"/>
        </w:rPr>
        <w:t>our consumer-facing application portal, 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125" w:lineRule="exact"/>
        <w:rPr>
          <w:rFonts w:ascii="Arial" w:cs="Arial" w:eastAsia="Arial" w:hAnsi="Arial"/>
          <w:sz w:val="18"/>
          <w:szCs w:val="18"/>
          <w:color w:val="auto"/>
        </w:rPr>
      </w:pPr>
    </w:p>
    <w:p>
      <w:pPr>
        <w:jc w:val="both"/>
        <w:ind w:left="640" w:right="20"/>
        <w:spacing w:after="0" w:line="268" w:lineRule="auto"/>
        <w:rPr>
          <w:rFonts w:ascii="Arial" w:cs="Arial" w:eastAsia="Arial" w:hAnsi="Arial"/>
          <w:sz w:val="18"/>
          <w:szCs w:val="18"/>
          <w:color w:val="auto"/>
        </w:rPr>
      </w:pPr>
      <w:r>
        <w:rPr>
          <w:rFonts w:ascii="Arial" w:cs="Arial" w:eastAsia="Arial" w:hAnsi="Arial"/>
          <w:sz w:val="18"/>
          <w:szCs w:val="18"/>
          <w:color w:val="auto"/>
        </w:rPr>
        <w:t>Partner-branded loan originations have grown from $12 million for the year ended December 31, 2021 to $3 billion for the year ended December 31, 2024. For the year ended December 31, 2024, Partner-branded loans comprised 72% of our total loan originations.</w:t>
      </w:r>
    </w:p>
    <w:p>
      <w:pPr>
        <w:spacing w:after="0" w:line="116" w:lineRule="exact"/>
        <w:rPr>
          <w:rFonts w:ascii="Arial" w:cs="Arial" w:eastAsia="Arial" w:hAnsi="Arial"/>
          <w:sz w:val="18"/>
          <w:szCs w:val="18"/>
          <w:color w:val="auto"/>
        </w:rPr>
      </w:pPr>
    </w:p>
    <w:p>
      <w:pPr>
        <w:ind w:left="640" w:right="20"/>
        <w:spacing w:after="0" w:line="287" w:lineRule="auto"/>
        <w:rPr>
          <w:rFonts w:ascii="Arial" w:cs="Arial" w:eastAsia="Arial" w:hAnsi="Arial"/>
          <w:sz w:val="18"/>
          <w:szCs w:val="18"/>
          <w:color w:val="auto"/>
        </w:rPr>
      </w:pPr>
      <w:r>
        <w:rPr>
          <w:rFonts w:ascii="Arial" w:cs="Arial" w:eastAsia="Arial" w:hAnsi="Arial"/>
          <w:sz w:val="18"/>
          <w:szCs w:val="18"/>
          <w:color w:val="auto"/>
        </w:rPr>
        <w:t>Our network of partners has grown from four partners as of December 31, 2021, to 134 as of December 31, 2024, with our top 10 partners contributing 52% of our origination volume.</w:t>
      </w:r>
    </w:p>
    <w:p>
      <w:pPr>
        <w:spacing w:after="0" w:line="98"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Figure-branded</w:t>
      </w:r>
      <w:r>
        <w:rPr>
          <w:rFonts w:ascii="Arial" w:cs="Arial" w:eastAsia="Arial" w:hAnsi="Arial"/>
          <w:sz w:val="18"/>
          <w:szCs w:val="18"/>
          <w:color w:val="auto"/>
        </w:rPr>
        <w:t>: We utilize the Figure-branded strategy to launch new asset classes through our LOS,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enables us to prove demand and product efficacy and validate results of upgrades and modifications.</w:t>
      </w:r>
    </w:p>
    <w:p>
      <w:pPr>
        <w:spacing w:after="0" w:line="98" w:lineRule="exact"/>
        <w:rPr>
          <w:rFonts w:ascii="Arial" w:cs="Arial" w:eastAsia="Arial" w:hAnsi="Arial"/>
          <w:sz w:val="18"/>
          <w:szCs w:val="18"/>
          <w:color w:val="auto"/>
        </w:rPr>
      </w:pPr>
    </w:p>
    <w:p>
      <w:pPr>
        <w:jc w:val="both"/>
        <w:ind w:left="640"/>
        <w:spacing w:after="0" w:line="262" w:lineRule="auto"/>
        <w:rPr>
          <w:rFonts w:ascii="Arial" w:cs="Arial" w:eastAsia="Arial" w:hAnsi="Arial"/>
          <w:sz w:val="18"/>
          <w:szCs w:val="18"/>
          <w:color w:val="auto"/>
        </w:rPr>
      </w:pPr>
      <w:r>
        <w:rPr>
          <w:rFonts w:ascii="Arial" w:cs="Arial" w:eastAsia="Arial" w:hAnsi="Arial"/>
          <w:sz w:val="18"/>
          <w:szCs w:val="18"/>
          <w:color w:val="auto"/>
        </w:rPr>
        <w:t>As we refined our HELOC product, we worked quickly to develop a proof of concept through Figure-branded loans, with origination volume for Figure-branded loans growing from approximately $31 million in our first year of activity in 2018 to approximately $2 billion for the year ended December 31, 2024. For the year ended December 31, 2024, Figure-branded loans comprised 28% of our total loan originations.</w:t>
      </w:r>
    </w:p>
    <w:p>
      <w:pPr>
        <w:spacing w:after="0" w:line="122" w:lineRule="exact"/>
        <w:rPr>
          <w:rFonts w:ascii="Arial" w:cs="Arial" w:eastAsia="Arial" w:hAnsi="Arial"/>
          <w:sz w:val="18"/>
          <w:szCs w:val="18"/>
          <w:color w:val="auto"/>
        </w:rPr>
      </w:pPr>
    </w:p>
    <w:p>
      <w:pPr>
        <w:jc w:val="both"/>
        <w:ind w:left="640"/>
        <w:spacing w:after="0" w:line="262" w:lineRule="auto"/>
        <w:rPr>
          <w:rFonts w:ascii="Arial" w:cs="Arial" w:eastAsia="Arial" w:hAnsi="Arial"/>
          <w:sz w:val="18"/>
          <w:szCs w:val="18"/>
          <w:color w:val="auto"/>
        </w:rPr>
      </w:pPr>
      <w:r>
        <w:rPr>
          <w:rFonts w:ascii="Arial" w:cs="Arial" w:eastAsia="Arial" w:hAnsi="Arial"/>
          <w:sz w:val="18"/>
          <w:szCs w:val="18"/>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March 31, 2025, Figure’s originated loans had loss rates of less than 1% of volume.</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Figure Connect</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10 months since we launched Figure Connect in June 2024 to March 2025, approximately $1 billion of loan volume was traded.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Sellers of loans transacted on Figure Connect pay a fee for utilizing our technology for origination, as well as a fulfillment fee associated with the execution of loan sales on our platform. Our pricing structure and unit economics are designed to further incentivize customers to transact on Figure Connect, as revenue received has historically exceeded costs incurred by a margin of at least 2%.</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February 2025, we announced a joint venture with Sixth Street Partners, which is designed to be a consistent loan buyer within the Figure Connect ecosystem. We refer to this joint venture and its activities as a “Guarantor Vehicle.” The Guarantor Vehicle is expected to be initially capitalized with $200 million. Our aim with Figure Connect is to enhance liquidity for loans originated on our LOS, and we believe the Guarantor Vehicle will significantly advance this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Digital Asset Registry Technologies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the Mortgage Electronic Registration Systems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quarter ended March 31, 2025, 71% of loans originated through our LOS were boarded onto DART, up from 2% for the year ended December 31, 2024.</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880"/>
          </w:cols>
          <w:pgMar w:left="1000"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Figure Exchange</w:t>
      </w:r>
    </w:p>
    <w:p>
      <w:pPr>
        <w:spacing w:after="0" w:line="1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In its first five months of operation, Figure Exchange facilitated the trading of $750 million in volume without meaningful marketing efforts.</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99" w:lineRule="exact"/>
        <w:rPr>
          <w:sz w:val="20"/>
          <w:szCs w:val="20"/>
          <w:color w:val="auto"/>
        </w:rPr>
      </w:pPr>
    </w:p>
    <w:p>
      <w:pPr>
        <w:jc w:val="both"/>
        <w:ind w:left="640" w:right="20" w:hanging="322"/>
        <w:spacing w:after="0" w:line="259"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Decentralized Custody: </w:t>
      </w:r>
      <w:r>
        <w:rPr>
          <w:rFonts w:ascii="Arial" w:cs="Arial" w:eastAsia="Arial" w:hAnsi="Arial"/>
          <w:sz w:val="18"/>
          <w:szCs w:val="18"/>
          <w:color w:val="auto"/>
        </w:rPr>
        <w:t>Contrary to our regulated competitors that rely on centralized custody, Figure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implements multi-party computation (“MPC”) wallets. These MPC wallets, in combination with the self-custody wallets on Provenance Blockchain held by every user of the platform, ensure customers of Figure Exchange maintain full control and agency over their assets. This approach ensures a security-perfected interest akin to self-custody for non-native assets, effectively delivering a compliant decentralized exchange.</w:t>
      </w:r>
    </w:p>
    <w:p>
      <w:pPr>
        <w:spacing w:after="0" w:line="125" w:lineRule="exact"/>
        <w:rPr>
          <w:rFonts w:ascii="Arial" w:cs="Arial" w:eastAsia="Arial" w:hAnsi="Arial"/>
          <w:sz w:val="18"/>
          <w:szCs w:val="18"/>
          <w:color w:val="auto"/>
        </w:rPr>
      </w:pPr>
    </w:p>
    <w:p>
      <w:pPr>
        <w:jc w:val="both"/>
        <w:ind w:left="640" w:hanging="322"/>
        <w:spacing w:after="0" w:line="259"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Access to Digital and Real-World Assets: </w:t>
      </w:r>
      <w:r>
        <w:rPr>
          <w:rFonts w:ascii="Arial" w:cs="Arial" w:eastAsia="Arial" w:hAnsi="Arial"/>
          <w:sz w:val="18"/>
          <w:szCs w:val="18"/>
          <w:color w:val="auto"/>
        </w:rPr>
        <w:t>Through our platform, we have the ability to list tokenized real-world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which may be exclusive in the United States to Figure Exchange. As our asset offering available for trading on Figure Exchange increases, with many assets expected to be available for trading only on Figure Exchange, the attractiveness of trading on our platform expands as we build towards the ultimate goal of becoming “the exchange for everything.”</w:t>
      </w:r>
    </w:p>
    <w:p>
      <w:pPr>
        <w:spacing w:after="0" w:line="125" w:lineRule="exact"/>
        <w:rPr>
          <w:rFonts w:ascii="Arial" w:cs="Arial" w:eastAsia="Arial" w:hAnsi="Arial"/>
          <w:sz w:val="18"/>
          <w:szCs w:val="18"/>
          <w:color w:val="auto"/>
        </w:rPr>
      </w:pPr>
    </w:p>
    <w:p>
      <w:pPr>
        <w:jc w:val="both"/>
        <w:ind w:left="640" w:hanging="322"/>
        <w:spacing w:after="0" w:line="259"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Democratized Prime: </w:t>
      </w:r>
      <w:r>
        <w:rPr>
          <w:rFonts w:ascii="Arial" w:cs="Arial" w:eastAsia="Arial" w:hAnsi="Arial"/>
          <w:sz w:val="18"/>
          <w:szCs w:val="18"/>
          <w:color w:val="auto"/>
        </w:rPr>
        <w:t>A pillar of our value proposition is the democratized prime offering, which disrupts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traditional prime brokerage infrastructure by allowing users to lend their assets or excess cash into the ecosystem at a market-clearing rate. This structure allows users to not only capture incremental value from assets that they already hold but also to optimize allocation because the user can choose the most appropriate and efficient pool for their unique use case.</w:t>
      </w:r>
    </w:p>
    <w:p>
      <w:pPr>
        <w:spacing w:after="0" w:line="125"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Digital Asset Cross-Collateralization</w:t>
      </w:r>
      <w:r>
        <w:rPr>
          <w:rFonts w:ascii="Arial" w:cs="Arial" w:eastAsia="Arial" w:hAnsi="Arial"/>
          <w:sz w:val="18"/>
          <w:szCs w:val="18"/>
          <w:color w:val="auto"/>
        </w:rPr>
        <w:t>: Inherently linked to our democratized prime offering is the ability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are expected to have to cross-collateralize their assets for their borrowing needs, as our on-chain platform allows for the streamlining of margin trading across multiple assets, reducing friction and minimizing each customer’s specific liquidity needs.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virtual asset service provider (“VASP”) registration in both the Cayman Islands and Ireland, and a securities investment business license in the Cayman Islands.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YLDS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February 2025, we launched YLDS, a groundbreaking interest-bearing transferable stablecoin that is both native to a public blockchain, Provenance Blockchain, and a security registered with the SEC. As of March 31, 2025, YLDS outstanding stood at approximately $3 million.</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 seven days a week using U.S. dollars and other stablecoins on Figure Exchange, with the option to off-ramp to fiat during U.S. banking hours.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27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YLDS has many use cases. Benefiting from its status as a security, YLDS can be used as yielding collateral for institutions, which can also be utilized for trade settlement, payments, or cross-border remittances. Our goal is for YLDS to become the de-facto currency of Figure Exchange, fungible with cash and transferable 24 hours a day, every day of the year. Furthermore, we believe that third-party interest in using YLDS has the potential to displace traditional money movement, particularly in decentralized finance (“DeFi”), payments, and other applications such as collateral as we begin to mint YLDS on other Layer 1 blockchains.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$130 billion dollar opportunity, as described in further detail below.</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Origination and Distribution Marketplace</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disintermediates the loan delivery process after origination, which traditionally involved seeking a bilateral funding partner to execute a whole loan sale or pooling loans in a unique securitization program for an eventual capital markets takeout. Similar to our LOS, our Figure Connect marketplace is expandable to broader consumer loan assets.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other industry sources, and an assumed take rate of approximately 4% comprised of transaction fees and servicing rights on a per volume basis, based on our targeted pricing.</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Peer to Peer Transferable Stablecoins</w:t>
      </w:r>
    </w:p>
    <w:p>
      <w:pPr>
        <w:spacing w:after="0" w:line="1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$ 5 trillion by 2030. With an assumed take rate of 0.5%, based on our targeted pricing, this revenue opportunity could be as large as $25 billion.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Tokenization and Trading</w:t>
      </w:r>
    </w:p>
    <w:p>
      <w:pPr>
        <w:spacing w:after="0" w:line="16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We believe that the market opportunity for tokenized securities is as large as the existing securities market and that the transition, once it begins, will happen quickly.</w:t>
      </w:r>
    </w:p>
    <w:p>
      <w:pPr>
        <w:spacing w:after="0" w:line="122"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According to forecasts from industry sources, the asset tokenization opportunity is expected to expand to $ 16 trillion by 2030. These forecasts reveal a significant opportunity with tokenization, where Figure has a first-mover advantage. Assuming the current volume-to-market-cap ratio of crypto assets remains constant at 5.5x as of 2024, as reported by CoinGecko, tokenized asset trading volume could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reach $89 trillion by 2030. With an assumed take rate of 0.03%, based on our targeted pricing, the revenue opportunity could be over $25 billion.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innovative blockchain-enabled technology platform provides meaningful value-add for our users, including consumers, origination partners and loan buyers, and securitization investors. We have several competitive advantages that have enabled our continued success and differentiate us from existing solutions.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Faster end-to-end solution with operational efficiencies that drive cost-savings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technology innovation has revolutionized the loan origination process from application through approval to funding. Our 100% online application coupled with our 100% digital origination solution, leverages blockchain technology, automated valuation models (“AVMs”), e-notaries, digital income/ID verification, artificial intelligence during document review and digital lien matching. Our differentiated technology has enabled us to reduce the average HELOC time from application to funding by over 75%. We fund as quickly as five days, with a median of 10 days, as compared to an industry average of approximately 40 days, according to industry sources.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streamlining and automating the loan origination process, we have drastically reduced the cost to originate. For the year ended December 31, 2024, we had an average cost per loan of $730. This represents cost-savings of over 93% compared to an industry average cost of $11,230 to originate a mortgage for the quarter ended December 31, 2024, according to MBA. As the broader industry continues to experience rising costs, the value proposition of Figure’s automated, cost-efficient solution will continue to differentiate us and attract new origination partners.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origination partners have validated our strong value proposition through recurring use. 93% of the number of origination partners who accounted for 97% of the partner branded LOS volume in 2023 remained on the platform in 2024. Furthermore, we experienced 185% net volume retention in 2024. We are not only retaining our origination partners but also enabling them to continuously expand usage and volume.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Homogeneous underwriting with immutable, transparent access to asset ownership information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LOS employs fully automated pre-programmed rules, including the underwriting guidelines and credit policy embedded in our technology, to make lending decisions. We have nearly fully eliminated the impact of human error from our origination processes and the quality of loans originated on our platform, which helps provide a high degree of certainty to the credit quality of the loans originated using our technology. We believe this results in a homogeneous population of loans that are underwritten to consistent, well-defined rules using the same scalable processes and technology. Credit losses of loans underwritten through our LOS have consistently remained approximately 1% or less, well below the 6% rating agencies typically assume for securitizations of similar loan products. Along with the Guarantor Vehicle, we believe that this homogeneity fuels the success of our marketplace.</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Through Provenance Blockchain, we provide loan buyers and securitization investors access to an immutable source of information on ownership at origination and the subsequent transfer history of assets. The use of blockchain enables diligence, monitoring and reporting of loan title, providing transparency of ownership in a matter of nanoseconds.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Facilitating access to incremental capital</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LOS removes friction in the supply and demand of capital, connecting origination partners with several sources of funding capital. On one side, origination partners utilize our lending platform to fund homogeneous investor-appealing assets in a cost-efficient and transparent way. On the other side, Figure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Connect enables origination partners to access multiple sources of institutional funding through a single-window system. This two-sided marketplace facilitates deeper liquidity, giving originators access to funding sources, and in turn increases their capacity to fund more origination growth. This ultimately unlocks access to incremental resources for the end-borrower and creates higher certainty and reliability of capital markets execution.</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liquidity in the marketplace is further enhanced by the presence of our Guarantor Vehicle, which with $200 million in recyclable equity and through the use of leverage, is expected to translate into billions of dollars of committed financing. In 2024, 17 institutional investors transacted $4 billion in volume with loan originators through our LOS.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Modular tech stack expandable across asset classes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technology architecture is designed to support each of our solutions such that these solutions can scale and serve new use cases seamlessly and efficiently. Similarly, our digital platform is designed to scale efficiently by leveraging our existing solutions for the origination of other lending products.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For Figure Connect, our custom-built marketplace, we offer a streamlined experience for trading, hedging, forward sales and access to rated securitizations.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Proactive regulatory compliance as a source of competitive advantage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Strict regulatory compliance has always been at the forefront of our strategy in a nascent industry where some others have looked to exploit regulatory vagueness and ambiguity. This proactive approach to legal adherence has allowed Figure to build a regulatory and licensing infrastructure that is currently comprised of more than 180 lending and servicing licenses, 48 money transmitter licenses, a broker-dealer license, an ATS, VASP licenses in Ireland and the Cayman Islands, a virtual currency license in Louisiana, in addition to multiple additional license applications in our pipeline. We believe that our regulatory moat, which uniquely combines lending licenses, a number of digital asset-related licenses, and an ATS, with years in the making, delays the feasibility of potential new entrants to be able to compete in the full spectrum of solutions that we are able to offer.</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Strong culture with visionary leadership team that has redefined the industry before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our highly experienced leadership team and our culture of creativity and innovation give us a long-term, sustainable competitive advantage. We have been built since day one to address industry inefficiencies and challenges that our founders and leadership observed over decades in on-the-ground, decision-making roles at financial technology and financial services firms, including in the lending and mortgage value chain as well as in blockchain technology.</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team has a demonstrated track record of re-inventing legacy financial products and services as technology-first, efficient, and low-cost platforms, in segments ranging from student and personal loans and traditional mortgages to the crypto economy. The expertise our team has built across markets and functional areas—with an average of over 20 years of experience at market leaders including SoFi, Blockchain.com, Brex, and OneMain Financial—empowers us in our daily pursuit of introducing more innovative and efficient technology and business models into our ecosystem. We are deeply committed to disrupting and driving efficiency in traditional financial services with proprietary technology, to create value for consumers, our origination partners, loan buyers, and securitization investors across our ecosystem, and we believe our team is well positioned to deliver on this mission.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firmly believe that developing cutting-edge technology is a core competency that allows for future growth. As such, we have made a significant investment in technology, engineering and modern processes to establish a flexible and expandable capital markets platform that supports end-to-end asset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origination to trading. Our first line of code was written in 2018 and 34% of our headcount is in technology and product departments as of March 31, 2025.</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this will allow us to systematically expand transaction volume and enter different markets across the financial ecosystem where the application of blockchain technology can improve efficiency and liquidity.</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Onboard New Origination Partners and Increase Penetration with Existing Partners</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believe that increasing the number of origination partners using our LOS and growing adoption of Figure Connect will significantly contribute to our future growth.</w:t>
      </w:r>
    </w:p>
    <w:p>
      <w:pPr>
        <w:spacing w:after="0" w:line="99"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We have successfully added over 134 partners since inception, with 77 of those added over the last twelve months ended December 31, 2024. We see a substantial opportunity to further grow our number of partners. In the six months period from October 1, 2024 to March 31, 2025, we onboarded seven origination partners to Figure Connect, evidencing growth of partnerships beyond Figure-branded originations.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With the success we have shown to date, our marketing team will continue to target servicers, banks, credit unions, and other mortgage originators, offering them a turnkey solution to replace legacy offerings. Our technology is easily onboarded by partners and, once in place, enables them to bring a new offering to the market quickly. </w:t>
      </w:r>
      <w:r>
        <w:rPr>
          <w:rFonts w:ascii="Arial" w:cs="Arial" w:eastAsia="Arial" w:hAnsi="Arial"/>
          <w:sz w:val="18"/>
          <w:szCs w:val="18"/>
          <w:color w:val="auto"/>
          <w:highlight w:val="white"/>
        </w:rPr>
        <w:t>The end-applicant experience</w:t>
      </w:r>
      <w:r>
        <w:rPr>
          <w:rFonts w:ascii="Arial" w:cs="Arial" w:eastAsia="Arial" w:hAnsi="Arial"/>
          <w:sz w:val="18"/>
          <w:szCs w:val="18"/>
          <w:color w:val="auto"/>
        </w:rPr>
        <w:t xml:space="preserve"> </w:t>
      </w:r>
      <w:r>
        <w:rPr>
          <w:rFonts w:ascii="Arial" w:cs="Arial" w:eastAsia="Arial" w:hAnsi="Arial"/>
          <w:sz w:val="18"/>
          <w:szCs w:val="18"/>
          <w:color w:val="auto"/>
          <w:highlight w:val="white"/>
        </w:rPr>
        <w:t>and efficiency of our LOS coupled with the liquidity access that Figure Connect provides will continue to attract new origination partners.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Add Incremental Products and Markets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proven track record of innovating and delivering new products through our platform. From inception to the quarter ended March 31, 2025, over $14 billion of loans were originated using our automated underwriting process on our LOS. Our technology was first used to originate 1st and 2nd lien HELOC products and has been expanded to underwrite and originate loans secured by digital assets. We believe our performance across different products within the home equity market serves as a testament to the quality of our platform, the diversity and depth of our acquisition strategies, and our ability to rapidly enter, innovate, and become a category leader in a market.</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example, our LOS has been adapted to originate debt service coverage ratio (“DSCR”) loans to provide greater flexibility for borrowers seeking to finance rental properties. This caters to the growing demand for rental properties and the increased popularity of DSCR loans. Additionally, we have the infrastructure in place to originate personal loans and student loans, and we believe we can effectively scale in these markets. Adding new loan products will allow us to generate volume across different market and rate environments, as well as bolster our servicing portfolio. Furthermore, we anticipate that the introduction of additional products will enhance our trading offerings. As these products gain mass adoption, we expect an increase in both buyer demand and liquidity, contributing to the overall expansion of the market.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Expand Figure Connect Volume</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Figure Connect enables the trading of assets originated via our LOS. Since launch in June 2024 to March 2025, approximately $1 billion of loans were traded on Figure Connect. With ample room for growth, we have identified the following initiatives as avenues for expanding Figure Connect transaction volume:</w:t>
      </w:r>
    </w:p>
    <w:p>
      <w:pPr>
        <w:spacing w:after="0" w:line="117" w:lineRule="exact"/>
        <w:rPr>
          <w:sz w:val="20"/>
          <w:szCs w:val="20"/>
          <w:color w:val="auto"/>
        </w:rPr>
      </w:pPr>
    </w:p>
    <w:p>
      <w:pPr>
        <w:jc w:val="both"/>
        <w:ind w:left="640" w:hanging="322"/>
        <w:spacing w:after="0" w:line="26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Onboarding new loan buyers: </w:t>
      </w:r>
      <w:r>
        <w:rPr>
          <w:rFonts w:ascii="Arial" w:cs="Arial" w:eastAsia="Arial" w:hAnsi="Arial"/>
          <w:sz w:val="18"/>
          <w:szCs w:val="18"/>
          <w:color w:val="auto"/>
        </w:rPr>
        <w:t>With 23 new investors onboarded to the marketplace since launch in June 2024,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we can continue to increase the number of participants on Figure Connect, significantly contributing to the overall growth of transaction activity.</w:t>
      </w:r>
    </w:p>
    <w:p>
      <w:pPr>
        <w:spacing w:after="0" w:line="116"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Increase marketplace liquidity: </w:t>
      </w:r>
      <w:r>
        <w:rPr>
          <w:rFonts w:ascii="Arial" w:cs="Arial" w:eastAsia="Arial" w:hAnsi="Arial"/>
          <w:sz w:val="18"/>
          <w:szCs w:val="18"/>
          <w:color w:val="auto"/>
        </w:rPr>
        <w:t>We are looking to expand or replicate initiatives such as our joint venture with</w:t>
      </w:r>
      <w:r>
        <w:rPr>
          <w:rFonts w:ascii="Arial" w:cs="Arial" w:eastAsia="Arial" w:hAnsi="Arial"/>
          <w:sz w:val="18"/>
          <w:szCs w:val="18"/>
          <w:b w:val="1"/>
          <w:bCs w:val="1"/>
          <w:color w:val="auto"/>
        </w:rPr>
        <w:t xml:space="preserve"> </w:t>
      </w:r>
      <w:r>
        <w:rPr>
          <w:rFonts w:ascii="Arial" w:cs="Arial" w:eastAsia="Arial" w:hAnsi="Arial"/>
          <w:sz w:val="18"/>
          <w:szCs w:val="18"/>
          <w:color w:val="auto"/>
        </w:rPr>
        <w:t>Sixth Street Partners, which grants our origination partners the option to sell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82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right="20"/>
        <w:spacing w:after="0" w:line="287" w:lineRule="auto"/>
        <w:rPr>
          <w:sz w:val="20"/>
          <w:szCs w:val="20"/>
          <w:color w:val="auto"/>
        </w:rPr>
      </w:pPr>
      <w:r>
        <w:rPr>
          <w:rFonts w:ascii="Arial" w:cs="Arial" w:eastAsia="Arial" w:hAnsi="Arial"/>
          <w:sz w:val="18"/>
          <w:szCs w:val="18"/>
          <w:color w:val="auto"/>
        </w:rPr>
        <w:t>their production to a Guarantor Vehicle, offering them consistent execution and improved pricing, which ultimately drives Figure Connect volume through increased liquidity.</w:t>
      </w:r>
    </w:p>
    <w:p>
      <w:pPr>
        <w:spacing w:after="0" w:line="99" w:lineRule="exact"/>
        <w:rPr>
          <w:sz w:val="20"/>
          <w:szCs w:val="20"/>
          <w:color w:val="auto"/>
        </w:rPr>
      </w:pPr>
    </w:p>
    <w:p>
      <w:pPr>
        <w:jc w:val="both"/>
        <w:ind w:left="640" w:hanging="322"/>
        <w:spacing w:after="0" w:line="262"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Inclusion of third-party homogeneous assets: </w:t>
      </w:r>
      <w:r>
        <w:rPr>
          <w:rFonts w:ascii="Arial" w:cs="Arial" w:eastAsia="Arial" w:hAnsi="Arial"/>
          <w:sz w:val="18"/>
          <w:szCs w:val="18"/>
          <w:color w:val="auto"/>
        </w:rPr>
        <w:t>We are introducing a Figure Certified program that employs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technology to validate assets originated by third parties outside of our platform against our LOS underwriting guidelines. Figure Certified loans would be allowed to transact in Figure Connect, increasing the scope of our marketplace beyond our LOS originated assets without losing the benefits of homogeneous collateral.</w:t>
      </w:r>
    </w:p>
    <w:p>
      <w:pPr>
        <w:spacing w:after="0" w:line="122" w:lineRule="exact"/>
        <w:rPr>
          <w:rFonts w:ascii="Arial" w:cs="Arial" w:eastAsia="Arial" w:hAnsi="Arial"/>
          <w:sz w:val="18"/>
          <w:szCs w:val="18"/>
          <w:color w:val="auto"/>
        </w:rPr>
      </w:pPr>
    </w:p>
    <w:p>
      <w:pPr>
        <w:jc w:val="both"/>
        <w:ind w:left="640" w:hanging="322"/>
        <w:spacing w:after="0" w:line="259"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of new products and related markets: </w:t>
      </w:r>
      <w:r>
        <w:rPr>
          <w:rFonts w:ascii="Arial" w:cs="Arial" w:eastAsia="Arial" w:hAnsi="Arial"/>
          <w:sz w:val="18"/>
          <w:szCs w:val="18"/>
          <w:color w:val="auto"/>
        </w:rPr>
        <w:t>As our LOS offering broadens to other consumer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loans and digital assets, Figure Connect has the necessary infrastructure to support originators in selling asset production to investors with certainty of execution. Within this ecosystem, we envision the development of a forward market linked to underlying asset production, similar to the operation of TBA securities in the Fannie Mae and Freddie Mac loan trading market.</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expect Figure Exchange to be the venue for market making and trading of this related market where Figure loan originators will be able to sell forward their collateral production into future securitizations, thereby mitigating interest rate risk. The related securities, backed by blockchain native assets, including TBAs and bonds issued in securitizations, are expected to trade seamlessly on Figure Exchange.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Launch Additional Products and Capabilities on Figure Exchange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 Exchange technology is applicable to a broad range of products, including securities backed by tokenized real-world assets. We plan to add tokenized real-world assets to our ATS to increase participants and volume. For example, we are granting Figure Exchange customers access to private company equity offered for secondary trading and bankruptcy claims created on-chain, effectively providing liquidity in these illiquid markets. Our registered broker-dealer presents a secondary trading opportunity for the loans that are originated and funded through Figure Connect. Specifically, once these assets flow through Figure Connect and the corresponding securitization markets, they are expected to be traded on Figure Exchange. As the spectrum of listed digital assets increases on Figure Exchange, the benefits of our democratized prime offering will become more noticeable, fostering heightened disintermediated trading activity and further unlocking growth and liquidity.</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Drive YLDS Adoption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plan to build out an institutional sales team that is focused on encouraging usage of YLDS by asset managers, fintechs, banks, market makers, exchanges, and other financial market participants. Additionally, we will target retail users via social media outreach, paid ads and other online marketing channels. We believe that the custody and settlement advantages provided by Provenance Blockchain, combined with the credit quality and yield-product nature of the underlying assets that back YLDS, will prove to be a compelling value proposition for users and accelerate adoption. To drive initial adoption, Figure offers lower prices to early institutional buyers.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Innovate on Technology Stack</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Continuous innovation in our technology stack is a critical lever for our future growth. We expect to continue to introduce new products and services, and to develop new capabilities that will streamline underwriting, enhance loan registration, and optimize trading efficiency and portfolio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0"/>
          </w:cols>
          <w:pgMar w:left="1000" w:top="1440" w:right="99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59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35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Technology has allowed us to pursue multiple avenues of expansion today, and we want to continue to invest into it to drive future innovations, executing on what we see as a substantial runway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w:t>
      </w:r>
      <w:r>
        <w:rPr>
          <w:rFonts w:ascii="Arial" w:cs="Arial" w:eastAsia="Arial" w:hAnsi="Arial"/>
          <w:sz w:val="18"/>
          <w:szCs w:val="18"/>
          <w:u w:val="single" w:color="auto"/>
          <w:color w:val="0000FF"/>
        </w:rPr>
        <w:t>Risk</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Factors</w:t>
      </w:r>
      <w:r>
        <w:rPr>
          <w:rFonts w:ascii="Arial" w:cs="Arial" w:eastAsia="Arial" w:hAnsi="Arial"/>
          <w:sz w:val="18"/>
          <w:szCs w:val="18"/>
          <w:color w:val="000000"/>
        </w:rPr>
        <w:t>” immediately following this prospectus summary. The following is a summary of the principal risks we face:</w:t>
      </w:r>
    </w:p>
    <w:p>
      <w:pPr>
        <w:spacing w:after="0" w:line="99" w:lineRule="exact"/>
        <w:rPr>
          <w:sz w:val="20"/>
          <w:szCs w:val="20"/>
          <w:color w:val="auto"/>
        </w:rPr>
      </w:pPr>
    </w:p>
    <w:p>
      <w:pPr>
        <w:ind w:left="640" w:right="2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we may not be able to maintain profitability in the future, and there is no assurance that our revenue and business model will be successful.</w:t>
      </w:r>
    </w:p>
    <w:p>
      <w:pPr>
        <w:spacing w:after="0" w:line="98"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98" w:lineRule="exact"/>
        <w:rPr>
          <w:rFonts w:ascii="Arial" w:cs="Arial" w:eastAsia="Arial" w:hAnsi="Arial"/>
          <w:sz w:val="18"/>
          <w:szCs w:val="18"/>
          <w:color w:val="auto"/>
        </w:rPr>
      </w:pPr>
    </w:p>
    <w:p>
      <w:pPr>
        <w:jc w:val="both"/>
        <w:ind w:left="64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and ability to develop our lending business depend on retaining and expanding our reach through both our Figure-branded and Partner-branded strategies. If we or our partners fail to add new borrowers or customers, as applicable, our business, financial condition, and results of operations could be adversely affected.</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116"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116"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2"/>
        <w:spacing w:after="0" w:line="287" w:lineRule="auto"/>
        <w:rPr>
          <w:sz w:val="20"/>
          <w:szCs w:val="20"/>
          <w:color w:val="auto"/>
        </w:rPr>
      </w:pPr>
      <w:r>
        <w:rPr>
          <w:rFonts w:ascii="Arial" w:cs="Arial" w:eastAsia="Arial" w:hAnsi="Arial"/>
          <w:sz w:val="18"/>
          <w:szCs w:val="18"/>
          <w:color w:val="auto"/>
        </w:rPr>
        <w:t>limited to, through litigation (including damages), investigation, enforcement and other regulatory and legal action and penalties.</w:t>
      </w:r>
    </w:p>
    <w:p>
      <w:pPr>
        <w:spacing w:after="0" w:line="99" w:lineRule="exact"/>
        <w:rPr>
          <w:sz w:val="20"/>
          <w:szCs w:val="20"/>
          <w:color w:val="auto"/>
        </w:rPr>
      </w:pPr>
    </w:p>
    <w:p>
      <w:pPr>
        <w:jc w:val="both"/>
        <w:ind w:left="322" w:hanging="322"/>
        <w:spacing w:after="0" w:line="262"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122" w:lineRule="exact"/>
        <w:rPr>
          <w:rFonts w:ascii="Arial" w:cs="Arial" w:eastAsia="Arial" w:hAnsi="Arial"/>
          <w:sz w:val="18"/>
          <w:szCs w:val="18"/>
          <w:color w:val="auto"/>
        </w:rPr>
      </w:pPr>
    </w:p>
    <w:p>
      <w:pPr>
        <w:jc w:val="both"/>
        <w:ind w:left="322" w:right="20" w:hanging="322"/>
        <w:spacing w:after="0" w:line="259"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125"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116"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98" w:lineRule="exact"/>
        <w:rPr>
          <w:rFonts w:ascii="Arial" w:cs="Arial" w:eastAsia="Arial" w:hAnsi="Arial"/>
          <w:sz w:val="18"/>
          <w:szCs w:val="18"/>
          <w:color w:val="auto"/>
        </w:rPr>
      </w:pPr>
    </w:p>
    <w:p>
      <w:pPr>
        <w:jc w:val="both"/>
        <w:ind w:left="322" w:right="20" w:hanging="322"/>
        <w:spacing w:after="0" w:line="262"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122"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116"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or facilitate compliance with a variety of federal, state, and local laws, including those related to lending and mortgages, money transmission, consumer protection, financial services and loan financings.</w:t>
      </w:r>
    </w:p>
    <w:p>
      <w:pPr>
        <w:spacing w:after="0" w:line="98"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marketing practices involving relationships with third parties may expose us to risks of alleged Real Estate Settlement Procedures Act (the “RESPA”) violations.</w:t>
      </w:r>
    </w:p>
    <w:p>
      <w:pPr>
        <w:spacing w:after="0" w:line="98"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116" w:lineRule="exact"/>
        <w:rPr>
          <w:rFonts w:ascii="Arial" w:cs="Arial" w:eastAsia="Arial" w:hAnsi="Arial"/>
          <w:sz w:val="18"/>
          <w:szCs w:val="18"/>
          <w:color w:val="auto"/>
        </w:rPr>
      </w:pPr>
    </w:p>
    <w:p>
      <w:pPr>
        <w:jc w:val="both"/>
        <w:ind w:left="322" w:hanging="322"/>
        <w:spacing w:after="0" w:line="26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116" w:lineRule="exact"/>
        <w:rPr>
          <w:rFonts w:ascii="Arial" w:cs="Arial" w:eastAsia="Arial" w:hAnsi="Arial"/>
          <w:sz w:val="18"/>
          <w:szCs w:val="18"/>
          <w:color w:val="auto"/>
        </w:rPr>
      </w:pPr>
    </w:p>
    <w:p>
      <w:pPr>
        <w:jc w:val="both"/>
        <w:ind w:left="322" w:right="20" w:hanging="322"/>
        <w:spacing w:after="0" w:line="26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116" w:lineRule="exact"/>
        <w:rPr>
          <w:rFonts w:ascii="Arial" w:cs="Arial" w:eastAsia="Arial" w:hAnsi="Arial"/>
          <w:sz w:val="18"/>
          <w:szCs w:val="18"/>
          <w:color w:val="auto"/>
        </w:rPr>
      </w:pPr>
    </w:p>
    <w:p>
      <w:pPr>
        <w:jc w:val="both"/>
        <w:ind w:left="322" w:right="20" w:hanging="322"/>
        <w:spacing w:after="0" w:line="268"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38"/>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582"/>
          </w:cols>
          <w:pgMar w:left="1318" w:top="1440" w:right="99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90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spacing w:after="0" w:line="287" w:lineRule="auto"/>
        <w:rPr>
          <w:sz w:val="20"/>
          <w:szCs w:val="20"/>
          <w:color w:val="auto"/>
        </w:rPr>
      </w:pPr>
      <w:r>
        <w:rPr>
          <w:rFonts w:ascii="Arial" w:cs="Arial" w:eastAsia="Arial" w:hAnsi="Arial"/>
          <w:sz w:val="18"/>
          <w:szCs w:val="18"/>
          <w:color w:val="auto"/>
        </w:rPr>
        <w:t>ability to compete, which could have a material adverse effect on our business, financial condition, and results of operations.</w:t>
      </w:r>
    </w:p>
    <w:p>
      <w:pPr>
        <w:spacing w:after="0" w:line="99" w:lineRule="exact"/>
        <w:rPr>
          <w:sz w:val="20"/>
          <w:szCs w:val="20"/>
          <w:color w:val="auto"/>
        </w:rPr>
      </w:pPr>
    </w:p>
    <w:p>
      <w:pPr>
        <w:jc w:val="both"/>
        <w:ind w:left="640" w:hanging="322"/>
        <w:spacing w:after="0" w:line="25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125" w:lineRule="exact"/>
        <w:rPr>
          <w:rFonts w:ascii="Arial" w:cs="Arial" w:eastAsia="Arial" w:hAnsi="Arial"/>
          <w:sz w:val="18"/>
          <w:szCs w:val="18"/>
          <w:color w:val="auto"/>
        </w:rPr>
      </w:pPr>
    </w:p>
    <w:p>
      <w:pPr>
        <w:jc w:val="both"/>
        <w:ind w:left="640" w:hanging="322"/>
        <w:spacing w:after="0" w:line="26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122" w:lineRule="exact"/>
        <w:rPr>
          <w:rFonts w:ascii="Arial" w:cs="Arial" w:eastAsia="Arial" w:hAnsi="Arial"/>
          <w:sz w:val="18"/>
          <w:szCs w:val="18"/>
          <w:color w:val="auto"/>
        </w:rPr>
      </w:pPr>
    </w:p>
    <w:p>
      <w:pPr>
        <w:ind w:left="640" w:hanging="32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price of our Class A common stock may be volatile, and you could lose all or part of your investment.</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Our Risk Factors are not guarantees that no such conditions exist as of the date of this prospectus and should not be interpreted as an affirmative statement that such risks or conditions have not materialized, in whole or in part.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legacy business of the “Figure” group was conducted through FT and its subsidiaries. FT was formed in 2018 and FLC was a wholly-owned subsidiary of FT from its formation in 2018 until the Separation. On January 25, 2024 and March 18, 2024, respectively, in connection with and to effectuate the Separation, FT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the Separation, we also entered into certain other agreements to provide a framework for our relationship with FMH after the Separation. For additional information, see the section titled “Certain Relationships and Related Party Transactions.”</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Additionally, in connection with the Separation, we assumed the 2018 Equity Incentive Plan, as amended, of FT (the “2018 Plan”), and all awards outstanding thereunder which we terminated as of one business day prior to the effectiveness of the registration statement of which this prospectus forms a part. However, each award outstanding under the 2018 Plan continues to be governed by the terms and conditions of the 2018 Plan following the effectiveness of the registration statement of which this prospectus forms a part. For additional information, see the section titled “Executive Compensation —2018 Equity Incentive Plan.”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April 28, 2025, FTI converted from a Delaware corporation to a Nevada corporation.</w:t>
      </w:r>
    </w:p>
    <w:p>
      <w:pPr>
        <w:spacing w:after="0" w:line="171"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2025, we completed a series of transactions to effectuate the Recombination, which included:</w:t>
      </w:r>
    </w:p>
    <w:p>
      <w:pPr>
        <w:spacing w:after="0" w:line="171" w:lineRule="exact"/>
        <w:rPr>
          <w:sz w:val="20"/>
          <w:szCs w:val="20"/>
          <w:color w:val="auto"/>
        </w:rPr>
      </w:pPr>
    </w:p>
    <w:p>
      <w:pPr>
        <w:ind w:left="640" w:right="20" w:hanging="322"/>
        <w:spacing w:after="0" w:line="28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FTI creating a new subsidiary named Figure Merger Sub, Inc., a Nevada corporation (“FMS”), as a wholly-owned subsidiary of FTI; and</w:t>
      </w:r>
    </w:p>
    <w:p>
      <w:pPr>
        <w:spacing w:after="0" w:line="98"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FMS merging with and into FMH, with FMH surviving the merger as a wholly-owned subsidiary of FTI.</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1000" w:top="1440" w:right="99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27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direct and indirect subsidiaries.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simplified diagram below depicts our organizational structure following the Recombination and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For additional information, see the sections titled “Risk Factors—Risks Related to the Recombination” and “Certain Relationships and Related Party Transactions.”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press releases, public conference calls, and webcasts.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 However, information disclosed through these channels does not constitute part of this prospectus and is not incorporated by reference herein.</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intend to post any updates to the list of disclosure channels through which we will announce information on the investor relations page on our website.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900"/>
          </w:cols>
          <w:pgMar w:left="1000" w:top="1440" w:right="99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FTI is the issuer of the Class A common stock offered by this prospectus. FTI was formed and incorporated in the State of Delaware on March 18, 2024. On April 28, 2025, FTI converted to a Nevada corporation. Our principal executive offices are located at 5 Bryant Park, 34th Floor, New York, NY 10018. Our telephone number is (917) 789 8049. Our website is https://www.figure.com. Information contained on, or that can be accessed through, our website is not a part of, and is not incorporated into, this prospectus, and the inclusion of our website address in this prospectus is an inactive textual reference only.</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use Figure, the Figure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an endorsement or sponsorship of, any other entity.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117"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71"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98"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compliance with the requirement of the Public Company Accounting Oversight Board, regarding the communication of critical audit matters in the auditor’s report on the financial statements;</w:t>
      </w:r>
    </w:p>
    <w:p>
      <w:pPr>
        <w:spacing w:after="0" w:line="98"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71" w:lineRule="exact"/>
        <w:rPr>
          <w:rFonts w:ascii="Arial" w:cs="Arial" w:eastAsia="Arial" w:hAnsi="Arial"/>
          <w:sz w:val="18"/>
          <w:szCs w:val="18"/>
          <w:color w:val="auto"/>
        </w:rPr>
      </w:pPr>
    </w:p>
    <w:p>
      <w:pPr>
        <w:ind w:left="640" w:right="20" w:hanging="322"/>
        <w:spacing w:after="0" w:line="28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$1.235 billion in annual revenue; (ii) the date we qualify as a “large accelerated filer,” with at least $ 700.0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900"/>
          </w:cols>
          <w:pgMar w:left="1000" w:top="1440" w:right="99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1675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7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additional information, see the section titled “Risk Factors—Risks Related to Ownership of Our Securities—We are an ‘emerging growth company,’ and we cannot be certain if the reduced disclosure requirements applicable to emerging growth companies will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0"/>
          </w:cols>
          <w:pgMar w:left="1000" w:top="1440" w:right="9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884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88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440"/>
          </w:cols>
          <w:pgMar w:left="1340" w:top="1440" w:right="111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Underwriters’ option to purchase additional shares of Class A common stock from us</w:t>
      </w:r>
    </w:p>
    <w:p>
      <w:pPr>
        <w:spacing w:after="0" w:line="31" w:lineRule="exact"/>
        <w:rPr>
          <w:sz w:val="20"/>
          <w:szCs w:val="20"/>
          <w:color w:val="auto"/>
        </w:rPr>
      </w:pPr>
    </w:p>
    <w:p>
      <w:pPr>
        <w:ind w:left="160" w:right="20" w:hanging="161"/>
        <w:spacing w:after="0" w:line="256" w:lineRule="auto"/>
        <w:rPr>
          <w:sz w:val="20"/>
          <w:szCs w:val="20"/>
          <w:color w:val="auto"/>
        </w:rPr>
      </w:pPr>
      <w:r>
        <w:rPr>
          <w:rFonts w:ascii="Arial" w:cs="Arial" w:eastAsia="Arial" w:hAnsi="Arial"/>
          <w:sz w:val="18"/>
          <w:szCs w:val="18"/>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2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140" w:firstLine="500"/>
        <w:spacing w:after="0" w:line="256"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31" w:lineRule="exact"/>
        <w:rPr>
          <w:sz w:val="20"/>
          <w:szCs w:val="20"/>
          <w:color w:val="auto"/>
        </w:rPr>
      </w:pPr>
    </w:p>
    <w:p>
      <w:pPr>
        <w:sectPr>
          <w:pgSz w:w="11900" w:h="16838" w:orient="portrait"/>
          <w:cols w:equalWidth="0" w:num="2">
            <w:col w:w="4700" w:space="40"/>
            <w:col w:w="4700"/>
          </w:cols>
          <w:pgMar w:left="1340" w:top="1440" w:right="1119" w:bottom="1440" w:gutter="0" w:footer="0" w:header="0"/>
          <w:type w:val="continuous"/>
        </w:sectPr>
      </w:pPr>
    </w:p>
    <w:p>
      <w:pPr>
        <w:ind w:left="160" w:hanging="161"/>
        <w:spacing w:after="0" w:line="256" w:lineRule="auto"/>
        <w:rPr>
          <w:sz w:val="20"/>
          <w:szCs w:val="20"/>
          <w:color w:val="auto"/>
        </w:rPr>
      </w:pPr>
      <w:r>
        <w:rPr>
          <w:rFonts w:ascii="Arial" w:cs="Arial" w:eastAsia="Arial" w:hAnsi="Arial"/>
          <w:sz w:val="18"/>
          <w:szCs w:val="18"/>
          <w:color w:val="auto"/>
        </w:rPr>
        <w:t>Class B common stock to be outstanding immediately after this offering</w:t>
      </w:r>
    </w:p>
    <w:p>
      <w:pPr>
        <w:spacing w:after="0" w:line="31" w:lineRule="exact"/>
        <w:rPr>
          <w:sz w:val="20"/>
          <w:szCs w:val="20"/>
          <w:color w:val="auto"/>
        </w:rPr>
      </w:pPr>
    </w:p>
    <w:p>
      <w:pPr>
        <w:ind w:left="160" w:hanging="161"/>
        <w:spacing w:after="0" w:line="256" w:lineRule="auto"/>
        <w:rPr>
          <w:sz w:val="20"/>
          <w:szCs w:val="20"/>
          <w:color w:val="auto"/>
        </w:rPr>
      </w:pPr>
      <w:r>
        <w:rPr>
          <w:rFonts w:ascii="Arial" w:cs="Arial" w:eastAsia="Arial" w:hAnsi="Arial"/>
          <w:sz w:val="18"/>
          <w:szCs w:val="18"/>
          <w:color w:val="auto"/>
        </w:rPr>
        <w:t>Total Class A common stock and Class B common stock to be outstanding immediately after this offering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right="140" w:firstLine="500"/>
        <w:spacing w:after="0" w:line="256"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3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We estimate that the net proceeds to us from the sale of shares of our Class A common stock in this offering will be</w:t>
      </w:r>
    </w:p>
    <w:p>
      <w:pPr>
        <w:spacing w:after="0" w:line="217" w:lineRule="auto"/>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(or approximately</w:t>
      </w:r>
    </w:p>
    <w:p>
      <w:pPr>
        <w:ind w:right="240" w:firstLine="8"/>
        <w:spacing w:after="0" w:line="211"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in full), based upon the</w:t>
      </w:r>
    </w:p>
    <w:p>
      <w:pPr>
        <w:spacing w:after="0" w:line="1"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w:t>
      </w:r>
    </w:p>
    <w:p>
      <w:pPr>
        <w:spacing w:after="0" w:line="1" w:lineRule="exact"/>
        <w:rPr>
          <w:sz w:val="20"/>
          <w:szCs w:val="20"/>
          <w:color w:val="auto"/>
        </w:rPr>
      </w:pPr>
    </w:p>
    <w:p>
      <w:pPr>
        <w:jc w:val="both"/>
        <w:ind w:right="280"/>
        <w:spacing w:after="0" w:line="221" w:lineRule="auto"/>
        <w:rPr>
          <w:sz w:val="20"/>
          <w:szCs w:val="20"/>
          <w:color w:val="auto"/>
        </w:rPr>
      </w:pPr>
      <w:r>
        <w:rPr>
          <w:rFonts w:ascii="Arial" w:cs="Arial" w:eastAsia="Arial" w:hAnsi="Arial"/>
          <w:sz w:val="18"/>
          <w:szCs w:val="18"/>
          <w:color w:val="auto"/>
        </w:rPr>
        <w:t>set forth on the cover page of this prospectus, and after deducting underwriting discounts and commissions and estimated offering expenses payable by us.</w:t>
      </w:r>
    </w:p>
    <w:p>
      <w:pPr>
        <w:spacing w:after="0" w:line="229" w:lineRule="auto"/>
        <w:rPr>
          <w:sz w:val="20"/>
          <w:szCs w:val="20"/>
          <w:color w:val="auto"/>
        </w:rPr>
      </w:pPr>
      <w:r>
        <w:rPr>
          <w:rFonts w:ascii="Arial" w:cs="Arial" w:eastAsia="Arial" w:hAnsi="Arial"/>
          <w:sz w:val="18"/>
          <w:szCs w:val="18"/>
          <w:color w:val="auto"/>
        </w:rPr>
        <w:t>The principal purposes of this offering are to increase our</w:t>
      </w:r>
    </w:p>
    <w:p>
      <w:pPr>
        <w:spacing w:after="0" w:line="221" w:lineRule="auto"/>
        <w:rPr>
          <w:sz w:val="20"/>
          <w:szCs w:val="20"/>
          <w:color w:val="auto"/>
        </w:rPr>
      </w:pPr>
      <w:r>
        <w:rPr>
          <w:rFonts w:ascii="Arial" w:cs="Arial" w:eastAsia="Arial" w:hAnsi="Arial"/>
          <w:sz w:val="17"/>
          <w:szCs w:val="17"/>
          <w:color w:val="auto"/>
        </w:rPr>
        <w:t>capitalization and financial flexibility, create a public market for our Class A common stock, facilitate future access to the public equity markets by us, our employees, and our</w:t>
      </w:r>
    </w:p>
    <w:p>
      <w:pPr>
        <w:spacing w:after="0" w:line="208" w:lineRule="auto"/>
        <w:rPr>
          <w:sz w:val="20"/>
          <w:szCs w:val="20"/>
          <w:color w:val="auto"/>
        </w:rPr>
      </w:pPr>
      <w:r>
        <w:rPr>
          <w:rFonts w:ascii="Arial" w:cs="Arial" w:eastAsia="Arial" w:hAnsi="Arial"/>
          <w:sz w:val="18"/>
          <w:szCs w:val="18"/>
          <w:color w:val="auto"/>
        </w:rPr>
        <w:t>stockholders, and increase our visibility in the marketplace. We intend to use the net proceeds from this offering for general corporate purposes, including working capital,</w:t>
      </w:r>
    </w:p>
    <w:p>
      <w:pPr>
        <w:spacing w:after="0" w:line="2"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operating expenses, and capital expenditures. Additionally, we may use a portion of the net proceeds to acquire or invest in businesses, products, services, or technologies.</w:t>
      </w:r>
    </w:p>
    <w:p>
      <w:pPr>
        <w:ind w:right="80"/>
        <w:spacing w:after="0" w:line="208" w:lineRule="auto"/>
        <w:rPr>
          <w:sz w:val="20"/>
          <w:szCs w:val="20"/>
          <w:color w:val="auto"/>
        </w:rPr>
      </w:pPr>
      <w:r>
        <w:rPr>
          <w:rFonts w:ascii="Arial" w:cs="Arial" w:eastAsia="Arial" w:hAnsi="Arial"/>
          <w:sz w:val="18"/>
          <w:szCs w:val="18"/>
          <w:color w:val="auto"/>
        </w:rPr>
        <w:t>However, we do not have agreements or commitments for any material acquisitions or investments at this time. For additional information, see the section titled “Use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Proceeds.”</w:t>
      </w:r>
    </w:p>
    <w:p>
      <w:pPr>
        <w:spacing w:after="0" w:line="5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Each share of our Class A common stock will be entitled to one vote per share.</w:t>
      </w:r>
    </w:p>
    <w:p>
      <w:pPr>
        <w:ind w:right="20"/>
        <w:spacing w:after="0" w:line="245" w:lineRule="auto"/>
        <w:rPr>
          <w:sz w:val="20"/>
          <w:szCs w:val="20"/>
          <w:color w:val="auto"/>
        </w:rPr>
      </w:pPr>
      <w:r>
        <w:rPr>
          <w:rFonts w:ascii="Arial" w:cs="Arial" w:eastAsia="Arial" w:hAnsi="Arial"/>
          <w:sz w:val="18"/>
          <w:szCs w:val="18"/>
          <w:color w:val="auto"/>
        </w:rPr>
        <w:t>Each share of our Class B common stock will be entitled to ten votes per share.</w:t>
      </w:r>
    </w:p>
    <w:p>
      <w:pPr>
        <w:spacing w:after="0" w:line="200" w:lineRule="exact"/>
        <w:rPr>
          <w:sz w:val="20"/>
          <w:szCs w:val="20"/>
          <w:color w:val="auto"/>
        </w:rPr>
      </w:pPr>
    </w:p>
    <w:p>
      <w:pPr>
        <w:sectPr>
          <w:pgSz w:w="11900" w:h="16838" w:orient="portrait"/>
          <w:cols w:equalWidth="0" w:num="2">
            <w:col w:w="4680" w:space="60"/>
            <w:col w:w="4700"/>
          </w:cols>
          <w:pgMar w:left="1340" w:top="1440"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440"/>
          </w:cols>
          <w:pgMar w:left="1340" w:top="1440" w:right="1119"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6060" w:type="dxa"/>
            <w:vAlign w:val="bottom"/>
            <w:gridSpan w:val="7"/>
          </w:tcPr>
          <w:p>
            <w:pPr>
              <w:ind w:left="1380"/>
              <w:spacing w:after="0"/>
              <w:rPr>
                <w:sz w:val="20"/>
                <w:szCs w:val="20"/>
                <w:color w:val="auto"/>
              </w:rPr>
            </w:pPr>
            <w:r>
              <w:rPr>
                <w:rFonts w:ascii="Arial" w:cs="Arial" w:eastAsia="Arial" w:hAnsi="Arial"/>
                <w:sz w:val="18"/>
                <w:szCs w:val="18"/>
                <w:color w:val="auto"/>
              </w:rPr>
              <w:t>Holders of our Class A common stock and Class B</w:t>
            </w:r>
          </w:p>
        </w:tc>
      </w:tr>
      <w:tr>
        <w:trPr>
          <w:trHeight w:val="181"/>
        </w:trPr>
        <w:tc>
          <w:tcPr>
            <w:tcW w:w="3360" w:type="dxa"/>
            <w:vAlign w:val="bottom"/>
          </w:tcPr>
          <w:p>
            <w:pPr>
              <w:spacing w:after="0"/>
              <w:rPr>
                <w:sz w:val="15"/>
                <w:szCs w:val="15"/>
                <w:color w:val="auto"/>
              </w:rPr>
            </w:pPr>
          </w:p>
        </w:tc>
        <w:tc>
          <w:tcPr>
            <w:tcW w:w="6060" w:type="dxa"/>
            <w:vAlign w:val="bottom"/>
            <w:gridSpan w:val="7"/>
          </w:tcPr>
          <w:p>
            <w:pPr>
              <w:ind w:left="1380"/>
              <w:spacing w:after="0" w:line="181" w:lineRule="exact"/>
              <w:rPr>
                <w:sz w:val="20"/>
                <w:szCs w:val="20"/>
                <w:color w:val="auto"/>
              </w:rPr>
            </w:pPr>
            <w:r>
              <w:rPr>
                <w:rFonts w:ascii="Arial" w:cs="Arial" w:eastAsia="Arial" w:hAnsi="Arial"/>
                <w:sz w:val="18"/>
                <w:szCs w:val="18"/>
                <w:color w:val="auto"/>
              </w:rPr>
              <w:t>common stock will generally vote together as a single</w:t>
            </w: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class, unless otherwise required by law or our amended</w:t>
            </w:r>
          </w:p>
        </w:tc>
      </w:tr>
      <w:tr>
        <w:trPr>
          <w:trHeight w:val="184"/>
        </w:trPr>
        <w:tc>
          <w:tcPr>
            <w:tcW w:w="3360" w:type="dxa"/>
            <w:vAlign w:val="bottom"/>
          </w:tcPr>
          <w:p>
            <w:pPr>
              <w:spacing w:after="0"/>
              <w:rPr>
                <w:sz w:val="15"/>
                <w:szCs w:val="15"/>
                <w:color w:val="auto"/>
              </w:rPr>
            </w:pPr>
          </w:p>
        </w:tc>
        <w:tc>
          <w:tcPr>
            <w:tcW w:w="6060" w:type="dxa"/>
            <w:vAlign w:val="bottom"/>
            <w:gridSpan w:val="7"/>
          </w:tcPr>
          <w:p>
            <w:pPr>
              <w:ind w:left="1380"/>
              <w:spacing w:after="0" w:line="183" w:lineRule="exact"/>
              <w:rPr>
                <w:sz w:val="20"/>
                <w:szCs w:val="20"/>
                <w:color w:val="auto"/>
              </w:rPr>
            </w:pPr>
            <w:r>
              <w:rPr>
                <w:rFonts w:ascii="Arial" w:cs="Arial" w:eastAsia="Arial" w:hAnsi="Arial"/>
                <w:sz w:val="18"/>
                <w:szCs w:val="18"/>
                <w:color w:val="auto"/>
              </w:rPr>
              <w:t>and restated articles of incorporation. Immediately</w:t>
            </w:r>
          </w:p>
        </w:tc>
      </w:tr>
      <w:tr>
        <w:trPr>
          <w:trHeight w:val="181"/>
        </w:trPr>
        <w:tc>
          <w:tcPr>
            <w:tcW w:w="3360" w:type="dxa"/>
            <w:vAlign w:val="bottom"/>
          </w:tcPr>
          <w:p>
            <w:pPr>
              <w:spacing w:after="0"/>
              <w:rPr>
                <w:sz w:val="15"/>
                <w:szCs w:val="15"/>
                <w:color w:val="auto"/>
              </w:rPr>
            </w:pPr>
          </w:p>
        </w:tc>
        <w:tc>
          <w:tcPr>
            <w:tcW w:w="6060" w:type="dxa"/>
            <w:vAlign w:val="bottom"/>
            <w:gridSpan w:val="7"/>
          </w:tcPr>
          <w:p>
            <w:pPr>
              <w:ind w:left="1380"/>
              <w:spacing w:after="0" w:line="181" w:lineRule="exact"/>
              <w:rPr>
                <w:sz w:val="20"/>
                <w:szCs w:val="20"/>
                <w:color w:val="auto"/>
              </w:rPr>
            </w:pPr>
            <w:r>
              <w:rPr>
                <w:rFonts w:ascii="Arial" w:cs="Arial" w:eastAsia="Arial" w:hAnsi="Arial"/>
                <w:sz w:val="18"/>
                <w:szCs w:val="18"/>
                <w:color w:val="auto"/>
              </w:rPr>
              <w:t>following the completion of this offering, Michael Cagney,</w:t>
            </w: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our co-founder and member of our board of directors, and</w:t>
            </w:r>
          </w:p>
        </w:tc>
      </w:tr>
      <w:tr>
        <w:trPr>
          <w:trHeight w:val="184"/>
        </w:trPr>
        <w:tc>
          <w:tcPr>
            <w:tcW w:w="3360" w:type="dxa"/>
            <w:vAlign w:val="bottom"/>
          </w:tcPr>
          <w:p>
            <w:pPr>
              <w:spacing w:after="0"/>
              <w:rPr>
                <w:sz w:val="15"/>
                <w:szCs w:val="15"/>
                <w:color w:val="auto"/>
              </w:rPr>
            </w:pPr>
          </w:p>
        </w:tc>
        <w:tc>
          <w:tcPr>
            <w:tcW w:w="4520" w:type="dxa"/>
            <w:vAlign w:val="bottom"/>
            <w:gridSpan w:val="3"/>
          </w:tcPr>
          <w:p>
            <w:pPr>
              <w:ind w:left="1380"/>
              <w:spacing w:after="0" w:line="183" w:lineRule="exact"/>
              <w:rPr>
                <w:sz w:val="20"/>
                <w:szCs w:val="20"/>
                <w:color w:val="auto"/>
              </w:rPr>
            </w:pPr>
            <w:r>
              <w:rPr>
                <w:rFonts w:ascii="Arial" w:cs="Arial" w:eastAsia="Arial" w:hAnsi="Arial"/>
                <w:sz w:val="18"/>
                <w:szCs w:val="18"/>
                <w:color w:val="auto"/>
              </w:rPr>
              <w:t>his permitted transferees, will hold</w:t>
            </w:r>
          </w:p>
        </w:tc>
        <w:tc>
          <w:tcPr>
            <w:tcW w:w="1540" w:type="dxa"/>
            <w:vAlign w:val="bottom"/>
            <w:gridSpan w:val="4"/>
          </w:tcPr>
          <w:p>
            <w:pPr>
              <w:jc w:val="right"/>
              <w:ind w:right="40"/>
              <w:spacing w:after="0" w:line="183" w:lineRule="exact"/>
              <w:rPr>
                <w:sz w:val="20"/>
                <w:szCs w:val="20"/>
                <w:color w:val="auto"/>
              </w:rPr>
            </w:pPr>
            <w:r>
              <w:rPr>
                <w:rFonts w:ascii="Arial" w:cs="Arial" w:eastAsia="Arial" w:hAnsi="Arial"/>
                <w:sz w:val="18"/>
                <w:szCs w:val="18"/>
                <w:color w:val="auto"/>
              </w:rPr>
              <w:t>shares of Class B</w:t>
            </w:r>
          </w:p>
        </w:tc>
      </w:tr>
      <w:tr>
        <w:trPr>
          <w:trHeight w:val="181"/>
        </w:trPr>
        <w:tc>
          <w:tcPr>
            <w:tcW w:w="3360" w:type="dxa"/>
            <w:vAlign w:val="bottom"/>
          </w:tcPr>
          <w:p>
            <w:pPr>
              <w:spacing w:after="0"/>
              <w:rPr>
                <w:sz w:val="15"/>
                <w:szCs w:val="15"/>
                <w:color w:val="auto"/>
              </w:rPr>
            </w:pPr>
          </w:p>
        </w:tc>
        <w:tc>
          <w:tcPr>
            <w:tcW w:w="5240" w:type="dxa"/>
            <w:vAlign w:val="bottom"/>
            <w:gridSpan w:val="4"/>
          </w:tcPr>
          <w:p>
            <w:pPr>
              <w:ind w:left="1380"/>
              <w:spacing w:after="0" w:line="181" w:lineRule="exact"/>
              <w:rPr>
                <w:sz w:val="20"/>
                <w:szCs w:val="20"/>
                <w:color w:val="auto"/>
              </w:rPr>
            </w:pPr>
            <w:r>
              <w:rPr>
                <w:rFonts w:ascii="Arial" w:cs="Arial" w:eastAsia="Arial" w:hAnsi="Arial"/>
                <w:sz w:val="18"/>
                <w:szCs w:val="18"/>
                <w:color w:val="auto"/>
              </w:rPr>
              <w:t>common stock representing approximately</w:t>
            </w:r>
          </w:p>
        </w:tc>
        <w:tc>
          <w:tcPr>
            <w:tcW w:w="820" w:type="dxa"/>
            <w:vAlign w:val="bottom"/>
            <w:gridSpan w:val="3"/>
          </w:tcPr>
          <w:p>
            <w:pPr>
              <w:jc w:val="right"/>
              <w:ind w:right="140"/>
              <w:spacing w:after="0" w:line="181" w:lineRule="exact"/>
              <w:rPr>
                <w:sz w:val="20"/>
                <w:szCs w:val="20"/>
                <w:color w:val="auto"/>
              </w:rPr>
            </w:pPr>
            <w:r>
              <w:rPr>
                <w:rFonts w:ascii="Arial" w:cs="Arial" w:eastAsia="Arial" w:hAnsi="Arial"/>
                <w:sz w:val="18"/>
                <w:szCs w:val="18"/>
                <w:color w:val="auto"/>
                <w:w w:val="99"/>
              </w:rPr>
              <w:t>% of the</w:t>
            </w: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w w:val="99"/>
              </w:rPr>
              <w:t>voting power of our outstanding capital stock, assuming no</w:t>
            </w:r>
          </w:p>
        </w:tc>
      </w:tr>
      <w:tr>
        <w:trPr>
          <w:trHeight w:val="184"/>
        </w:trPr>
        <w:tc>
          <w:tcPr>
            <w:tcW w:w="3360" w:type="dxa"/>
            <w:vAlign w:val="bottom"/>
          </w:tcPr>
          <w:p>
            <w:pPr>
              <w:spacing w:after="0"/>
              <w:rPr>
                <w:sz w:val="15"/>
                <w:szCs w:val="15"/>
                <w:color w:val="auto"/>
              </w:rPr>
            </w:pPr>
          </w:p>
        </w:tc>
        <w:tc>
          <w:tcPr>
            <w:tcW w:w="6060" w:type="dxa"/>
            <w:vAlign w:val="bottom"/>
            <w:gridSpan w:val="7"/>
          </w:tcPr>
          <w:p>
            <w:pPr>
              <w:ind w:left="1380"/>
              <w:spacing w:after="0" w:line="183" w:lineRule="exact"/>
              <w:rPr>
                <w:sz w:val="20"/>
                <w:szCs w:val="20"/>
                <w:color w:val="auto"/>
              </w:rPr>
            </w:pPr>
            <w:r>
              <w:rPr>
                <w:rFonts w:ascii="Arial" w:cs="Arial" w:eastAsia="Arial" w:hAnsi="Arial"/>
                <w:sz w:val="18"/>
                <w:szCs w:val="18"/>
                <w:color w:val="auto"/>
              </w:rPr>
              <w:t>exercise of the underwriters’ option to purchase additional</w:t>
            </w:r>
          </w:p>
        </w:tc>
      </w:tr>
      <w:tr>
        <w:trPr>
          <w:trHeight w:val="181"/>
        </w:trPr>
        <w:tc>
          <w:tcPr>
            <w:tcW w:w="3360" w:type="dxa"/>
            <w:vAlign w:val="bottom"/>
          </w:tcPr>
          <w:p>
            <w:pPr>
              <w:spacing w:after="0"/>
              <w:rPr>
                <w:sz w:val="15"/>
                <w:szCs w:val="15"/>
                <w:color w:val="auto"/>
              </w:rPr>
            </w:pPr>
          </w:p>
        </w:tc>
        <w:tc>
          <w:tcPr>
            <w:tcW w:w="5240" w:type="dxa"/>
            <w:vAlign w:val="bottom"/>
            <w:gridSpan w:val="4"/>
          </w:tcPr>
          <w:p>
            <w:pPr>
              <w:ind w:left="1380"/>
              <w:spacing w:after="0" w:line="181" w:lineRule="exact"/>
              <w:rPr>
                <w:sz w:val="20"/>
                <w:szCs w:val="20"/>
                <w:color w:val="auto"/>
              </w:rPr>
            </w:pPr>
            <w:r>
              <w:rPr>
                <w:rFonts w:ascii="Arial" w:cs="Arial" w:eastAsia="Arial" w:hAnsi="Arial"/>
                <w:sz w:val="18"/>
                <w:szCs w:val="18"/>
                <w:color w:val="auto"/>
              </w:rPr>
              <w:t>shares of Class A common stock. For additional</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information, see the section titled “Description of Capital</w:t>
            </w:r>
          </w:p>
        </w:tc>
      </w:tr>
      <w:tr>
        <w:trPr>
          <w:trHeight w:val="239"/>
        </w:trPr>
        <w:tc>
          <w:tcPr>
            <w:tcW w:w="3360" w:type="dxa"/>
            <w:vAlign w:val="bottom"/>
          </w:tcPr>
          <w:p>
            <w:pPr>
              <w:spacing w:after="0"/>
              <w:rPr>
                <w:sz w:val="20"/>
                <w:szCs w:val="20"/>
                <w:color w:val="auto"/>
              </w:rPr>
            </w:pP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Stock.”</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8"/>
                <w:szCs w:val="18"/>
                <w:color w:val="auto"/>
              </w:rPr>
              <w:t>Risk factors</w:t>
            </w:r>
          </w:p>
        </w:tc>
        <w:tc>
          <w:tcPr>
            <w:tcW w:w="6060" w:type="dxa"/>
            <w:vAlign w:val="bottom"/>
            <w:gridSpan w:val="7"/>
          </w:tcPr>
          <w:p>
            <w:pPr>
              <w:ind w:left="138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color w:val="0000FF"/>
              </w:rPr>
              <w:t>Risk Factors</w:t>
            </w:r>
            <w:r>
              <w:rPr>
                <w:rFonts w:ascii="Arial" w:cs="Arial" w:eastAsia="Arial" w:hAnsi="Arial"/>
                <w:sz w:val="18"/>
                <w:szCs w:val="18"/>
                <w:color w:val="auto"/>
              </w:rPr>
              <w:t xml:space="preserve">” beginning on page </w:t>
            </w:r>
            <w:r>
              <w:rPr>
                <w:rFonts w:ascii="Arial" w:cs="Arial" w:eastAsia="Arial" w:hAnsi="Arial"/>
                <w:sz w:val="18"/>
                <w:szCs w:val="18"/>
                <w:color w:val="0000FF"/>
              </w:rPr>
              <w:t>26</w:t>
            </w:r>
          </w:p>
        </w:tc>
      </w:tr>
      <w:tr>
        <w:trPr>
          <w:trHeight w:val="156"/>
        </w:trPr>
        <w:tc>
          <w:tcPr>
            <w:tcW w:w="3360" w:type="dxa"/>
            <w:vAlign w:val="bottom"/>
          </w:tcPr>
          <w:p>
            <w:pPr>
              <w:spacing w:after="0"/>
              <w:rPr>
                <w:sz w:val="13"/>
                <w:szCs w:val="13"/>
                <w:color w:val="auto"/>
              </w:rPr>
            </w:pPr>
          </w:p>
        </w:tc>
        <w:tc>
          <w:tcPr>
            <w:tcW w:w="3160" w:type="dxa"/>
            <w:vAlign w:val="bottom"/>
          </w:tcPr>
          <w:p>
            <w:pPr>
              <w:ind w:left="1380"/>
              <w:spacing w:after="0" w:line="156" w:lineRule="exact"/>
              <w:rPr>
                <w:sz w:val="20"/>
                <w:szCs w:val="20"/>
                <w:color w:val="auto"/>
              </w:rPr>
            </w:pPr>
            <w:r>
              <w:rPr>
                <w:rFonts w:ascii="Arial" w:cs="Arial" w:eastAsia="Arial" w:hAnsi="Arial"/>
                <w:sz w:val="18"/>
                <w:szCs w:val="18"/>
                <w:color w:val="auto"/>
                <w:w w:val="87"/>
              </w:rPr>
              <w:t>and the other information</w:t>
            </w:r>
          </w:p>
        </w:tc>
        <w:tc>
          <w:tcPr>
            <w:tcW w:w="1000" w:type="dxa"/>
            <w:vAlign w:val="bottom"/>
            <w:tcBorders>
              <w:top w:val="single" w:sz="8" w:color="0000FF"/>
            </w:tcBorders>
          </w:tcPr>
          <w:p>
            <w:pPr>
              <w:ind w:left="280"/>
              <w:spacing w:after="0" w:line="156" w:lineRule="exact"/>
              <w:rPr>
                <w:sz w:val="20"/>
                <w:szCs w:val="20"/>
                <w:color w:val="auto"/>
              </w:rPr>
            </w:pPr>
            <w:r>
              <w:rPr>
                <w:rFonts w:ascii="Arial" w:cs="Arial" w:eastAsia="Arial" w:hAnsi="Arial"/>
                <w:sz w:val="18"/>
                <w:szCs w:val="18"/>
                <w:color w:val="auto"/>
              </w:rPr>
              <w:t>included</w:t>
            </w:r>
          </w:p>
        </w:tc>
        <w:tc>
          <w:tcPr>
            <w:tcW w:w="1640" w:type="dxa"/>
            <w:vAlign w:val="bottom"/>
            <w:gridSpan w:val="3"/>
          </w:tcPr>
          <w:p>
            <w:pPr>
              <w:spacing w:after="0" w:line="156" w:lineRule="exact"/>
              <w:rPr>
                <w:sz w:val="20"/>
                <w:szCs w:val="20"/>
                <w:color w:val="auto"/>
              </w:rPr>
            </w:pPr>
            <w:r>
              <w:rPr>
                <w:rFonts w:ascii="Arial" w:cs="Arial" w:eastAsia="Arial" w:hAnsi="Arial"/>
                <w:sz w:val="18"/>
                <w:szCs w:val="18"/>
                <w:color w:val="auto"/>
                <w:w w:val="97"/>
              </w:rPr>
              <w:t>in this prospectus for</w:t>
            </w:r>
          </w:p>
        </w:tc>
        <w:tc>
          <w:tcPr>
            <w:tcW w:w="200" w:type="dxa"/>
            <w:vAlign w:val="bottom"/>
            <w:tcBorders>
              <w:top w:val="single" w:sz="8" w:color="0000FF"/>
            </w:tcBorders>
          </w:tcPr>
          <w:p>
            <w:pPr>
              <w:jc w:val="right"/>
              <w:spacing w:after="0" w:line="156" w:lineRule="exact"/>
              <w:rPr>
                <w:sz w:val="20"/>
                <w:szCs w:val="20"/>
                <w:color w:val="auto"/>
              </w:rPr>
            </w:pPr>
            <w:r>
              <w:rPr>
                <w:rFonts w:ascii="Arial" w:cs="Arial" w:eastAsia="Arial" w:hAnsi="Arial"/>
                <w:sz w:val="18"/>
                <w:szCs w:val="18"/>
                <w:color w:val="auto"/>
              </w:rPr>
              <w:t>a</w:t>
            </w:r>
          </w:p>
        </w:tc>
        <w:tc>
          <w:tcPr>
            <w:tcW w:w="60" w:type="dxa"/>
            <w:vAlign w:val="bottom"/>
          </w:tcPr>
          <w:p>
            <w:pPr>
              <w:spacing w:after="0"/>
              <w:rPr>
                <w:sz w:val="13"/>
                <w:szCs w:val="13"/>
                <w:color w:val="auto"/>
              </w:rPr>
            </w:pPr>
          </w:p>
        </w:tc>
      </w:tr>
      <w:tr>
        <w:trPr>
          <w:trHeight w:val="175"/>
        </w:trPr>
        <w:tc>
          <w:tcPr>
            <w:tcW w:w="3360" w:type="dxa"/>
            <w:vAlign w:val="bottom"/>
          </w:tcPr>
          <w:p>
            <w:pPr>
              <w:spacing w:after="0"/>
              <w:rPr>
                <w:sz w:val="15"/>
                <w:szCs w:val="15"/>
                <w:color w:val="auto"/>
              </w:rPr>
            </w:pPr>
          </w:p>
        </w:tc>
        <w:tc>
          <w:tcPr>
            <w:tcW w:w="6060" w:type="dxa"/>
            <w:vAlign w:val="bottom"/>
            <w:gridSpan w:val="7"/>
          </w:tcPr>
          <w:p>
            <w:pPr>
              <w:ind w:left="1380"/>
              <w:spacing w:after="0" w:line="176" w:lineRule="exact"/>
              <w:rPr>
                <w:sz w:val="20"/>
                <w:szCs w:val="20"/>
                <w:color w:val="auto"/>
              </w:rPr>
            </w:pPr>
            <w:r>
              <w:rPr>
                <w:rFonts w:ascii="Arial" w:cs="Arial" w:eastAsia="Arial" w:hAnsi="Arial"/>
                <w:sz w:val="18"/>
                <w:szCs w:val="18"/>
                <w:color w:val="auto"/>
              </w:rPr>
              <w:t>discussion of factors you should carefully consider before</w:t>
            </w:r>
          </w:p>
        </w:tc>
      </w:tr>
      <w:tr>
        <w:trPr>
          <w:trHeight w:val="239"/>
        </w:trPr>
        <w:tc>
          <w:tcPr>
            <w:tcW w:w="3360" w:type="dxa"/>
            <w:vAlign w:val="bottom"/>
          </w:tcPr>
          <w:p>
            <w:pPr>
              <w:spacing w:after="0"/>
              <w:rPr>
                <w:sz w:val="20"/>
                <w:szCs w:val="20"/>
                <w:color w:val="auto"/>
              </w:rPr>
            </w:pPr>
          </w:p>
        </w:tc>
        <w:tc>
          <w:tcPr>
            <w:tcW w:w="5240" w:type="dxa"/>
            <w:vAlign w:val="bottom"/>
            <w:gridSpan w:val="4"/>
          </w:tcPr>
          <w:p>
            <w:pPr>
              <w:ind w:left="1380"/>
              <w:spacing w:after="0"/>
              <w:rPr>
                <w:sz w:val="20"/>
                <w:szCs w:val="20"/>
                <w:color w:val="auto"/>
              </w:rPr>
            </w:pPr>
            <w:r>
              <w:rPr>
                <w:rFonts w:ascii="Arial" w:cs="Arial" w:eastAsia="Arial" w:hAnsi="Arial"/>
                <w:sz w:val="18"/>
                <w:szCs w:val="18"/>
                <w:color w:val="auto"/>
              </w:rPr>
              <w:t>deciding to invest in our Class A common stock.</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color w:val="auto"/>
              </w:rPr>
              <w:t>Controlled Company</w:t>
            </w:r>
          </w:p>
        </w:tc>
        <w:tc>
          <w:tcPr>
            <w:tcW w:w="6060" w:type="dxa"/>
            <w:vAlign w:val="bottom"/>
            <w:gridSpan w:val="7"/>
          </w:tcPr>
          <w:p>
            <w:pPr>
              <w:ind w:left="1380"/>
              <w:spacing w:after="0"/>
              <w:rPr>
                <w:sz w:val="20"/>
                <w:szCs w:val="20"/>
                <w:color w:val="auto"/>
              </w:rPr>
            </w:pPr>
            <w:r>
              <w:rPr>
                <w:rFonts w:ascii="Arial" w:cs="Arial" w:eastAsia="Arial" w:hAnsi="Arial"/>
                <w:sz w:val="18"/>
                <w:szCs w:val="18"/>
                <w:color w:val="auto"/>
              </w:rPr>
              <w:t>Following this offering, we will be a “controlled company”</w:t>
            </w:r>
          </w:p>
        </w:tc>
      </w:tr>
      <w:tr>
        <w:trPr>
          <w:trHeight w:val="181"/>
        </w:trPr>
        <w:tc>
          <w:tcPr>
            <w:tcW w:w="3360" w:type="dxa"/>
            <w:vAlign w:val="bottom"/>
          </w:tcPr>
          <w:p>
            <w:pPr>
              <w:spacing w:after="0"/>
              <w:rPr>
                <w:sz w:val="15"/>
                <w:szCs w:val="15"/>
                <w:color w:val="auto"/>
              </w:rPr>
            </w:pPr>
          </w:p>
        </w:tc>
        <w:tc>
          <w:tcPr>
            <w:tcW w:w="6060" w:type="dxa"/>
            <w:vAlign w:val="bottom"/>
            <w:gridSpan w:val="7"/>
          </w:tcPr>
          <w:p>
            <w:pPr>
              <w:ind w:left="1380"/>
              <w:spacing w:after="0" w:line="181" w:lineRule="exact"/>
              <w:rPr>
                <w:sz w:val="20"/>
                <w:szCs w:val="20"/>
                <w:color w:val="auto"/>
              </w:rPr>
            </w:pPr>
            <w:r>
              <w:rPr>
                <w:rFonts w:ascii="Arial" w:cs="Arial" w:eastAsia="Arial" w:hAnsi="Arial"/>
                <w:sz w:val="18"/>
                <w:szCs w:val="18"/>
                <w:color w:val="auto"/>
              </w:rPr>
              <w:t>within the meaning of the corporate governance rules of</w:t>
            </w:r>
          </w:p>
        </w:tc>
      </w:tr>
      <w:tr>
        <w:trPr>
          <w:trHeight w:val="175"/>
        </w:trPr>
        <w:tc>
          <w:tcPr>
            <w:tcW w:w="3360" w:type="dxa"/>
            <w:vAlign w:val="bottom"/>
          </w:tcPr>
          <w:p>
            <w:pPr>
              <w:spacing w:after="0"/>
              <w:rPr>
                <w:sz w:val="15"/>
                <w:szCs w:val="15"/>
                <w:color w:val="auto"/>
              </w:rPr>
            </w:pPr>
          </w:p>
        </w:tc>
        <w:tc>
          <w:tcPr>
            <w:tcW w:w="6060" w:type="dxa"/>
            <w:vAlign w:val="bottom"/>
            <w:gridSpan w:val="7"/>
          </w:tcPr>
          <w:p>
            <w:pPr>
              <w:jc w:val="right"/>
              <w:ind w:right="40"/>
              <w:spacing w:after="0" w:line="176" w:lineRule="exact"/>
              <w:rPr>
                <w:sz w:val="20"/>
                <w:szCs w:val="20"/>
                <w:color w:val="auto"/>
              </w:rPr>
            </w:pPr>
            <w:r>
              <w:rPr>
                <w:rFonts w:ascii="Arial" w:cs="Arial" w:eastAsia="Arial" w:hAnsi="Arial"/>
                <w:sz w:val="18"/>
                <w:szCs w:val="18"/>
                <w:color w:val="auto"/>
              </w:rPr>
              <w:t>. For additional information, see the section titled</w:t>
            </w:r>
          </w:p>
        </w:tc>
      </w:tr>
      <w:tr>
        <w:trPr>
          <w:trHeight w:val="239"/>
        </w:trPr>
        <w:tc>
          <w:tcPr>
            <w:tcW w:w="3360" w:type="dxa"/>
            <w:vAlign w:val="bottom"/>
          </w:tcPr>
          <w:p>
            <w:pPr>
              <w:spacing w:after="0"/>
              <w:rPr>
                <w:sz w:val="20"/>
                <w:szCs w:val="20"/>
                <w:color w:val="auto"/>
              </w:rPr>
            </w:pP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“Management—Controlled Company.”</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3360" w:type="dxa"/>
            <w:vAlign w:val="bottom"/>
          </w:tcPr>
          <w:p>
            <w:pPr>
              <w:spacing w:after="0"/>
              <w:rPr>
                <w:sz w:val="20"/>
                <w:szCs w:val="20"/>
                <w:color w:val="auto"/>
              </w:rPr>
            </w:pPr>
            <w:r>
              <w:rPr>
                <w:rFonts w:ascii="Arial" w:cs="Arial" w:eastAsia="Arial" w:hAnsi="Arial"/>
                <w:sz w:val="18"/>
                <w:szCs w:val="18"/>
                <w:color w:val="auto"/>
              </w:rPr>
              <w:t>Proposed trading symbol</w:t>
            </w:r>
          </w:p>
        </w:tc>
        <w:tc>
          <w:tcPr>
            <w:tcW w:w="4520" w:type="dxa"/>
            <w:vAlign w:val="bottom"/>
            <w:gridSpan w:val="3"/>
          </w:tcPr>
          <w:p>
            <w:pPr>
              <w:ind w:left="1380"/>
              <w:spacing w:after="0"/>
              <w:rPr>
                <w:sz w:val="20"/>
                <w:szCs w:val="20"/>
                <w:color w:val="auto"/>
              </w:rPr>
            </w:pPr>
            <w:r>
              <w:rPr>
                <w:rFonts w:ascii="Arial" w:cs="Arial" w:eastAsia="Arial" w:hAnsi="Arial"/>
                <w:sz w:val="18"/>
                <w:szCs w:val="18"/>
                <w:color w:val="auto"/>
              </w:rPr>
              <w:t>“FIGR”</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number of shares of our Class A common stock and Class B common stock that will be outstanding</w:t>
      </w:r>
    </w:p>
    <w:p>
      <w:pPr>
        <w:spacing w:after="0" w:line="27" w:lineRule="exact"/>
        <w:rPr>
          <w:sz w:val="20"/>
          <w:szCs w:val="20"/>
          <w:color w:val="auto"/>
        </w:rPr>
      </w:pPr>
    </w:p>
    <w:p>
      <w:pPr>
        <w:spacing w:after="0"/>
        <w:tabs>
          <w:tab w:leader="none" w:pos="4060" w:val="left"/>
          <w:tab w:leader="none" w:pos="8100" w:val="left"/>
        </w:tabs>
        <w:rPr>
          <w:sz w:val="20"/>
          <w:szCs w:val="20"/>
          <w:color w:val="auto"/>
        </w:rPr>
      </w:pPr>
      <w:r>
        <w:rPr>
          <w:rFonts w:ascii="Arial" w:cs="Arial" w:eastAsia="Arial" w:hAnsi="Arial"/>
          <w:sz w:val="18"/>
          <w:szCs w:val="18"/>
          <w:color w:val="auto"/>
        </w:rPr>
        <w:t>immediately prior to this offering is based on</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common stock outstanding as of</w:t>
      </w:r>
      <w:r>
        <w:rPr>
          <w:sz w:val="20"/>
          <w:szCs w:val="20"/>
          <w:color w:val="auto"/>
        </w:rPr>
        <w:tab/>
      </w:r>
      <w:r>
        <w:rPr>
          <w:rFonts w:ascii="Arial" w:cs="Arial" w:eastAsia="Arial" w:hAnsi="Arial"/>
          <w:sz w:val="17"/>
          <w:szCs w:val="17"/>
          <w:color w:val="auto"/>
        </w:rPr>
        <w:t>, 2025, and reflects:</w:t>
      </w:r>
    </w:p>
    <w:p>
      <w:pPr>
        <w:spacing w:after="0" w:line="153" w:lineRule="exact"/>
        <w:rPr>
          <w:sz w:val="20"/>
          <w:szCs w:val="20"/>
          <w:color w:val="auto"/>
        </w:rPr>
      </w:pPr>
    </w:p>
    <w:p>
      <w:pPr>
        <w:ind w:left="320"/>
        <w:spacing w:after="0"/>
        <w:tabs>
          <w:tab w:leader="none" w:pos="1140" w:val="left"/>
          <w:tab w:leader="none" w:pos="8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redeemable convertible preferred stock that will automatically convert into</w:t>
      </w:r>
      <w:r>
        <w:rPr>
          <w:sz w:val="20"/>
          <w:szCs w:val="20"/>
          <w:color w:val="auto"/>
        </w:rPr>
        <w:tab/>
      </w:r>
      <w:r>
        <w:rPr>
          <w:rFonts w:ascii="Arial" w:cs="Arial" w:eastAsia="Arial" w:hAnsi="Arial"/>
          <w:sz w:val="17"/>
          <w:szCs w:val="17"/>
          <w:color w:val="auto"/>
        </w:rPr>
        <w:t>shares of common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 immediately prior to the completion of this offering (the “Capital Stock Conversion”);</w:t>
      </w:r>
    </w:p>
    <w:p>
      <w:pPr>
        <w:spacing w:after="0" w:line="153" w:lineRule="exact"/>
        <w:rPr>
          <w:sz w:val="20"/>
          <w:szCs w:val="20"/>
          <w:color w:val="auto"/>
        </w:rPr>
      </w:pPr>
    </w:p>
    <w:p>
      <w:pPr>
        <w:jc w:val="both"/>
        <w:ind w:left="640" w:hanging="322"/>
        <w:spacing w:after="0" w:line="268"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 the effectiveness of our amended and restated bylaws, each of which will occur immediately prior to the completion of this offering and will effect the reclassification of our common stock into Class A common stock (the “Reclassification”);</w:t>
      </w:r>
    </w:p>
    <w:p>
      <w:pPr>
        <w:spacing w:after="0" w:line="116" w:lineRule="exact"/>
        <w:rPr>
          <w:rFonts w:ascii="Arial" w:cs="Arial" w:eastAsia="Arial" w:hAnsi="Arial"/>
          <w:sz w:val="18"/>
          <w:szCs w:val="18"/>
          <w:color w:val="auto"/>
        </w:rPr>
      </w:pPr>
    </w:p>
    <w:p>
      <w:pPr>
        <w:ind w:left="640" w:right="20" w:hanging="322"/>
        <w:spacing w:after="0" w:line="287" w:lineRule="auto"/>
        <w:tabs>
          <w:tab w:leader="none" w:pos="14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Class A common stock outstanding, which number of shares excludes the shares being exchanged in the Class B Stock Exchange described below; and</w:t>
      </w:r>
    </w:p>
    <w:p>
      <w:pPr>
        <w:spacing w:after="0" w:line="98" w:lineRule="exact"/>
        <w:rPr>
          <w:rFonts w:ascii="Arial" w:cs="Arial" w:eastAsia="Arial" w:hAnsi="Arial"/>
          <w:sz w:val="18"/>
          <w:szCs w:val="18"/>
          <w:color w:val="auto"/>
        </w:rPr>
      </w:pPr>
    </w:p>
    <w:p>
      <w:pPr>
        <w:ind w:left="1420" w:hanging="1102"/>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Class B common stock, which reflect shares of our Class A common stock outstanding</w:t>
      </w:r>
    </w:p>
    <w:p>
      <w:pPr>
        <w:spacing w:after="0" w:line="27"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color w:val="auto"/>
        </w:rPr>
        <w:t>beneficially owned by Mr. Cagney and Ms. Ou as of , that will be exchanged for an equivalent number of shares of our Class B common stock immediately prior to the completion of this offering pursuant to the terms of certain exchange agreements (the “Class B Stock Exchange”).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number of shares of Class A common stock and Class B common stock that will be outstanding immediately</w:t>
      </w:r>
    </w:p>
    <w:p>
      <w:pPr>
        <w:spacing w:after="0" w:line="27" w:lineRule="exact"/>
        <w:rPr>
          <w:sz w:val="20"/>
          <w:szCs w:val="20"/>
          <w:color w:val="auto"/>
        </w:rPr>
      </w:pPr>
    </w:p>
    <w:p>
      <w:pPr>
        <w:spacing w:after="0"/>
        <w:tabs>
          <w:tab w:leader="none" w:pos="2900" w:val="left"/>
          <w:tab w:leader="none" w:pos="6880" w:val="left"/>
        </w:tabs>
        <w:rPr>
          <w:sz w:val="20"/>
          <w:szCs w:val="20"/>
          <w:color w:val="auto"/>
        </w:rPr>
      </w:pPr>
      <w:r>
        <w:rPr>
          <w:rFonts w:ascii="Arial" w:cs="Arial" w:eastAsia="Arial" w:hAnsi="Arial"/>
          <w:sz w:val="18"/>
          <w:szCs w:val="18"/>
          <w:color w:val="auto"/>
        </w:rPr>
        <w:t>after this offering is based on</w:t>
      </w:r>
      <w:r>
        <w:rPr>
          <w:sz w:val="20"/>
          <w:szCs w:val="20"/>
          <w:color w:val="auto"/>
        </w:rPr>
        <w:tab/>
      </w:r>
      <w:r>
        <w:rPr>
          <w:rFonts w:ascii="Arial" w:cs="Arial" w:eastAsia="Arial" w:hAnsi="Arial"/>
          <w:sz w:val="18"/>
          <w:szCs w:val="18"/>
          <w:color w:val="auto"/>
        </w:rPr>
        <w:t>shares of our Class A common stock and</w:t>
      </w:r>
      <w:r>
        <w:rPr>
          <w:sz w:val="20"/>
          <w:szCs w:val="20"/>
          <w:color w:val="auto"/>
        </w:rPr>
        <w:tab/>
      </w:r>
      <w:r>
        <w:rPr>
          <w:rFonts w:ascii="Arial" w:cs="Arial" w:eastAsia="Arial" w:hAnsi="Arial"/>
          <w:sz w:val="18"/>
          <w:szCs w:val="18"/>
          <w:color w:val="auto"/>
        </w:rPr>
        <w:t>shares of our Class B common stock</w:t>
      </w:r>
    </w:p>
    <w:p>
      <w:pPr>
        <w:spacing w:after="0" w:line="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8"/>
          <w:szCs w:val="18"/>
          <w:color w:val="auto"/>
        </w:rPr>
        <w:t>, 2025, and after giving effect to the Capital Stock Conversion, the Reclassification, and the Class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Exchange, excludes:</w:t>
      </w:r>
    </w:p>
    <w:p>
      <w:pPr>
        <w:spacing w:after="0" w:line="153" w:lineRule="exact"/>
        <w:rPr>
          <w:sz w:val="20"/>
          <w:szCs w:val="20"/>
          <w:color w:val="auto"/>
        </w:rPr>
      </w:pPr>
    </w:p>
    <w:p>
      <w:pPr>
        <w:ind w:left="320"/>
        <w:spacing w:after="0"/>
        <w:tabs>
          <w:tab w:leader="none" w:pos="1140" w:val="left"/>
          <w:tab w:leader="none" w:pos="8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shares of Class A common stock issuable upon the exercise of outstanding options as of</w:t>
      </w:r>
      <w:r>
        <w:rPr>
          <w:sz w:val="20"/>
          <w:szCs w:val="20"/>
          <w:color w:val="auto"/>
        </w:rPr>
        <w:tab/>
      </w:r>
      <w:r>
        <w:rPr>
          <w:rFonts w:ascii="Arial" w:cs="Arial" w:eastAsia="Arial" w:hAnsi="Arial"/>
          <w:sz w:val="17"/>
          <w:szCs w:val="17"/>
          <w:color w:val="auto"/>
        </w:rPr>
        <w:t>, 2025, with a</w:t>
      </w:r>
    </w:p>
    <w:p>
      <w:pPr>
        <w:spacing w:after="0" w:line="27" w:lineRule="exact"/>
        <w:rPr>
          <w:sz w:val="20"/>
          <w:szCs w:val="20"/>
          <w:color w:val="auto"/>
        </w:rPr>
      </w:pPr>
    </w:p>
    <w:p>
      <w:pPr>
        <w:ind w:left="640"/>
        <w:spacing w:after="0"/>
        <w:tabs>
          <w:tab w:leader="none" w:pos="4120" w:val="left"/>
        </w:tabs>
        <w:rPr>
          <w:sz w:val="20"/>
          <w:szCs w:val="20"/>
          <w:color w:val="auto"/>
        </w:rPr>
      </w:pPr>
      <w:r>
        <w:rPr>
          <w:rFonts w:ascii="Arial" w:cs="Arial" w:eastAsia="Arial" w:hAnsi="Arial"/>
          <w:sz w:val="18"/>
          <w:szCs w:val="18"/>
          <w:color w:val="auto"/>
        </w:rPr>
        <w:t>weighted-average exercise price of $</w:t>
      </w:r>
      <w:r>
        <w:rPr>
          <w:sz w:val="20"/>
          <w:szCs w:val="20"/>
          <w:color w:val="auto"/>
        </w:rPr>
        <w:tab/>
      </w:r>
      <w:r>
        <w:rPr>
          <w:rFonts w:ascii="Arial" w:cs="Arial" w:eastAsia="Arial" w:hAnsi="Arial"/>
          <w:sz w:val="17"/>
          <w:szCs w:val="17"/>
          <w:color w:val="auto"/>
        </w:rPr>
        <w:t>per share;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900"/>
          </w:cols>
          <w:pgMar w:left="1000" w:top="1440" w:right="99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hanging="4"/>
        <w:spacing w:after="0" w:line="287" w:lineRule="auto"/>
        <w:rPr>
          <w:sz w:val="20"/>
          <w:szCs w:val="20"/>
          <w:color w:val="auto"/>
        </w:rPr>
      </w:pPr>
      <w:r>
        <w:rPr>
          <w:rFonts w:ascii="Arial" w:cs="Arial" w:eastAsia="Arial" w:hAnsi="Arial"/>
          <w:sz w:val="18"/>
          <w:szCs w:val="18"/>
          <w:color w:val="auto"/>
        </w:rPr>
        <w:t>Restricted stock units (“RSUs”) covering</w:t>
      </w:r>
      <w:r>
        <w:rPr>
          <w:sz w:val="20"/>
          <w:szCs w:val="20"/>
          <w:color w:val="auto"/>
        </w:rPr>
        <w:t xml:space="preserve"> </w:t>
      </w:r>
      <w:r>
        <w:rPr>
          <w:rFonts w:ascii="Arial" w:cs="Arial" w:eastAsia="Arial" w:hAnsi="Arial"/>
          <w:sz w:val="18"/>
          <w:szCs w:val="18"/>
          <w:color w:val="auto"/>
        </w:rPr>
        <w:t>shares of Class A common stock as of issuable upon satisfaction of service-based and liquidity-based vesting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-792480</wp:posOffset>
            </wp:positionV>
            <wp:extent cx="7136130" cy="411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11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2025, which are</w:t>
      </w:r>
    </w:p>
    <w:p>
      <w:pPr>
        <w:spacing w:after="0" w:line="398" w:lineRule="exact"/>
        <w:rPr>
          <w:sz w:val="20"/>
          <w:szCs w:val="20"/>
          <w:color w:val="auto"/>
        </w:rPr>
      </w:pPr>
    </w:p>
    <w:p>
      <w:pPr>
        <w:sectPr>
          <w:pgSz w:w="11900" w:h="16838" w:orient="portrait"/>
          <w:cols w:equalWidth="0" w:num="3">
            <w:col w:w="62" w:space="260"/>
            <w:col w:w="7260" w:space="720"/>
            <w:col w:w="1280"/>
          </w:cols>
          <w:pgMar w:left="1318" w:top="1440" w:right="999" w:bottom="1440" w:gutter="0" w:footer="0" w:header="0"/>
        </w:sectPr>
      </w:pPr>
    </w:p>
    <w:p>
      <w:pPr>
        <w:jc w:val="both"/>
        <w:ind w:left="322" w:hanging="322"/>
        <w:spacing w:after="0" w:line="259" w:lineRule="auto"/>
        <w:tabs>
          <w:tab w:leader="none" w:pos="10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2025 Incentive Award Plan (the “2025 Plan”), which will become effective on the day immediately prior to the date of effectiveness of the registration statement of which this prospectus forms a part, as well as any shares of Class A common stock that become available pursuant to provisions in the 2025 Plan that automatically increase the share reserve under the 2025 Plan; and</w:t>
      </w:r>
    </w:p>
    <w:p>
      <w:pPr>
        <w:spacing w:after="0" w:line="125" w:lineRule="exact"/>
        <w:rPr>
          <w:rFonts w:ascii="Arial" w:cs="Arial" w:eastAsia="Arial" w:hAnsi="Arial"/>
          <w:sz w:val="18"/>
          <w:szCs w:val="18"/>
          <w:color w:val="auto"/>
        </w:rPr>
      </w:pPr>
    </w:p>
    <w:p>
      <w:pPr>
        <w:jc w:val="both"/>
        <w:ind w:left="322" w:hanging="322"/>
        <w:spacing w:after="0" w:line="262" w:lineRule="auto"/>
        <w:tabs>
          <w:tab w:leader="none" w:pos="8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Employee Stock Purchase Plan (the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122" w:lineRule="exact"/>
        <w:rPr>
          <w:sz w:val="20"/>
          <w:szCs w:val="20"/>
          <w:color w:val="auto"/>
        </w:rPr>
      </w:pPr>
    </w:p>
    <w:p>
      <w:pPr>
        <w:ind w:left="2" w:right="1220"/>
        <w:spacing w:after="0" w:line="464" w:lineRule="auto"/>
        <w:rPr>
          <w:sz w:val="20"/>
          <w:szCs w:val="20"/>
          <w:color w:val="auto"/>
        </w:rPr>
      </w:pPr>
      <w:r>
        <w:rPr>
          <w:rFonts w:ascii="Arial" w:cs="Arial" w:eastAsia="Arial" w:hAnsi="Arial"/>
          <w:sz w:val="17"/>
          <w:szCs w:val="17"/>
          <w:color w:val="auto"/>
        </w:rPr>
        <w:t>For additional information, see the section titled “Executive Compensation—Equity Compensation Plans.” Except as otherwise indicated, all information in this prospectus assumes or gives effect to the following:</w:t>
      </w: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completion of the Recombination;</w:t>
      </w:r>
    </w:p>
    <w:p>
      <w:pPr>
        <w:spacing w:after="0" w:line="171" w:lineRule="exact"/>
        <w:rPr>
          <w:rFonts w:ascii="Arial" w:cs="Arial" w:eastAsia="Arial" w:hAnsi="Arial"/>
          <w:sz w:val="18"/>
          <w:szCs w:val="18"/>
          <w:color w:val="auto"/>
        </w:rPr>
      </w:pPr>
    </w:p>
    <w:p>
      <w:pPr>
        <w:ind w:left="322" w:hanging="322"/>
        <w:spacing w:after="0" w:line="287" w:lineRule="auto"/>
        <w:tabs>
          <w:tab w:leader="none" w:pos="3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Capital Stock Conversion, the Reclassification, and the Class B Stock Exchange, which will occur immediately prior to the completion of this offering;</w:t>
      </w:r>
    </w:p>
    <w:p>
      <w:pPr>
        <w:spacing w:after="0" w:line="98"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options described above; and</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582"/>
          </w:cols>
          <w:pgMar w:left="1318" w:top="1440" w:right="99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321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32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tables set forth summary recast consolidated financial and other data and for the year ended December 31, 2024 reflect the combined consolidated statements of FTI and FMH, whereas the comparative information for the year ended December 31, 2023 reflects the consolidated financial statements of the previous parent company, FT, prior to the Separation. The consolidated statements of operations and cash flows data for the years ended December 31, 2024 and 2023, and the consolidated balance sheet data as of December 31, 2024, are derived from the audited consolidated financial statements and related notes included elsewhere in this prospectus.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Recombination by which FMH became a wholly-owned subsidiary of FTI was accounted for as a reorganization of entities under the common control of Michael Cagney. As a result, the consolidated financial statements of FTI recognize the assets and liabilities received in connection with the transaction at their historical carrying amounts. As required under GAAP, the financial statements of FTI reflect the retrospective consolidation of FMH to give effect to the Recombination.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read this data together with the consolidated financial statements and related notes appearing elsewhere in this prospectus and the information in the section titled “Management’s Discussion and Analysis of Financial Condition and Results of Operations.” Our historical results are not necessarily indicative of our future results. The summary consolidated financial data in this section are not intended to replace,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00"/>
          </w:cols>
          <w:pgMar w:left="1000" w:top="1440" w:right="99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901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7"/>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revenue:</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000" w:type="dxa"/>
            <w:vAlign w:val="bottom"/>
          </w:tcPr>
          <w:p>
            <w:pPr>
              <w:ind w:left="240"/>
              <w:spacing w:after="0"/>
              <w:rPr>
                <w:sz w:val="20"/>
                <w:szCs w:val="20"/>
                <w:color w:val="auto"/>
              </w:rPr>
            </w:pPr>
            <w:r>
              <w:rPr>
                <w:rFonts w:ascii="Arial" w:cs="Arial" w:eastAsia="Arial" w:hAnsi="Arial"/>
                <w:sz w:val="14"/>
                <w:szCs w:val="14"/>
                <w:color w:val="auto"/>
              </w:rPr>
              <w:t>Ecosystem and technology fees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28,314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10,628</w:t>
            </w:r>
          </w:p>
        </w:tc>
        <w:tc>
          <w:tcPr>
            <w:tcW w:w="0" w:type="dxa"/>
            <w:vAlign w:val="bottom"/>
          </w:tcPr>
          <w:p>
            <w:pPr>
              <w:spacing w:after="0"/>
              <w:rPr>
                <w:sz w:val="1"/>
                <w:szCs w:val="1"/>
                <w:color w:val="auto"/>
              </w:rPr>
            </w:pPr>
          </w:p>
        </w:tc>
      </w:tr>
      <w:tr>
        <w:trPr>
          <w:trHeight w:val="207"/>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Servicing fees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c>
          <w:tcPr>
            <w:tcW w:w="0" w:type="dxa"/>
            <w:vAlign w:val="bottom"/>
          </w:tcPr>
          <w:p>
            <w:pPr>
              <w:spacing w:after="0"/>
              <w:rPr>
                <w:sz w:val="1"/>
                <w:szCs w:val="1"/>
                <w:color w:val="auto"/>
              </w:rPr>
            </w:pPr>
          </w:p>
        </w:tc>
      </w:tr>
      <w:tr>
        <w:trPr>
          <w:trHeight w:val="198"/>
        </w:trPr>
        <w:tc>
          <w:tcPr>
            <w:tcW w:w="700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48,207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48,155</w:t>
            </w:r>
          </w:p>
        </w:tc>
        <w:tc>
          <w:tcPr>
            <w:tcW w:w="0" w:type="dxa"/>
            <w:vAlign w:val="bottom"/>
          </w:tcPr>
          <w:p>
            <w:pPr>
              <w:spacing w:after="0"/>
              <w:rPr>
                <w:sz w:val="1"/>
                <w:szCs w:val="1"/>
                <w:color w:val="auto"/>
              </w:rPr>
            </w:pPr>
          </w:p>
        </w:tc>
      </w:tr>
      <w:tr>
        <w:trPr>
          <w:trHeight w:val="207"/>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Origination fees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c>
          <w:tcPr>
            <w:tcW w:w="0" w:type="dxa"/>
            <w:vAlign w:val="bottom"/>
          </w:tcPr>
          <w:p>
            <w:pPr>
              <w:spacing w:after="0"/>
              <w:rPr>
                <w:sz w:val="1"/>
                <w:szCs w:val="1"/>
                <w:color w:val="auto"/>
              </w:rPr>
            </w:pPr>
          </w:p>
        </w:tc>
      </w:tr>
      <w:tr>
        <w:trPr>
          <w:trHeight w:val="198"/>
        </w:trPr>
        <w:tc>
          <w:tcPr>
            <w:tcW w:w="7000" w:type="dxa"/>
            <w:vAlign w:val="bottom"/>
          </w:tcPr>
          <w:p>
            <w:pPr>
              <w:ind w:left="240"/>
              <w:spacing w:after="0"/>
              <w:rPr>
                <w:sz w:val="20"/>
                <w:szCs w:val="20"/>
                <w:color w:val="auto"/>
              </w:rPr>
            </w:pPr>
            <w:r>
              <w:rPr>
                <w:rFonts w:ascii="Arial" w:cs="Arial" w:eastAsia="Arial" w:hAnsi="Arial"/>
                <w:sz w:val="14"/>
                <w:szCs w:val="14"/>
                <w:color w:val="auto"/>
              </w:rPr>
              <w:t>Gain on sale of loans, net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140,353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50,343</w:t>
            </w:r>
          </w:p>
        </w:tc>
        <w:tc>
          <w:tcPr>
            <w:tcW w:w="0" w:type="dxa"/>
            <w:vAlign w:val="bottom"/>
          </w:tcPr>
          <w:p>
            <w:pPr>
              <w:spacing w:after="0"/>
              <w:rPr>
                <w:sz w:val="1"/>
                <w:szCs w:val="1"/>
                <w:color w:val="auto"/>
              </w:rPr>
            </w:pPr>
          </w:p>
        </w:tc>
      </w:tr>
      <w:tr>
        <w:trPr>
          <w:trHeight w:val="207"/>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Gain on servicing asset, net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0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c>
          <w:tcPr>
            <w:tcW w:w="0" w:type="dxa"/>
            <w:vAlign w:val="bottom"/>
          </w:tcPr>
          <w:p>
            <w:pPr>
              <w:spacing w:after="0"/>
              <w:rPr>
                <w:sz w:val="1"/>
                <w:szCs w:val="1"/>
                <w:color w:val="auto"/>
              </w:rPr>
            </w:pPr>
          </w:p>
        </w:tc>
      </w:tr>
      <w:tr>
        <w:trPr>
          <w:trHeight w:val="178"/>
        </w:trPr>
        <w:tc>
          <w:tcPr>
            <w:tcW w:w="7000" w:type="dxa"/>
            <w:vAlign w:val="bottom"/>
          </w:tcPr>
          <w:p>
            <w:pPr>
              <w:ind w:left="40"/>
              <w:spacing w:after="0"/>
              <w:rPr>
                <w:sz w:val="20"/>
                <w:szCs w:val="20"/>
                <w:color w:val="auto"/>
              </w:rPr>
            </w:pPr>
            <w:r>
              <w:rPr>
                <w:rFonts w:ascii="Arial" w:cs="Arial" w:eastAsia="Arial" w:hAnsi="Arial"/>
                <w:sz w:val="14"/>
                <w:szCs w:val="14"/>
                <w:color w:val="auto"/>
              </w:rPr>
              <w:t>Expenses: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0" w:type="dxa"/>
            <w:vAlign w:val="bottom"/>
          </w:tcPr>
          <w:p>
            <w:pPr>
              <w:spacing w:after="0"/>
              <w:rPr>
                <w:sz w:val="1"/>
                <w:szCs w:val="1"/>
                <w:color w:val="auto"/>
              </w:rPr>
            </w:pPr>
          </w:p>
        </w:tc>
      </w:tr>
      <w:tr>
        <w:trPr>
          <w:trHeight w:val="198"/>
        </w:trPr>
        <w:tc>
          <w:tcPr>
            <w:tcW w:w="7000" w:type="dxa"/>
            <w:vAlign w:val="bottom"/>
          </w:tcPr>
          <w:p>
            <w:pPr>
              <w:ind w:left="240"/>
              <w:spacing w:after="0"/>
              <w:rPr>
                <w:sz w:val="20"/>
                <w:szCs w:val="20"/>
                <w:color w:val="auto"/>
              </w:rPr>
            </w:pPr>
            <w:r>
              <w:rPr>
                <w:rFonts w:ascii="Arial" w:cs="Arial" w:eastAsia="Arial" w:hAnsi="Arial"/>
                <w:sz w:val="14"/>
                <w:szCs w:val="14"/>
                <w:color w:val="auto"/>
              </w:rPr>
              <w:t>Technology and product development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62,657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49,154</w:t>
            </w:r>
          </w:p>
        </w:tc>
        <w:tc>
          <w:tcPr>
            <w:tcW w:w="0" w:type="dxa"/>
            <w:vAlign w:val="bottom"/>
          </w:tcPr>
          <w:p>
            <w:pPr>
              <w:spacing w:after="0"/>
              <w:rPr>
                <w:sz w:val="1"/>
                <w:szCs w:val="1"/>
                <w:color w:val="auto"/>
              </w:rPr>
            </w:pPr>
          </w:p>
        </w:tc>
      </w:tr>
      <w:tr>
        <w:trPr>
          <w:trHeight w:val="207"/>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Operations and processing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c>
          <w:tcPr>
            <w:tcW w:w="0" w:type="dxa"/>
            <w:vAlign w:val="bottom"/>
          </w:tcPr>
          <w:p>
            <w:pPr>
              <w:spacing w:after="0"/>
              <w:rPr>
                <w:sz w:val="1"/>
                <w:szCs w:val="1"/>
                <w:color w:val="auto"/>
              </w:rPr>
            </w:pPr>
          </w:p>
        </w:tc>
      </w:tr>
      <w:tr>
        <w:trPr>
          <w:trHeight w:val="198"/>
        </w:trPr>
        <w:tc>
          <w:tcPr>
            <w:tcW w:w="7000" w:type="dxa"/>
            <w:vAlign w:val="bottom"/>
          </w:tcPr>
          <w:p>
            <w:pPr>
              <w:ind w:left="24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55,657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52,761</w:t>
            </w:r>
          </w:p>
        </w:tc>
        <w:tc>
          <w:tcPr>
            <w:tcW w:w="0" w:type="dxa"/>
            <w:vAlign w:val="bottom"/>
          </w:tcPr>
          <w:p>
            <w:pPr>
              <w:spacing w:after="0"/>
              <w:rPr>
                <w:sz w:val="1"/>
                <w:szCs w:val="1"/>
                <w:color w:val="auto"/>
              </w:rPr>
            </w:pPr>
          </w:p>
        </w:tc>
      </w:tr>
      <w:tr>
        <w:trPr>
          <w:trHeight w:val="207"/>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expense</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c>
          <w:tcPr>
            <w:tcW w:w="0" w:type="dxa"/>
            <w:vAlign w:val="bottom"/>
          </w:tcPr>
          <w:p>
            <w:pPr>
              <w:spacing w:after="0"/>
              <w:rPr>
                <w:sz w:val="1"/>
                <w:szCs w:val="1"/>
                <w:color w:val="auto"/>
              </w:rPr>
            </w:pPr>
          </w:p>
        </w:tc>
      </w:tr>
      <w:tr>
        <w:trPr>
          <w:trHeight w:val="20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expenses</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c>
          <w:tcPr>
            <w:tcW w:w="0" w:type="dxa"/>
            <w:vAlign w:val="bottom"/>
          </w:tcPr>
          <w:p>
            <w:pPr>
              <w:spacing w:after="0"/>
              <w:rPr>
                <w:sz w:val="1"/>
                <w:szCs w:val="1"/>
                <w:color w:val="auto"/>
              </w:rPr>
            </w:pPr>
          </w:p>
        </w:tc>
      </w:tr>
      <w:tr>
        <w:trPr>
          <w:trHeight w:val="192"/>
        </w:trPr>
        <w:tc>
          <w:tcPr>
            <w:tcW w:w="700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(49,438)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254"/>
        </w:trPr>
        <w:tc>
          <w:tcPr>
            <w:tcW w:w="70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(52,341)</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provision</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(52,443)</w:t>
            </w:r>
          </w:p>
        </w:tc>
        <w:tc>
          <w:tcPr>
            <w:tcW w:w="0" w:type="dxa"/>
            <w:vAlign w:val="bottom"/>
          </w:tcPr>
          <w:p>
            <w:pPr>
              <w:spacing w:after="0"/>
              <w:rPr>
                <w:sz w:val="1"/>
                <w:szCs w:val="1"/>
                <w:color w:val="auto"/>
              </w:rPr>
            </w:pPr>
          </w:p>
        </w:tc>
      </w:tr>
      <w:tr>
        <w:trPr>
          <w:trHeight w:val="19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noncontrolling interests in consolidated subsidiaries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22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FTI</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Pro forma net income (loss) attributable to FTI, per share</w:t>
            </w:r>
            <w:r>
              <w:rPr>
                <w:rFonts w:ascii="Arial" w:cs="Arial" w:eastAsia="Arial" w:hAnsi="Arial"/>
                <w:sz w:val="9"/>
                <w:szCs w:val="9"/>
                <w:color w:val="auto"/>
              </w:rPr>
              <w:t>(1)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4"/>
                <w:szCs w:val="14"/>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shares used in computing pro forma net income (loss) attributable to FTI, per share</w:t>
            </w:r>
            <w:r>
              <w:rPr>
                <w:rFonts w:ascii="Arial" w:cs="Arial" w:eastAsia="Arial" w:hAnsi="Arial"/>
                <w:sz w:val="9"/>
                <w:szCs w:val="9"/>
                <w:color w:val="auto"/>
              </w:rPr>
              <w:t>(1)</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00" w:type="dxa"/>
            <w:vAlign w:val="bottom"/>
          </w:tcPr>
          <w:p>
            <w:pPr>
              <w:ind w:left="46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0" w:type="dxa"/>
            <w:vAlign w:val="bottom"/>
            <w:tcBorders>
              <w:bottom w:val="single" w:sz="8" w:color="CCEEFF"/>
            </w:tcBorders>
            <w:shd w:val="clear" w:color="auto" w:fill="CCEEFF"/>
          </w:tcPr>
          <w:p>
            <w:pPr>
              <w:ind w:left="460"/>
              <w:spacing w:after="0" w:line="143" w:lineRule="exact"/>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w:t>
      </w:r>
    </w:p>
    <w:p>
      <w:pPr>
        <w:spacing w:after="0" w:line="21" w:lineRule="exact"/>
        <w:rPr>
          <w:sz w:val="20"/>
          <w:szCs w:val="20"/>
          <w:color w:val="auto"/>
        </w:rPr>
      </w:pPr>
    </w:p>
    <w:p>
      <w:pPr>
        <w:jc w:val="both"/>
        <w:ind w:left="340" w:hanging="326"/>
        <w:spacing w:after="0" w:line="264"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pro forma net income (loss) attributable to FTI, per share and the weighted-average shares used in computing pro forma net income (loss) attributable to FTI, per share give effect to (i) the Capital Stock Conversion, (ii) the Reclassification, and (iii) the Class B Stock Exchange, as if each such event had occurred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920"/>
          </w:cols>
          <w:pgMar w:left="980" w:top="1440" w:right="99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158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15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left="831"/>
              <w:spacing w:after="0"/>
              <w:rPr>
                <w:sz w:val="20"/>
                <w:szCs w:val="20"/>
                <w:color w:val="auto"/>
              </w:rPr>
            </w:pPr>
            <w:r>
              <w:rPr>
                <w:rFonts w:ascii="Arial" w:cs="Arial" w:eastAsia="Arial" w:hAnsi="Arial"/>
                <w:sz w:val="16"/>
                <w:szCs w:val="16"/>
                <w:b w:val="1"/>
                <w:bCs w:val="1"/>
                <w:color w:val="auto"/>
              </w:rPr>
              <w:t>As of December 31, 2024</w:t>
            </w:r>
          </w:p>
        </w:tc>
        <w:tc>
          <w:tcPr>
            <w:tcW w:w="1200" w:type="dxa"/>
            <w:vAlign w:val="bottom"/>
            <w:tcBorders>
              <w:bottom w:val="single" w:sz="8" w:color="auto"/>
            </w:tcBorders>
          </w:tcPr>
          <w:p>
            <w:pPr>
              <w:spacing w:after="0"/>
              <w:rPr>
                <w:sz w:val="18"/>
                <w:szCs w:val="18"/>
                <w:color w:val="auto"/>
              </w:rPr>
            </w:pPr>
          </w:p>
        </w:tc>
      </w:tr>
      <w:tr>
        <w:trPr>
          <w:trHeight w:val="209"/>
        </w:trPr>
        <w:tc>
          <w:tcPr>
            <w:tcW w:w="5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rPr>
              <w:t>Pro Forma As</w:t>
            </w:r>
          </w:p>
        </w:tc>
        <w:tc>
          <w:tcPr>
            <w:tcW w:w="1200" w:type="dxa"/>
            <w:vAlign w:val="bottom"/>
            <w:tcBorders>
              <w:bottom w:val="single" w:sz="8" w:color="auto"/>
            </w:tcBorders>
          </w:tcPr>
          <w:p>
            <w:pPr>
              <w:spacing w:after="0"/>
              <w:rPr>
                <w:sz w:val="18"/>
                <w:szCs w:val="18"/>
                <w:color w:val="auto"/>
              </w:rPr>
            </w:pP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 in thousands)</w:t>
            </w: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Actual</w:t>
            </w:r>
          </w:p>
        </w:tc>
        <w:tc>
          <w:tcPr>
            <w:tcW w:w="1660" w:type="dxa"/>
            <w:vAlign w:val="bottom"/>
            <w:gridSpan w:val="3"/>
          </w:tcPr>
          <w:p>
            <w:pPr>
              <w:jc w:val="center"/>
              <w:ind w:right="280"/>
              <w:spacing w:after="0" w:line="210" w:lineRule="exact"/>
              <w:rPr>
                <w:sz w:val="20"/>
                <w:szCs w:val="20"/>
                <w:color w:val="auto"/>
              </w:rPr>
            </w:pPr>
            <w:r>
              <w:rPr>
                <w:rFonts w:ascii="Arial" w:cs="Arial" w:eastAsia="Arial" w:hAnsi="Arial"/>
                <w:sz w:val="16"/>
                <w:szCs w:val="16"/>
                <w:b w:val="1"/>
                <w:bCs w:val="1"/>
                <w:color w:val="auto"/>
                <w:w w:val="96"/>
              </w:rPr>
              <w:t>Pro Forma</w:t>
            </w:r>
            <w:r>
              <w:rPr>
                <w:rFonts w:ascii="Arial" w:cs="Arial" w:eastAsia="Arial" w:hAnsi="Arial"/>
                <w:sz w:val="21"/>
                <w:szCs w:val="21"/>
                <w:b w:val="1"/>
                <w:bCs w:val="1"/>
                <w:color w:val="auto"/>
                <w:w w:val="96"/>
                <w:vertAlign w:val="superscript"/>
              </w:rPr>
              <w:t>(1)</w:t>
            </w:r>
          </w:p>
        </w:tc>
        <w:tc>
          <w:tcPr>
            <w:tcW w:w="1200" w:type="dxa"/>
            <w:vAlign w:val="bottom"/>
          </w:tcPr>
          <w:p>
            <w:pPr>
              <w:ind w:left="40"/>
              <w:spacing w:after="0" w:line="210" w:lineRule="exact"/>
              <w:rPr>
                <w:sz w:val="20"/>
                <w:szCs w:val="20"/>
                <w:color w:val="auto"/>
              </w:rPr>
            </w:pPr>
            <w:r>
              <w:rPr>
                <w:rFonts w:ascii="Arial" w:cs="Arial" w:eastAsia="Arial" w:hAnsi="Arial"/>
                <w:sz w:val="16"/>
                <w:szCs w:val="16"/>
                <w:b w:val="1"/>
                <w:bCs w:val="1"/>
                <w:color w:val="auto"/>
              </w:rPr>
              <w:t>Adjusted</w:t>
            </w:r>
            <w:r>
              <w:rPr>
                <w:rFonts w:ascii="Arial" w:cs="Arial" w:eastAsia="Arial" w:hAnsi="Arial"/>
                <w:sz w:val="21"/>
                <w:szCs w:val="21"/>
                <w:b w:val="1"/>
                <w:bCs w:val="1"/>
                <w:color w:val="auto"/>
                <w:vertAlign w:val="superscript"/>
              </w:rPr>
              <w:t>(2)(3)</w:t>
            </w:r>
          </w:p>
        </w:tc>
      </w:tr>
      <w:tr>
        <w:trPr>
          <w:trHeight w:val="223"/>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Loans held for sale, at fair value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Marketable securities, at fair value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Digital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87,566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 servicing asset, at fair value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1,159,578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Payables to third-party loan owners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54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305,294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long term</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796,203</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26"/>
        <w:spacing w:after="0" w:line="255"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gives effect to (i) the Capital Stock Conversion, (ii) the Reclassification, and (iii) the Class B Stock Exchange, as if each such event had occurred on December 31, 2024.</w:t>
      </w:r>
    </w:p>
    <w:p>
      <w:pPr>
        <w:ind w:left="340" w:hanging="326"/>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on a pro forma as adjusted basis, the pro forma adjustments described in footnote (1) above and the issuance and sale by</w:t>
      </w:r>
    </w:p>
    <w:p>
      <w:pPr>
        <w:sectPr>
          <w:pgSz w:w="11900" w:h="16838" w:orient="portrait"/>
          <w:cols w:equalWidth="0" w:num="1">
            <w:col w:w="9920"/>
          </w:cols>
          <w:pgMar w:left="980" w:top="1440" w:right="999" w:bottom="1440" w:gutter="0" w:footer="0" w:header="0"/>
        </w:sectPr>
      </w:pPr>
    </w:p>
    <w:p>
      <w:pPr>
        <w:spacing w:after="0" w:line="15"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us of shares of Class A common stock in this offering at the assumed initial public offering price of $ midpoint of the estimated offering price range set forth on the cover page of this prospectus, and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ind w:firstLine="204"/>
        <w:spacing w:after="0" w:line="270" w:lineRule="auto"/>
        <w:rPr>
          <w:sz w:val="20"/>
          <w:szCs w:val="20"/>
          <w:color w:val="auto"/>
        </w:rPr>
      </w:pPr>
      <w:r>
        <w:rPr>
          <w:rFonts w:ascii="Arial" w:cs="Arial" w:eastAsia="Arial" w:hAnsi="Arial"/>
          <w:sz w:val="16"/>
          <w:szCs w:val="16"/>
          <w:color w:val="auto"/>
        </w:rPr>
        <w:t>per share, which is the after deducting estimated</w:t>
      </w:r>
    </w:p>
    <w:p>
      <w:pPr>
        <w:spacing w:after="0" w:line="166" w:lineRule="exact"/>
        <w:rPr>
          <w:sz w:val="20"/>
          <w:szCs w:val="20"/>
          <w:color w:val="auto"/>
        </w:rPr>
      </w:pPr>
    </w:p>
    <w:p>
      <w:pPr>
        <w:sectPr>
          <w:pgSz w:w="11900" w:h="16838" w:orient="portrait"/>
          <w:cols w:equalWidth="0" w:num="2">
            <w:col w:w="7920" w:space="80"/>
            <w:col w:w="1920"/>
          </w:cols>
          <w:pgMar w:left="980" w:top="1440" w:right="999" w:bottom="1440" w:gutter="0" w:footer="0" w:header="0"/>
          <w:type w:val="continuous"/>
        </w:sectPr>
      </w:pPr>
    </w:p>
    <w:p>
      <w:pPr>
        <w:jc w:val="both"/>
        <w:ind w:left="340" w:hanging="323"/>
        <w:spacing w:after="0" w:line="252" w:lineRule="auto"/>
        <w:rPr>
          <w:sz w:val="20"/>
          <w:szCs w:val="20"/>
          <w:color w:val="auto"/>
        </w:rPr>
      </w:pPr>
      <w:r>
        <w:rPr>
          <w:rFonts w:ascii="Arial" w:cs="Arial" w:eastAsia="Arial" w:hAnsi="Arial"/>
          <w:sz w:val="16"/>
          <w:szCs w:val="16"/>
          <w:color w:val="auto"/>
        </w:rPr>
        <w:t>(3) Each $1.00 increase or decrease in the assumed initial public offering price of $</w:t>
      </w:r>
      <w:r>
        <w:rPr>
          <w:sz w:val="20"/>
          <w:szCs w:val="20"/>
          <w:color w:val="auto"/>
        </w:rPr>
        <w:t xml:space="preserve"> </w:t>
      </w:r>
      <w:r>
        <w:rPr>
          <w:rFonts w:ascii="Arial" w:cs="Arial" w:eastAsia="Arial" w:hAnsi="Arial"/>
          <w:sz w:val="16"/>
          <w:szCs w:val="16"/>
          <w:color w:val="auto"/>
        </w:rPr>
        <w:t>per share, which is the midpoint of the estimated offering price range set forth on the cover page of this prospectus, would increase or decrease, as applicable, each of our pro forma as adjusted cash and cash equivalents, working capital, total assets and total stockholder’s equity by approximately $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offered by us would increase or decrease, as applicable, each of our pro forma as adjusted cash and cash equivalents, working capital, total assets and total stockholder’s equity by approximately</w:t>
      </w:r>
    </w:p>
    <w:p>
      <w:pPr>
        <w:spacing w:after="0" w:line="2" w:lineRule="exact"/>
        <w:rPr>
          <w:sz w:val="20"/>
          <w:szCs w:val="20"/>
          <w:color w:val="auto"/>
        </w:rPr>
      </w:pPr>
    </w:p>
    <w:p>
      <w:pPr>
        <w:jc w:val="both"/>
        <w:ind w:left="340" w:hanging="2"/>
        <w:spacing w:after="0" w:line="264" w:lineRule="auto"/>
        <w:tabs>
          <w:tab w:leader="none" w:pos="673"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million, assuming that the assumed initial public offering price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jc w:val="both"/>
        <w:ind w:left="20" w:firstLine="324"/>
        <w:spacing w:after="0" w:line="262" w:lineRule="auto"/>
        <w:rPr>
          <w:sz w:val="20"/>
          <w:szCs w:val="20"/>
          <w:color w:val="auto"/>
        </w:rPr>
      </w:pPr>
      <w:r>
        <w:rPr>
          <w:rFonts w:ascii="Arial" w:cs="Arial" w:eastAsia="Arial" w:hAnsi="Arial"/>
          <w:sz w:val="18"/>
          <w:szCs w:val="18"/>
          <w:color w:val="auto"/>
        </w:rPr>
        <w:t>We review a number of operating and financial metrics, including the following key metrics and non-GAAP financial measures to evaluate our business, measure our performance, identify trends affecting our business, formulate business plans, and make strategic decisions. The following table sets forth the key performance measures that we use to evaluate our business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920"/>
          </w:cols>
          <w:pgMar w:left="980" w:top="1440" w:right="999" w:bottom="1440"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218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321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6"/>
                <w:szCs w:val="16"/>
                <w:b w:val="1"/>
                <w:bCs w:val="1"/>
                <w:color w:val="auto"/>
              </w:rPr>
              <w:t>For the Years Ended December 31,</w:t>
            </w:r>
          </w:p>
        </w:tc>
      </w:tr>
      <w:tr>
        <w:trPr>
          <w:trHeight w:val="21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r>
      <w:tr>
        <w:trPr>
          <w:trHeight w:val="223"/>
        </w:trPr>
        <w:tc>
          <w:tcPr>
            <w:tcW w:w="698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Loan Origination System Volume</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3,368,861</w:t>
            </w:r>
          </w:p>
        </w:tc>
      </w:tr>
      <w:tr>
        <w:trPr>
          <w:trHeight w:val="230"/>
        </w:trPr>
        <w:tc>
          <w:tcPr>
            <w:tcW w:w="6980" w:type="dxa"/>
            <w:vAlign w:val="bottom"/>
          </w:tcPr>
          <w:p>
            <w:pPr>
              <w:ind w:left="40"/>
              <w:spacing w:after="0" w:line="230" w:lineRule="exact"/>
              <w:rPr>
                <w:sz w:val="20"/>
                <w:szCs w:val="20"/>
                <w:color w:val="auto"/>
              </w:rPr>
            </w:pPr>
            <w:r>
              <w:rPr>
                <w:rFonts w:ascii="Arial" w:cs="Arial" w:eastAsia="Arial" w:hAnsi="Arial"/>
                <w:sz w:val="18"/>
                <w:szCs w:val="18"/>
                <w:color w:val="auto"/>
              </w:rPr>
              <w:t>Figure Connect Volume</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709,566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Figure Exchange Volume</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340,885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209,549</w:t>
            </w:r>
          </w:p>
        </w:tc>
      </w:tr>
      <w:tr>
        <w:trPr>
          <w:trHeight w:val="23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r>
      <w:tr>
        <w:trPr>
          <w:trHeight w:val="229"/>
        </w:trPr>
        <w:tc>
          <w:tcPr>
            <w:tcW w:w="6980" w:type="dxa"/>
            <w:vAlign w:val="bottom"/>
          </w:tcPr>
          <w:p>
            <w:pPr>
              <w:ind w:left="40"/>
              <w:spacing w:after="0" w:line="230" w:lineRule="exact"/>
              <w:rPr>
                <w:sz w:val="20"/>
                <w:szCs w:val="20"/>
                <w:color w:val="auto"/>
              </w:rPr>
            </w:pPr>
            <w:r>
              <w:rPr>
                <w:rFonts w:ascii="Arial" w:cs="Arial" w:eastAsia="Arial" w:hAnsi="Arial"/>
                <w:sz w:val="18"/>
                <w:szCs w:val="18"/>
                <w:color w:val="auto"/>
              </w:rPr>
              <w:t>Adjusted Net Revenue</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339,182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214,168</w:t>
            </w:r>
          </w:p>
        </w:tc>
      </w:tr>
      <w:tr>
        <w:trPr>
          <w:trHeight w:val="230"/>
        </w:trPr>
        <w:tc>
          <w:tcPr>
            <w:tcW w:w="69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both"/>
        <w:ind w:left="340" w:hanging="326"/>
        <w:spacing w:after="0" w:line="256"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the section titled “Management’s Discussion and Analysis of Financial Condition and Results of Operations—Key Operating Metrics” for definitions and further information about why and how we calculate Loan Origination System Volume, Figure Connect Volume, and Figure Exchange Volume.</w:t>
      </w:r>
    </w:p>
    <w:p>
      <w:pPr>
        <w:spacing w:after="0" w:line="1" w:lineRule="exact"/>
        <w:rPr>
          <w:rFonts w:ascii="Arial" w:cs="Arial" w:eastAsia="Arial" w:hAnsi="Arial"/>
          <w:sz w:val="16"/>
          <w:szCs w:val="16"/>
          <w:color w:val="auto"/>
        </w:rPr>
      </w:pPr>
    </w:p>
    <w:p>
      <w:pPr>
        <w:jc w:val="both"/>
        <w:ind w:left="340" w:right="20" w:hanging="326"/>
        <w:spacing w:after="0" w:line="258"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the section titled “Management’s Discussion and Analysis of Financial Condition and Results of Operations—Non-GAAP Financial Measures” for a description of Adjusted Net Revenue and Adjusted EBITDA and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920"/>
          </w:cols>
          <w:pgMar w:left="980" w:top="1440" w:right="999" w:bottom="1440" w:gutter="0" w:footer="0" w:header="0"/>
        </w:sectPr>
      </w:pPr>
    </w:p>
    <w:bookmarkStart w:id="30" w:name="page31"/>
    <w:bookmarkEnd w:id="30"/>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Before making an investment decision,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results of operations, financial condition, or prospects could also be harmed by risks and uncertainties not currently known to us or that we currently do not believe are material. If any of the risks actually occur, our business, results of operations, financial condition, and prospects could be adversely affected. In that event, the market price of our Class A common stock could decline, and you could lose part or all of your investment. The risks and uncertainties described below are not guarantees that no such conditions exist as of the date of this prospectus and should not be interpreted as an affirmative statement that such risks or conditions have not materialized, in whole or in part.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Financial, and Operational Risks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a history of losses, we may not be able to maintain profitability in the future, and there is no assurance that our revenue and business model will be successful.</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a history of net losses. We expect our costs will increase over time, and while we had net income of $20 million for the year ended December 31, 2024, we may continue to generate losses in the future as we invest significant additional funds towards growing our business and operating as a public company. Such losses may fluctuate significantly from quarter to quarter.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effectively manage our growth, our business, financial condition, and results of operations could be adversely affected.</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and financial performance in prior years may not be indicative of future performance.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prospects and may increase the risk of your investment.</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spacing w:after="0" w:line="9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accurately forecast our revenue or volume, and to plan our operating expenses;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maintain a scalable, high-performance technology infrastructure that can efficiently and reliably process an increased number of HELOC originations and other product offerings, as well as the deployment of new features and services;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or increase the volume of HELOC originations and other product offerings, such as our digital assets-secured personal loan product, enabled through our platform;</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and maintain existing relationships with our network of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attract new customers to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identify, negotiate, execute, and integrate strategic acquisitions and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compete with current and future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adjust our proprietary technology, products, and services in a timely manner in response to changing macroeconomic conditions and fluctuations in the credit market;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introduce new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 to rapidly evolving trends in the way our consumers and our network of partners interact with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 against fraud and online theft;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avoid interruptions or disruptions in our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39" w:lineRule="exact"/>
        <w:rPr>
          <w:sz w:val="20"/>
          <w:szCs w:val="20"/>
          <w:color w:val="auto"/>
        </w:rPr>
      </w:pPr>
    </w:p>
    <w:p>
      <w:pPr>
        <w:ind w:left="660" w:right="2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secure and maintain the confidentiality of the information received, accessed, stored, provided, used, and otherwise processed across our systems and our third-party vendors;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obtain and maintain funding and liquidity to support continued growth and general corporate purposes;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manage growth in our personnel and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face risks from the underperformance of any assets we have originated and/or serviced to date, which include HELOCs, personal loans, student loans, and closed-end mortgages, as well as risks from the future underperformance of 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 their relationships with us, the number of loans and other transactions enabled through our platform could decrease and our business, financial condition, and results of operations could be adversely affected.</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to attract potential customers for our HELOC products on other products, and our ability to grow our business depends on our ability to continue these relationships.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depend on a number of strategic relationships to attract additional customers to our products. For example, through a number of strategic relationships, we purchase leads or otherwise advertise (e.g., on the provider’s website and/or via e-mail, or in the provider’s retail stores), on a non-exclusive basis, to consumers who may view the content and/or be customers of the lead or advertising platform providers. In some cases, we may offer consumers incentives to obtain HELOCs from us—such as gift cards—based on the consumers’ status as an enrollee or customer of a particular advertising platform.</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 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do not compete effectively in our target markets, our business, financial condition, and results of operations could be adversely affected.</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 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 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spacing w:after="0" w:line="12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To remain competitive, we may need to increase our regulatory compliance expenditures or our ability to compete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spacing w:after="0" w:line="128" w:lineRule="exact"/>
        <w:rPr>
          <w:sz w:val="20"/>
          <w:szCs w:val="20"/>
          <w:color w:val="auto"/>
        </w:rPr>
      </w:pPr>
    </w:p>
    <w:p>
      <w:pPr>
        <w:jc w:val="both"/>
        <w:ind w:left="660" w:hanging="328"/>
        <w:spacing w:after="0" w:line="259"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companies focused on the digital asset market, including (i) direct competitors with Figure Exchange who are also required to adhere to the same or similar local regulations as us and (ii)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traditional financial technology and brokerage firms that have entered the digital asset market in recent years and offer overlapping features targeted at our customers;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digital asset-focused companies and traditional financial incumbents that offer point or siloed solutions specifically targeted at institutional customers.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the recent change in administration may lead to a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 less stringent regulatory and compliance requirements, or none at all. The 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continue to incur significant costs to satisfy our legal and compliance obligations, which our unregulated or less regulated competitors have not had to and will not incur.</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Additionally, due to the broad nature of our products and services, we also compete with, and expect additional competition from, digital and mobile payment companies and other traditional financial services companies.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existing competitors for Figure Exchange have, and our potential competitors are expected to have, various competitive advantages over us, such as:</w:t>
      </w:r>
    </w:p>
    <w:p>
      <w:pPr>
        <w:spacing w:after="0" w:line="99" w:lineRule="exact"/>
        <w:rPr>
          <w:sz w:val="20"/>
          <w:szCs w:val="20"/>
          <w:color w:val="auto"/>
        </w:rPr>
      </w:pPr>
    </w:p>
    <w:p>
      <w:pPr>
        <w:ind w:left="660" w:right="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products and services globally. Incumbents were able to operate while jurisdictions worked to develop local legislation and had the resources to pursue licenses around the global simultaneously;</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name recognition, longer operating histories, larger customer bases, and larger market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sales and marketing budgets and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 established marketing, banking, financial, and compliance relationships;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and more mature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number of applicable licenses or similar authorizations;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operations in certain jurisdictions with lower compliance costs and greater flexibility to explore new product offerings.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If we are unable to compete successfully, or if competing successfully requires us to take costly actions in response to the actions of our competitors, our business, financial condition, and results of operations could be adversely affected.</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expect to introduce and develop new products and services, and if these products or services are not successful or we are unable to manage the related risks, our business, financial condition, and results of operations could be adversely affected.</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are continuing to invest in the development of new products and services. For example, we launched Figure Exchange in March 2024, Figure Connect in June 2024, and YLDS in February 2025. New 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cannot be sure that we will be able to develop, commercially market, and achieve market acceptance of any new products and services, including Figure Exchange, Figure Connect, and YLDS.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our recently launched products Figure Connect, Figure Exchange and YLDS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customers, and to attract new customers may be adversely affected.</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Negative publicity and unfavorable media coverage could adversely affect our business, financial condition,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In connection with the Recombination, we plan to appoint additional members to our board of directors. Our future success will depend, in part, on the ability of our new executives and board members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could harm our ability to attract and retain talent. Our executive officers and other employees are at-will employees, which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long-term effects of climate change on the global economy and in particular our industry are unclear;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Use of, and reliance on, blockchain technology in the lending industry is still at an early stage among participants, and we do not know whether financial services firms will continue to use our platform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 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 products and services. Though we believe that the anticipated benefits of digital assets will create such demand, there can be no assurance that this will occur, or if it does occur, that it will be in the near term.</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spacing w:after="0" w:line="128" w:lineRule="exact"/>
        <w:rPr>
          <w:sz w:val="20"/>
          <w:szCs w:val="20"/>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digital asset networks are in the process of implementing software upgrades and other changes to their protocols, which could introduce software bugs, security risks, or adversely affect the respective digital asset networks;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9"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spacing w:after="0" w:line="128" w:lineRule="exact"/>
        <w:rPr>
          <w:sz w:val="20"/>
          <w:szCs w:val="20"/>
          <w:color w:val="auto"/>
        </w:rPr>
      </w:pPr>
    </w:p>
    <w:p>
      <w:pPr>
        <w:jc w:val="both"/>
        <w:ind w:left="328" w:right="20" w:hanging="328"/>
        <w:spacing w:after="0" w:line="268"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spacing w:after="0" w:line="122"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costs of electricity, environmental restrictions, and regulations make it uneconomic for miners to operate or maintain blockchain networks, the overall security and efficiency of digital asset networks may be adversely affected, potentially impacting their reliability and attractiveness to users and investors;</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w:t>
      </w:r>
    </w:p>
    <w:p>
      <w:pPr>
        <w:spacing w:after="0" w:line="12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digital asset networks and protocols are in the early stages of developing partnerships and collaborations, all of which may not succeed and adversely affect the usability and adoption of the respective digital assets;</w:t>
      </w:r>
    </w:p>
    <w:p>
      <w:pPr>
        <w:spacing w:after="0" w:line="98"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8"/>
          </w:cols>
          <w:pgMar w:left="652" w:top="1440" w:right="339" w:bottom="1440" w:gutter="0" w:footer="0" w:header="0"/>
        </w:sectPr>
      </w:pPr>
    </w:p>
    <w:bookmarkStart w:id="43" w:name="page44"/>
    <w:bookmarkEnd w:id="43"/>
    <w:p>
      <w:pPr>
        <w:spacing w:after="0" w:line="139" w:lineRule="exact"/>
        <w:rPr>
          <w:sz w:val="20"/>
          <w:szCs w:val="20"/>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lack of liquid markets in certain digital assets, and these markets are subject to possible manipulation;</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digital assets have concentrated ownership, and large sales or distributions by significant holders of such digital assets, or “whales,” could have an adverse effect on the market price of such digital assets;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characteristics of digital assets have been, and may in the future continue to be, exploited to facilitate illegal activity such as fraud, money laundering, tax evasion, and ransomware scams;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governments, quasi-government and other regulatory bodies may impose additional regulation on digital assets and blockchain technology, and the regulatory environment for digital assets is changing and unpredictable;</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consumer demographics, public tastes and preferences, and general economic conditions may change and affect the acceptance and popularity of digital assets; and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forks of digital assets may occur at any time. A fork can lead to a disruption of networks and our information and technology systems, cybersecurity attacks, replay attacks, or security weaknesses, any of which can further lead to assets being unavailable for a period of time or temporary or even permanent loss of assets.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our Class A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To the extent that we seek to grow through future acquisitions or other strategic investments or alliances, we may not be able to do so effectively.</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 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Specific Risks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a significant amount of loans on our balance sheet funded through warehouse credit facilities. Of the $396 million of loans on our balance sheet as of December 31, 2024, $305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December 31, 2024, we did not hold the first lien on 91% of the HELOCs on our balance sheet. In addition, non-performance, or even significant underperformance, of the loan receivables that we own could have an adverse effect on our business, financial condition, and results of operations.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result in the liquidation of the borrower’s digital assets, potentially leading to financial losses and borrower dissatisfaction.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Increases in borrower default rates, due to deteriorating economic conditions or other factors, could make us and our loans less attractive to our existing or prospective funding sources, including loan purchasers on the secondary market, 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 cost of providing future financing or refuse to provide future financing or purchase loans on terms acceptable to us or at all.</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HELOC securitizations are non-recourse to us and are collateralized by the pool of our HELOCs pledged to the relevant securitization issuer. If the loans securing our securitizations fail to perform as expected, rating agencies may place our bonds on watch or change their ratings on (or their ratings methodology for) the bonds issued by our securitization trusts. Our loan performance and any actions taken by the rating agencies could result in the lenders under our warehouse credit facilities, the institutional investors who purchase our loans, the investors in our securitizations who purchase securities backed by our loans, or future lenders, loan purchasers on the secondary market or securitization investors in similar arrangements, increasing the cost of providing future financing or refusing to provide future financing or purchase loans on terms acceptable to us or at all.</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spacing w:after="0" w:line="11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debt collection practices apply to the origination, ownership, servicing, or collection of the HELOCs and other loans we make.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Title V of the Depository Institutions Deregulation and Monetary Control Act of 1980 (“Title V”, “DIDMCA”), section 501, generally preempts state usury limitations on certain loans, mortgages, credit sales, or advances secured by a </w:t>
      </w:r>
      <w:r>
        <w:rPr>
          <w:rFonts w:ascii="Arial" w:cs="Arial" w:eastAsia="Arial" w:hAnsi="Arial"/>
          <w:sz w:val="18"/>
          <w:szCs w:val="18"/>
          <w:i w:val="1"/>
          <w:iCs w:val="1"/>
          <w:color w:val="auto"/>
        </w:rPr>
        <w:t>first lien on residential real property</w:t>
      </w:r>
      <w:r>
        <w:rPr>
          <w:rFonts w:ascii="Arial" w:cs="Arial" w:eastAsia="Arial" w:hAnsi="Arial"/>
          <w:sz w:val="18"/>
          <w:szCs w:val="18"/>
          <w:color w:val="auto"/>
        </w:rPr>
        <w:t xml:space="preserve"> 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Arial" w:cs="Arial" w:eastAsia="Arial" w:hAnsi="Arial"/>
          <w:sz w:val="18"/>
          <w:szCs w:val="18"/>
          <w:i w:val="1"/>
          <w:iCs w:val="1"/>
          <w:color w:val="auto"/>
        </w:rPr>
        <w:t>subordinate</w:t>
      </w:r>
      <w:r>
        <w:rPr>
          <w:rFonts w:ascii="Arial" w:cs="Arial" w:eastAsia="Arial" w:hAnsi="Arial"/>
          <w:sz w:val="18"/>
          <w:szCs w:val="18"/>
          <w:color w:val="auto"/>
        </w:rPr>
        <w:t xml:space="preserve"> lien on the related property, that HELOC </w:t>
      </w:r>
      <w:r>
        <w:rPr>
          <w:rFonts w:ascii="Arial" w:cs="Arial" w:eastAsia="Arial" w:hAnsi="Arial"/>
          <w:sz w:val="18"/>
          <w:szCs w:val="18"/>
          <w:i w:val="1"/>
          <w:iCs w:val="1"/>
          <w:color w:val="auto"/>
        </w:rPr>
        <w:t>will not</w:t>
      </w:r>
      <w:r>
        <w:rPr>
          <w:rFonts w:ascii="Arial" w:cs="Arial" w:eastAsia="Arial" w:hAnsi="Arial"/>
          <w:sz w:val="18"/>
          <w:szCs w:val="18"/>
          <w:color w:val="auto"/>
        </w:rPr>
        <w:t xml:space="preserve"> qualify for preemption of state usury laws under Title V, as preemption under section 501 of Title V generally applies only to </w:t>
      </w:r>
      <w:r>
        <w:rPr>
          <w:rFonts w:ascii="Arial" w:cs="Arial" w:eastAsia="Arial" w:hAnsi="Arial"/>
          <w:sz w:val="18"/>
          <w:szCs w:val="18"/>
          <w:i w:val="1"/>
          <w:iCs w:val="1"/>
          <w:color w:val="auto"/>
        </w:rPr>
        <w:t>first</w:t>
      </w:r>
      <w:r>
        <w:rPr>
          <w:rFonts w:ascii="Arial" w:cs="Arial" w:eastAsia="Arial" w:hAnsi="Arial"/>
          <w:sz w:val="18"/>
          <w:szCs w:val="18"/>
          <w:color w:val="auto"/>
        </w:rPr>
        <w:t xml:space="preserve"> 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 may be subject to applicable state and local law limitations, including with respect to interest rates, loan charges, and other fees.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 entities, and any of their respective assignees, could be subject to litigation (including damages), investigation, enforcement and other regulatory and legal 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HELOCs are characterized as “open-end credit” for purposes of the TILA because we contemplate that they will be used for repeated draws.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under state licensing, mortgage lending, mortgage servicing, and usury laws, on closed-end mortgage loans that our HELOCs may not satisfy if they were to be re-characterized as extensions of closed-end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proceeds of each of our HELOCs are fully drawn at account opening, with borrowers having the ability to take additional draws as the initial and any subsequent draws are repaid. Draw periods on the HELOCs generally last between two and five years after origination. Additionally, each draw (including the initial draw) is amortized from the draw date to the maturity date, and the interest rate for each draw is fixed, with the rate for draws after the initial draw being set based on a designated index and margin. The foregoing characteristics could potentially lead to scrutiny regarding whether the HELOCs may be “closed-end” or variable-rate credit. Accordingly, there can be no guarantee 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In addition, each draw (including the initial draw) is amortized from the draw date to the maturity date, and the interest rate for each draw is fixed, with the rate for draws after the initial draw being set based on a designated index and margin. Because the rate applicable to each draw does not vary after the draw is made, we originate our HELOCs in compliance with legal requirements applicable to fixed-rate HELOCs, which, in certain cases, may differ from the legal requirements that apply to variable-rate HELOCs. If a court or regulator were to recharacterize our HELOCs as a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 that we have originated to date and would have a material adverse effect on our business, financial condition, and results of operations.</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Borrowers may prepay a loan at any time without penalty, which could reduce our servicing fees and deter our partners and loan purchasers from investing in our loans.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management and security of digital assets collateral presents risk of potential loss of the collateral and attendant legal and reputational consequences.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third-party custodial service providers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digital assets-secured personal loans are structured with fixed interest rates and fees based on the loans’ initial loan -to-value ratios. If the value of the digital assets collateral decreases significantly, the loan-to-value ratio can rise, triggering a margin call, which requires borrowers to either add more collateral or make payments to restore the loan-to-value ratio to its original level. Failure to meet margin calls can result in the liquidation of the borrower’s digital assets, potentially leading to financial losses for us if the collateral is insufficient to repay the borrower’s debt and borrower dissatisfaction.</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Reliance on technology for digital assets-secured loans exposes us to the financial, legal, and reputational risks associated with potential system failures, data inaccuracies, and cybersecurity threats.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spacing w:after="0" w:line="13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do not make accurate credit and pricing decisions or effectively forecast our loss rates, our business, financial condition, and results of operations could be adversely affected.</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 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rely upon the accuracy and completeness of information about borrowers, and any misrepresented information or fraud could adversely affect our financial condition and reputation.</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While we take precautions to prevent borrower identity fraud, our borrowers have been, and may again be, subject to identity fraud, which may adversely affect the performance of the loans facilitated through our platform.</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underwriting may not accurately predict the likelihood of default for all loans, which could result in substantial losses that adversely affect our business, financial condition, and results of operations.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some of the loans we originate have been, and in the future could be, made to self-employed borrowers, or to borrowers who do not live in the home subject to a HELOC. For example, during the year ended December 31, 2024, 8%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unique features of our LOS, including reliance on online notaries, AVMs, and lien data may expose us to a greater risk of loss, which could harm our partners and investor relationships and our business, financial condition,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Certain aspects of our LOS, including our reliance on remote online notaries (in place of in-person notaries), AVMs (in place of appraisals or other valuation methods), and lien data (in place of title searches and title insurance), may expose us to a greater risk of loss, which could harm our partners and investor relationships and our business, financial condition, and results of operations. For example, during the origination process in 2024, 59% of the security instruments associated with our loans were notarized 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2024, we used our remote online notaries to notarize security instruments in 63% of all of the counties where we record security instruments, and 83% of all of the counties where we have recorded security instruments allow electronic recording of security instruments (whether we use a 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primarily utilize a gain-on-sale origination model and, consequently, our business is affected by the cost and availability of funding in the capital markets.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 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2024, the aggregate borrowing limit on our warehouse credit facilities, including REIT, was $1.4 billion. During 2024, our average utilization rate of the warehouse credit facilities, excluding REIT, as each was available throughout the year was 21%.</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Loan production activities generally require short-term liquidity in excess of amounts generated by our operations. The HELOCs we produce are typically financed through one of our warehouse credit facilities before being sold to a loan 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years ended December 31, 2024 and 2023, we received $4 billion and $2 billion from the sale of loans and $456 million and $818 million from securitizations, respectively. 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we fail to meet or satisfy any of the financial or other covenants included in our warehouse credit facilities, we would be in default under one or more of these facilities, and our lenders could elect to declare all amounts outstanding under the facilities to be immediately due and payable, enforce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spacing w:after="0" w:line="1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spacing w:after="0" w:line="11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December 31, 2024, we have facilitated 11 securitizations of HELOCs for a total issuance of over $3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our sponsored or co-sponsored securitizations, we sell and convey pools of HELOCs to Variable Interest Entities (“VIEs”). Each securitization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 subordinated securities we or other transaction participants retain in such securitization VIEs might be reduced or, in some cases, eliminated.</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 eliminating all or some interest rate risks. See the sections titled “—Risks Related to Market and Interest Rates—Our loan financing and selling strategy exposes us to interest rate volatility risk”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Operations—Liquidity and Capital Resources—Warehouse Credit Facilities” for more information.</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 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Wall Street Reform and Consumer Protection Act (the “Dodd-Frank Act”), the Investment Company Act of 1940, as amended (the “Investment Company Act”), and the so-called “Volcker Rule,” may affect the type of securitizations that we are able to complete.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gain on sale and related servicing fees generated by our whole loan sales, and the servicing fees based on sales of asset-backed securities, represent a substantial portion of our earnings. For the year ended December 31, 2024, we recognized gain on sale of our whole loan sales of $103 million and servicing fees of $25 million for the same period. While we have in the past recognized losses on the sale of loan and asset-backed securities, excluding losses incurred on repurchases and charge-offs, such losses have historically been minimal and, as of December 31, 2024,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cannot assure you that our loan purchasers will continue to purchase loans or securities, either through whole loan sales or asset-backed securities, or that loan purchasers will continue to purchase loans in transactions that generate the same spreads and/or fees that we have historically obtained. Factors that may affect loan purchaser demand for loans include:</w:t>
      </w:r>
    </w:p>
    <w:p>
      <w:pPr>
        <w:spacing w:after="0" w:line="117" w:lineRule="exact"/>
        <w:rPr>
          <w:sz w:val="20"/>
          <w:szCs w:val="20"/>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9"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increase due to delinquencies or defaults may reduce overall net return on purchased pools of HELOCs;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loan purchasers’ sector and company investment diversification requirements and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higher-yield investment opportunities at a risk profile deemed similar to our sold loan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prepayment behavior within the underlying pools;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HELOCs; and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3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 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HELOCs, or significant in scope, across multiple pools of HELOCs. If we were required to make such repurchases and if we do not have adequate liquidity to fund such repurchases, our business, financial condition, and results of operations could be adversely affected.</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 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Digital Assets</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Arial" w:cs="Arial" w:eastAsia="Arial" w:hAnsi="Arial"/>
          <w:sz w:val="18"/>
          <w:szCs w:val="18"/>
          <w:i w:val="1"/>
          <w:iCs w:val="1"/>
          <w:color w:val="auto"/>
        </w:rPr>
        <w:t>SEC v. W.J. Howey Co.</w:t>
      </w:r>
      <w:r>
        <w:rPr>
          <w:rFonts w:ascii="Arial" w:cs="Arial" w:eastAsia="Arial" w:hAnsi="Arial"/>
          <w:sz w:val="18"/>
          <w:szCs w:val="18"/>
          <w:color w:val="auto"/>
        </w:rPr>
        <w:t xml:space="preserve"> for identifying an “investment contract” that constitutes a “security.” In certain contexts, especially in the context of digital asset yield and earn offerings, the SEC and private plaintiffs have also invoked the test in the 1990 Supreme Court case </w:t>
      </w:r>
      <w:r>
        <w:rPr>
          <w:rFonts w:ascii="Arial" w:cs="Arial" w:eastAsia="Arial" w:hAnsi="Arial"/>
          <w:sz w:val="18"/>
          <w:szCs w:val="18"/>
          <w:i w:val="1"/>
          <w:iCs w:val="1"/>
          <w:color w:val="auto"/>
        </w:rPr>
        <w:t>Reves v. Ernst &amp; Young</w:t>
      </w:r>
      <w:r>
        <w:rPr>
          <w:rFonts w:ascii="Arial" w:cs="Arial" w:eastAsia="Arial" w:hAnsi="Arial"/>
          <w:sz w:val="18"/>
          <w:szCs w:val="18"/>
          <w:color w:val="auto"/>
        </w:rPr>
        <w:t xml:space="preserve"> for identifying a “note” that constitutes a “security.” The application of these and other relevant judicial precedents requires a highly complex, fact-driven analysis. Accordingly,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With limited exception, the SEC and its staff generally do not provide advance guidance of the status of any particular digital asset, product or service as a security or the offering or sale thereof as a 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the Securities Act does not preempt U.S. state law with respect to determining whether a digital asset, product or service is a security. Each state has the right to enforce its own securities laws and may ultimately determine that a 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spacing w:after="0" w:line="12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It is also possible that the recent change in administration and the resulting composition of the SEC could substantially impact the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quarter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beginning of the second quarter of 2025 providing guidance surrounding the applicability of the securities laws with regard to topics such as Proof-of-Work (“PoW”) Mining Activities, certain stablecoins, and digital asset-related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disclosures in securities offering and registration statements. The SEC also announced that it is hosting roundtables on topics such as defining the security status of digital assets and tailoring regulation for digital asset trading.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spacing w:after="0" w:line="12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spacing w:after="0" w:line="13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was presented to it, would agree with our assessment. We expect our risk assessment policies and procedures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continuously evolve to take into account case law, legislative developments, facts, and developments in technology.</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 by the SEC, a state or foreign 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if Bitcoin, Ether, stablecoins or any other supported digital asset is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 example, under current SEC guidance, digital assets that are securities cannot be held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customers by broker-dealers that also support activity in traditional securities, and the SEC has not permitted public permissionless blockchain-based clearance and settlement systems for securities. While we are not engaged in the business of investing, reinvesting, or trading in securities, if our holdings of digital assets that are deemed securities exceed 40% of our total assets (exclusive of government securities and cash items) on a consolidated basis, we could be deemed an investment company.</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Due to unfamiliarity and some negative publicity associated with digital asset platforms, confidence or interest in digital asset platforms may decline.</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Figure Exchange and loss of customer demand for our products and services.</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 problems outside of our control, such as malware in the customer’s browser or other account theft/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 disputes, damage to our brand and reputation, legal claims against us, and financial liabilities, any of which could adversely affect our business, financial condition, and results of operations.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experienced excessive redemptions or withdrawals, or prolonged suspended redemptions or withdrawals, of digital assets to date. However, similar to traditional financial institutions, we may experience temporary process-related 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 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safeguard and manage our and our customers’ fiat currencies and digital assets could adversely impact our business, financial condition, and results of operations.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hold fiat currencies and safeguard digital assets on behalf of our customers. Our expanding number of regulated entities will rely on an increasing number of hot and cold wallets, as well as an increasing number of omnibus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which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$ 1.4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deposit, transfer, and have custody of customer cash and digital assets in multiple jurisdictions. In each instance, we are required to safeguard customers’ assets using bank-level security standards applicable to our hot and cold wallet and storage systems, as well as our financial management systems related to such custodial functions. Our security technology is designed to prevent, detect, and mitigate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to any supported digital asset could adversely affect our business.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Bitcoin Cash ABC, Bitcoin Cash SV, Bitcoin Diamond, Bitcoin Gold, Ethereum Classic, EthereumPoW,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 alternatives. For example, in September 2022, the Ethereum Network successfully completed its Merge, moving from a PoW model to a Proof-of-Stake (“PoS”) model. EthereumPoW miners who 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splitting of some mining power across networks, making it easier for a malicious actor to exceed 50% of the mining power of that network, and thereby making digital assets that rely on PoW more susceptible to attack, as has occurred with Ethereum Classic.</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Future forks may occur at any time. A fork can lead to a disruption of networks and our information technology systems, cybersecurity attacks, replay attacks, or security weaknesses. Such disruption and loss could cause us to be exposed to liability, even in circumstances where we have no intention of supporting an asset compromised by a fork.</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From time to time, we may encounter technical issues in connection with the integration of supported digital assets and changes and upgrades to their underlying networks, which could adversely affect our business.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miners or validators of any supported digital asset demand high transaction fees, our business, financial condition, and results of operations may be adversely affected.</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Customers incur transaction fees when they send certain digital assets from their FMH account to a non-FMH account. In addition, we pay transaction fees when we move digital assets for various 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developments regarding the treatment of digital assets for U.S. and foreign tax purposes could adversely impact our business, financial condition, and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Due to the new and evolving nature of digital assets and the absence of comprehensive legal and tax guidance with respect to digital asset products and transactions, many significant aspects of the U.S. and foreign tax treatment of transactions involving digital assets, such as the purchase and sale of digital assets on Figure Exchange, as well as the provision of staking rewards and other digital asset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rewards products, are uncertain, and it is unclear whether, when and what guidance may be issued in the future on the treatment of digital asset transactions for U.S. and foreign tax purposes.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foreign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can be no assurance that the IRS, the U.S. state revenue agencies, local U.S. tax authorities or foreign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local, or foreign tax law. Any such developments could result in adverse tax consequences for holders of digital 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foreign tax purposes. The uncertainty regarding tax treatment of digital asset transactions impacts our customers, and could impact our business, both domestically and abroad.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with respect to digital asset transactions are subject to change.</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believe we are compliant with U.S. tax reporting and withholding requirements with respect to our customers’ digital asset transactions, the exact scope and application of such 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 new rules related to our tax reporting and withholding obligations on our customer transactions in ways that differ from our existing compliance protocols, and there can be no assurance that we will have proper records to ensure compliance for certain legacy customers or transactions. The Final Regulations will require us to invest substantially in new compliance measures.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Final Regulations will require us to invest substantially in new compliance measures and may require significant retroactive compliance efforts, which also could adversely affect our business, financial condition, and results of operations.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Similarly, it is likely that new rules for reporting digital assets under the global “common reporting standard” as well as the “crypto-asset reporting framework” will be implemented on our international operations, creating new obligations and a need to invest in new onboarding and reporting infrastructure. Such rules are under discussion by the member and observer states of the Organization for Economic Cooperation and Development and by the European Commission on behalf of the member states of the European Union. These new rules may give rise to potential 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 service providers in the European Union to report certain cross-border transactions to taxing authorities on a quarterly basis beginning in January 2024. Any actual or perceived failure by us to comply with the above or any other emerging tax regulations that apply to our operations could harm our business.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No. 121 (“SAB 121”), which represented a significant change regarding how a company 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strategy and focus on delivering high-quality, compliant, easy-to-use, and secure digital assets-related financial services may not maximize short-term or medium-term financial results.</w:t>
      </w:r>
    </w:p>
    <w:p>
      <w:pPr>
        <w:spacing w:after="0" w:line="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spacing w:after="0" w:line="10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currently support, and expect to continue to support, various digital assets that represent units of value on smart contracts deployed on a third-party blockchain. Smart contracts are programs that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 financial condition, and results of operations.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redemption risk, pricing risk, and regulatory risk associated with stablecoins may adversely affect our business, financial condition, and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Figure Certificate Company (“FCC”), recently launched YLDS, an interest-bearing transferable stablecoin.</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regulatory treatment of fiat-backed stablecoins is highly uncertain. 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financial condition, and results of operations.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 relatively small number of institutional market makers and high-transaction volume customers account for a significant amount of the trading volume on Figure Exchange. We expect significant trading volume and revenue attributable to these customers for the foreseeable future. As a result, a loss of these users, or a reduction in their trading volume, and our inability to replace these users with other users, could have an adverse effect on our business, financial condition, and results of operations.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affected if the markets for Bitcoin, Ether, or Hash deteriorate or if their prices decline, including because of the following factors:</w:t>
      </w:r>
    </w:p>
    <w:p>
      <w:pPr>
        <w:spacing w:after="0" w:line="171" w:lineRule="exact"/>
        <w:rPr>
          <w:sz w:val="20"/>
          <w:szCs w:val="20"/>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reduction in mining rewards of Bitcoin, including block reward halving events, which are events that occur after a specific period of time and reduces the block reward earned by miners;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hacks, forks, attacks by malicious actors who control a significant portion of the networks’ hash rate through double spend or 51% attacks, and similar incidents affecting the Bitcoin or Ethereum networks;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forks resulting in the creation of and divergence into multiple separate networks, such as Bitcoin Cash and Ethereum Classic;</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for Bitcoin and Ethereum Networks to resolve significant scaling challenges and increase the volume and speed of transactions;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 congestion and fees associated with processing transactions on the Bitcoin and Ethereum networks;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identification of Satoshi Nakamoto, the pseudonymous person or persons who developed Bitcoin, or the transfer of Nakamoto’s Bitcoin;</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mathematics, technology, digital computing, algebraic geometry, and quantum computing that could result in the cryptography which is used by Bitcoin and Ethereum Networks becoming insecure or ineffective;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legal proceedings or regulatory enforcement actions, judgments, or settlements impacting digital asset industry participants;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legislative, or other compulsory or informal restrictions or limitations on Bitcoin and Ethereum lending, mining, or staking activities;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liquidity and credit risk issues experienced by other digital asset platforms and other participants of the digital asset industry;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regulations affecting the Bitcoin and Ethereum Networks or access to these networks, including a determination that either Bitcoin, Ether, or Hash constitutes a security or other regulated financial instrument under the laws of any jurisdiction.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sell a significant percentage of our loans to a concentrated number of loan purchasers on the secondary market, and the loss of one or more significant purchasers could adversely affect our business, financial condition, and results of operations.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While we continue to diversify and add more loan purchasers, we currently sell a significant percentage of our loans to a concentrated number of loan purchasers. For example, our top three loan purchasers in 2024 collectively accounted for 38% of our loan sale volume, and individually accounted for 15%, 14%, and 10%, or $0.7 million, $0.6 million, and $0.4 million, respectively. Our top three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purchasers in 2023 collectively accounted for approximately 60% of our loan sale volume, and individually accounting for 27%, 21%, and 12% of our loan volume, or $0.9 million, $0.7 million, and $0.4 million, respectively.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counterparties may terminate our servicing rights pursuant to servicing agreements under which we conduct servicing activities.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 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of vendors to perform their contractual agreements embedded in our products and services and our failure to effectively oversee vendor operations could adversely affect our business, financial condition,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 and Interest Rates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In 2021, the U.S. Federal Reserve ended its quantitative easing program and started its balance sheet reduction plan. The U.S. Federal Reserve’s balance sheet consists of U.S. Treasury securities and mortgage-backed securities issued by Fannie Mae, Freddie Mac, and Ginnie Mae. Recently, the U.S. Federal Reserve has increased significantly its primary policy rate, which has and may continue to result in increased interest rates in the future. Since HELOC origination volumes tend to increase in rising interest rate environments and decrease in decreasing rate environments, we are exposed to cyclical changes as a result of shifts in interest rates. Fluctuations in interest rates significantly impact every aspect of our operations:</w:t>
      </w:r>
    </w:p>
    <w:p>
      <w:pPr>
        <w:spacing w:after="0" w:line="127" w:lineRule="exact"/>
        <w:rPr>
          <w:sz w:val="20"/>
          <w:szCs w:val="20"/>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interest rates beginning in April 2021 led to a sizable reduction of the refinance market as fewer customers are incentivized to refinance their loans, which has had a positive effect on revenues from our HELOCs, as this product has become more attractive to customers. While our borrowing costs have also risen as benchmark rates increased, this increase in costs has had a minimal effect on our business given we increase rates on our HELOCs as rates rise. In general, we benchmark our HELOC rates to spreads relative to alternative benchmarks in order to minimize the effect of interest rate moves, and we have been successful in passing those changes onto customers without affecting volume. We expect our borrowing costs to increase to the extent interest rates increase; at the same time, we expect our borrowing costs to come down over time relative to benchmark rates as our product matures and our financing partners become more comfortable with our HELOCs. If interest rates were to fall significantly from current levels, we would expect a compression in the market for HELOCs.</w:t>
      </w:r>
    </w:p>
    <w:p>
      <w:pPr>
        <w:spacing w:after="0" w:line="12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interest rates associated with our digital assets-secured personal loans are fixed based on initial loan-to-value ratios, but fluctuations in market interest rates can influence borrower demand and the attractiveness of these loans.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value of a loan held for sale generally declines as interest rates rise. Changes in interest rates between origination and sale of the loan can expose us to loan losses.</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3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spacing w:after="0" w:line="12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adversely affected by the financial markets, digital asset markets, fiscal, monetary, and regulatory policies, and economic conditions generally.</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spacing w:after="0" w:line="1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 communication, transportation, or energy infrastructure, and investor sentiment and confidence. Additionally, global 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spacing w:after="0" w:line="1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or a general extended economic downturn could cause our customers or partners to incur losses, which in turn could cause our brand and reputation to suffer. If our reputation is harmed, the willingness of our existing customers or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 new customers or partners to do business with us could be negatively impacted, which would adversely affect our business, financial condition, and results of operations.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spacing w:after="0" w:line="12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Figure Exchange’s results of operations have and will fluctuate, including due to the highly volatile nature of digital assets.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Figure Exchange’s results of operations are dependent on digital assets and the broader digital asset economy. Due to the highly volatile nature of the digital asset economy and the prices of digital assets, which have experienced and continue to experience significant volatility, our results of operations could fluctuate significantly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spacing w:after="0" w:line="125" w:lineRule="exact"/>
        <w:rPr>
          <w:sz w:val="20"/>
          <w:szCs w:val="20"/>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dependence on offerings that are dependent on digital asset trading activity, including trading volume and the prevailing trading prices for digital assets, whose trading prices and volume can be highly volatile;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maintain, and grow our customer base and engage our customers;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or actions by U.S. or foreign governments or regulators, including fines, orders, or consent decrees;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changes or scrutiny that impact our ability to offer certain products or services;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regulatory certainty, which could lead to greater competition from traditional financial services firms and other competitors with broader access to financial resources;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to diversify and grow our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for or temporary suspensions of our products and services;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we make in the development of products and services as well as technology offered to our developers, international expansion, and sales and marketing;</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digital assets to, or removing digital assets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partnerships, collaborations, joint ventures, or strategic alliances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of, and overall sentiment towards, the digital asset economy;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macroeconomic conditions, including interest rates, inflation and instability in the global banking system;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legal proceedings or regulatory enforcement actions, judgments, settlements, or other legal proceeding and enforcement-related costs;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and introduction of new products and services by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incurred to grow and expand our operations and to remain competitive;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system failure, outages or interruptions, including with respect to Figure Exchange and third-party digital asset networks;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lack of control over decentralized or third-party blockchains and networks that may experience downtime, cyberattacks, critical failures, errors, bugs, corrupted files, data losses, or other similar software failures, outages, breaches, and losses;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or perceived improper unauthorized use of, disclosure of, or access to confidential, proprietary, personal, or sensitive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breaches of security or privacy;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financing and selling strategy exposes us to interest rate volatility risk.</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three months ended December 31, 2024, the weighted average time between the date of origination to the date of sale on our loan originations was approximately 25 business days. The weighted average number of days from origination to securitization was approximately 49 business days for the same period. Volatile interest rate environments can lead to volatility in our results of operations. As interest rates increase, we may need to sell our loans at a loss, and our debt service obligations on certain of our variable-rate indebtedness will also increase, which could adversely affect our business, financial condition, and results of operations.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Data Risks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10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are dependent on the secure, efficient, and uninterrupted operation of our technology infrastructure, including computer systems, related software applications, data centers, and Provenance Blockchain, as well as those of certain third parties.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 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spacing w:after="0" w:line="13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 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 or incident impacting, our systems or cybersecurity, or the systems and cybersecurity of our third-party providers. Any of the foregoing could adversely affect our business, financial condition, and results of operations.</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 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 Any service disruption affecting our platform could damage our reputation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current and potential customers, expose us to liability, cause us to lose customers, or otherwise adversely affect our business, financial condition, and results of operations.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 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CCPA has prompted several proposals for new federal and state-level privacy legislation. Numerous states have enacted privacy laws similar to but distinct from the CCPA that have gone or are going into effect, which creates a patchwork of overlapping but different state laws. For example, Virginia, Colorado, Utah, and Connecticut each passed laws similar to but different from the CCPA that took effect in 2023; Florida, Montana, Oregon, and Texas enacted similar laws that went into effect in 2024; Tennessee, Delaware, New Jersey, Iowa, Maryland, Minnesota, Nebraska and New Hampshire have enacted similar laws that have gone or are anticipated to go into effect in 2025; and Indiana, Kentucky,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Rhode Island have enacted similar laws that are anticipated to go into effect in 2026. In addition, all 50 states have laws that require the provision of notification for security breaches of personal information to affected individuals, state officers or others. We cannot predict the full impact of the CCPA and other evolving legislation relating to privacy or cybersecurity on our business, financial condition, and results of operations, but such impact is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w:t>
      </w:r>
    </w:p>
    <w:p>
      <w:pPr>
        <w:spacing w:after="0" w:line="1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United States, at the federal level, we are subject to various rules and regulations with respect to privacy, data protection and cybersecurity, including the GLBA, the FCRA (as defined below),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 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 We will be subject to such annual report disclosure requirements starting with our Annual Report on Form 10-K for the fiscal year ended December 31, 2025, and we will be subject to such Form 8-K after the consummation of this offering.</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we are considered a “user” of consumer reports provided by consumer reporting agencies (“CRAs”) under the Fair Credit Reporting Act, as amended by the Fair and Accurate Credit Transactions Act (as amended, the “FCRA”). The FCRA regulates the use and sharing of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of completing employee background checks, providing a notice containing certain disclosures to the consumer and obtaining their consent. As a “user,” we must have a permissible purpose to access a consumer report, 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 lead to civil and criminal penalties, and the FCRA permits consumers to bring a private right of action for certain violations of the FCRA.</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spacing w:after="0" w:line="11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 participating United States entities. However, the EU-U.S. DPF adequacy decisions do not foreclose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transfers of personal data from the United Kingdom to the United States; however, this too may in the future be challenged, suspended or invalidated. Loss of our ability to lawfully transfer personal data out of the EEA and United Kingdom to the United States or any other 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 and modifications in a commercially reasonable manner or at all, and our ability to develop new features could be limited. Privacy and cybersecurity concerns, whether valid or invalid, may inhibit the use and growth of our platform.</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Any significant system interruption or delays could result in a potential loss of customers and adversely affect us and our ability to provide services, which could adversely affect our business, financial condition, and results of operations.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rely on affiliate and third-party computer systems, broadband, and other communications systems and service providers in connection with the provision of services generally. In addition, we also rely on 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financial condition, and results of operations.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negative publicity arising from these disruptions could harm our reputation and brand and adversely affect our business, financial condition, and results of operations.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technology suffers from errors or attacks, our business operations could be negatively affected, which may have an adverse effect on our business, financial condition, and results of operations.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 the relevant computer code could adversely affect our business, financial condition, and results of operations.</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 or data unavailable or prevent us from efficiently providing services. Any of these events could adversely affect our business, financial condition, and results of operations.</w:t>
      </w:r>
    </w:p>
    <w:p>
      <w:pPr>
        <w:spacing w:after="0" w:line="13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w:t>
      </w:r>
    </w:p>
    <w:p>
      <w:pPr>
        <w:spacing w:after="0" w:line="1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or otherwise poor quality data, we may incur liability through the violation of applicable laws or third-party privacy,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could damage our reputation and adversely affect our business, financial condition, and results of operations.</w:t>
      </w:r>
    </w:p>
    <w:p>
      <w:pPr>
        <w:spacing w:after="0" w:line="12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 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2025,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may be breached or adequate remedies may not be available in the event of an unauthorized access, use or disclosure of our trade secrets, other proprietary or confidential information, or other intellectual property.</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 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 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spacing w:after="0" w:line="1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Future litigation may also involve non-practicing entities or other intellectual property owners who have no relevant product offerings or revenue and against whom our ownership of intellectual property 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 other violation, such indemnifying party may refuse or be unable to uphold its contractual obligations, or such indemnification may not sufficiently cover the potential claims, which may be significant. In other cases, our insurance may not cover potential claims of this type adequately or at all.</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One or more of our competitors, or other third parties, may obtain patents or other protections covering technology competitive with or critical to the operation of our products, services, and technology.</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software contains third-party open source software components, which could subject our proprietary software to general release, restrict our ability to sell our products and subject us to possible litigation, claims or proceedings.</w:t>
      </w:r>
    </w:p>
    <w:p>
      <w:pPr>
        <w:spacing w:after="0" w:line="8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software contains software modules licensed to us by third-party authors under “open source” licenses, including in connection with Provenance Blockchain. Open source software, such as Apache Kafka (event store and stream-processing) and Google Protocol Buffers (structured data serialization),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spacing w:after="0" w:line="1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Tax and Other Legal Risks</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subject to or facilitate compliance with a variety of federal, state, and local laws, including those related to lending and mortgages, money transmission, consumer protection and loan financings.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 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 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spacing w:after="0" w:line="122" w:lineRule="exact"/>
        <w:rPr>
          <w:sz w:val="20"/>
          <w:szCs w:val="20"/>
          <w:color w:val="auto"/>
        </w:rPr>
      </w:pPr>
    </w:p>
    <w:p>
      <w:pPr>
        <w:jc w:val="both"/>
        <w:ind w:left="66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9" w:lineRule="exact"/>
        <w:rPr>
          <w:sz w:val="20"/>
          <w:szCs w:val="20"/>
          <w:color w:val="auto"/>
        </w:rPr>
      </w:pPr>
    </w:p>
    <w:p>
      <w:pPr>
        <w:jc w:val="both"/>
        <w:ind w:left="328" w:hanging="328"/>
        <w:spacing w:after="0" w:line="259"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125"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 derives from any public assistance program or the fact that the applicant has in good faith exercised any right under the federal Consumer Credit Protection Act;</w:t>
      </w:r>
    </w:p>
    <w:p>
      <w:pPr>
        <w:spacing w:after="0" w:line="125"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spacing w:after="0" w:line="125"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spacing w:after="0" w:line="122" w:lineRule="exact"/>
        <w:rPr>
          <w:rFonts w:ascii="Arial" w:cs="Arial" w:eastAsia="Arial" w:hAnsi="Arial"/>
          <w:sz w:val="18"/>
          <w:szCs w:val="18"/>
          <w:color w:val="auto"/>
        </w:rPr>
      </w:pPr>
    </w:p>
    <w:p>
      <w:pPr>
        <w:jc w:val="both"/>
        <w:ind w:left="328" w:right="20" w:hanging="328"/>
        <w:spacing w:after="0" w:line="291" w:lineRule="auto"/>
        <w:tabs>
          <w:tab w:leader="none" w:pos="3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w:t>
      </w:r>
    </w:p>
    <w:p>
      <w:pPr>
        <w:spacing w:after="0" w:line="98" w:lineRule="exact"/>
        <w:rPr>
          <w:rFonts w:ascii="Arial" w:cs="Arial" w:eastAsia="Arial" w:hAnsi="Arial"/>
          <w:sz w:val="17"/>
          <w:szCs w:val="17"/>
          <w:color w:val="auto"/>
        </w:rPr>
      </w:pPr>
    </w:p>
    <w:p>
      <w:pPr>
        <w:jc w:val="both"/>
        <w:ind w:left="328" w:hanging="328"/>
        <w:spacing w:after="0" w:line="268"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Secure and Fair Enforcement for Mortgage Licensing Act, which imposes state licensing requirements on mortgage loan originators.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08"/>
          </w:cols>
          <w:pgMar w:left="652" w:top="1440" w:right="339" w:bottom="1440" w:gutter="0" w:footer="0" w:header="0"/>
        </w:sectPr>
      </w:pPr>
    </w:p>
    <w:bookmarkStart w:id="89" w:name="page90"/>
    <w:bookmarkEnd w:id="89"/>
    <w:p>
      <w:pPr>
        <w:spacing w:after="0" w:line="139" w:lineRule="exact"/>
        <w:rPr>
          <w:sz w:val="20"/>
          <w:szCs w:val="20"/>
          <w:color w:val="auto"/>
        </w:rPr>
      </w:pPr>
    </w:p>
    <w:p>
      <w:pPr>
        <w:ind w:left="328" w:hanging="328"/>
        <w:spacing w:after="0" w:line="287"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bankruptcy code, which limits the extent to which creditors may seek to enforce debts against parties who have filed for bankruptcy protection;</w:t>
      </w:r>
    </w:p>
    <w:p>
      <w:pPr>
        <w:spacing w:after="0" w:line="98"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122"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guidelines and restrictions on the electronic transfer of funds from consumers’ bank accounts, including disclosure and authorization requirements in connection with preauthorized (recurring) electronic fund transfers for loan payments;</w:t>
      </w:r>
    </w:p>
    <w:p>
      <w:pPr>
        <w:spacing w:after="0" w:line="116"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the Telemarketing Sales Rule and analogous state laws, which impose various restrictions on marketing conducted through the use of email, telephone, fax, or text message;</w:t>
      </w:r>
    </w:p>
    <w:p>
      <w:pPr>
        <w:spacing w:after="0" w:line="98"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spacing w:after="0" w:line="130"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state, and self-regulatory organization securities rules and laws, including, among others, the Securities Act, the Securities Exchange Act of 1934, as amended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12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federal, state and local laws and regulations covering areas similar to the laws and regulations discussed above, including many state and local laws and regulations that cover similar areas as the federal laws discussed above; and</w:t>
      </w:r>
    </w:p>
    <w:p>
      <w:pPr>
        <w:spacing w:after="0" w:line="98"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other laws and regulatory regimes described in the section titled “Business—Government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08"/>
          </w:cols>
          <w:pgMar w:left="652" w:top="1440" w:right="339" w:bottom="1440" w:gutter="0" w:footer="0" w:header="0"/>
        </w:sectPr>
      </w:pPr>
    </w:p>
    <w:bookmarkStart w:id="90" w:name="page91"/>
    <w:bookmarkEnd w:id="90"/>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various federal, state, and local laws have been enacted to discourage predatory lending practices. The federal Home Ownership and Equity Protection Act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spacing w:after="0" w:line="1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 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 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 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regulations are subject to interpretation by various regulators and courts and interpretations may change or evolve over time. If a regulator or court determines that some significant aspect of our platform does not comply with applicable law, our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 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spacing w:after="0" w:line="12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 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 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spacing w:after="0" w:line="1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practices involving relationships with third parties may expose us to risks of alleged RESPA violations.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 on the circumstances, could generate scrutiny. A regulator or private litigant potentially could assert that these activities involve the third parties 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acceptance of various payment methods exposes us to evolving rules, regulations, and compliance requirements. Non-compliance may adversely affect our business, financial condition and results of operations.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comply with financial services regulatory obligations could damage our reputation, result in regulatory action against us, and adversely affect our business.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 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spacing w:after="0" w:line="12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 various states and other jurisdictions, our subsidiary Figure Lending LLC (“FL LLC”) is licensed to engage in lending (including mortgages and personal loans), servicing, brokering, debt collection, and other related activities in various states and other jurisdictions, our subsidiary Figure Markets Credit, Inc.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 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spacing w:after="0" w:line="14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applicable restrictions could make it impractical for us to continue our businesses as contemplated and could have a material adverse effect on our businesses.</w:t>
      </w:r>
    </w:p>
    <w:p>
      <w:pPr>
        <w:spacing w:after="0" w:line="8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An issuer will generally be deemed to be an “investment company” for purposes of the Investment Company Act if, absent an applicable exception or exemption:</w:t>
      </w:r>
    </w:p>
    <w:p>
      <w:pPr>
        <w:spacing w:after="0" w:line="99" w:lineRule="exact"/>
        <w:rPr>
          <w:sz w:val="20"/>
          <w:szCs w:val="20"/>
          <w:color w:val="auto"/>
        </w:rPr>
      </w:pPr>
    </w:p>
    <w:p>
      <w:pPr>
        <w:ind w:left="660" w:right="2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or holds itself out as being engaged primarily, or proposes to engage primarily, in the business of investing, reinvesting or trading in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9" w:lineRule="exact"/>
        <w:rPr>
          <w:sz w:val="20"/>
          <w:szCs w:val="20"/>
          <w:color w:val="auto"/>
        </w:rPr>
      </w:pPr>
    </w:p>
    <w:p>
      <w:pPr>
        <w:ind w:left="66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engaged or proposes to engage in the business of issuing face-amount certificates of the installment type, or has been engaged in such business and has any such certificate outstanding; or</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owns or proposes to acquire investment securities having a value exceeding 40% of the value of its total assets (exclusive of U.S. government securities and cash items) on an unconsolidated basis.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 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to (i) restrict our business and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 common stock, in order to ensure conformity with exceptions provided by, and rules and regulations promulgated under, the Investment Company Act.</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model and structure give rise to certain conflicts of interest, which if not appropriately addressed, could result in violations of fiduciary duties to our clients.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 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digital assets have grown in both popularity and market size, various U.S. federal, state, and local and foreign governmental organizations, consumer agencies, and public advocacy groups have been 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digital asset economy or digital asset platforms, which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affect our business. Changes in law or regulatory or enforcement frameworks could make our business cost-prohibitive in the affected state or states and could materially and adversely affect our business.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enforcement actions or civil and/or criminal penalties, and negative impact to our operations and growth prospects. Any of the foregoing consequences could 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 requirements in a manner that differs from the published statutes, regulations, or guidance or our interpretation of such.</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not currently have, and may not be able to obtain or maintain all required licenses and permits. If we change or expand our business activities, we may be required to obtain additional licenses before engaging in those activities. If we apply for a new license, a regulator may determine that we were required to do so at an earlier point in time, and as a result, may impose penalties or refuse to issue the license, which could require us to modify or limit our activities in the relevant state. In addition, obtaining the required new license will subject us to additional licensing fees, which may be substantial.</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spacing w:after="0" w:line="10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 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 regulatory investigations that subject us to additional risk. For additional information, see the section titled “Business—Legal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 through remediation. These repurchase liabilities can create more risk on our balance sheet and increase our exposure to losses.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 nor can we fully assess the ultimate impact of any enacted legislation, implementing regulations, or regulatory actions on our business, financial condition, and results of operations.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 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 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spacing w:after="0" w:line="1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current administration also has appointed or is expected to nominate or appoint leadership at other federal agencies such as the FTC, the OCC, and the Federal Deposit Insurance Corporation (“FDIC”).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 —particularly in “blue” states (e.g., California with its Department of Financial Protection and Innovation), but likely also in at least some “red” states—potentially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3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federal or state agency amends or finalizes any proposed regulations, or if the CFPB or other federal or state regulators enact new 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could also be affected if the CFPB, or another regulator, were to issue a consent decree or other similar order against us.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 downgrades by one or more rating agencies of the bonds issued by our securitization trusts, a transfer of our servicing responsibilities, increased delinquencies on the loans we service, other adverse impacts, or any combination of these events. Such a determination could also require us to modify our servicing standards or our practices, policies, or procedures relating to our regulated activities.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regulatory regime governing blockchain technologies is uncertain, and new regulations or policies may alter our business practices with respect to blockchain or could adversely impact our business.</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laws and regulations to which we are subject, including those pertaining to blockchain-related activities, are rapidly evolving and increasing in scope.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spacing w:after="0" w:line="10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May 2021, FT launched Provenance Blockchain 2.0 and concurrently created and sold Hash to facilitate the creation of the blockchain. Because we operate our business and use Provenance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Blockchain on the basis that Hash is not characterized as a “security” for purposes of U.S. federal or state securities laws, the classification of Hash as a security would have wide-ranging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are securities in the United States may be subject to registration with the SEC as a “broker,” “dealer,” “exchange,” “transfer agent” or “clearing agency,” as applicable.</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utilize Provenance Blockchain as a recordkeeping source, and Provenance Blockchain relies on Hash to function. Participants incur certain “gas”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 the Provenance Blockchain in its current form inoperable or impracticable for the 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spacing w:after="0" w:line="1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events associated with Provenance Blockchain could raise questions from our investors and cause reputational harm to us.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unable to use the Provenance Blockchain or if we believe that reputational harm may result from our use of Provenance Blockchain, we may also be required to move our blockchain-related activities to a new blockchain. While Figure Connect, DART, Figure Exchange and YLDS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contribute to our growth and the improvement of our results of operations over time. If we experience reputational issues with 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to DART could materially and adversely affect our business, financial condition, and results of operations.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DART, which we developed, is an electronic registry that tracks servicing rights and ownership of loans in the United States. We have used in the past, and currently use, DART as a lien and eNote registry system. As of December 31, 2024, 56 entities have executed agreements to participate in DART as an originator, secured party/financier, loan buyer, servicer, and/or custodian. In March 2024, we began making DART available for use by select partners, and, as of December 31, 2024, there were 1,469 loans that relied on DART as a registry. Although we have conducted analyses and surveys of applicable state and federal statutory law, case law, regulations, and regulatory guidance to determine that DART, in conjunction with the our technology,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 making credit decisions (i.e., creditor or servicing practices that have a disproportionate negative effect on a protected class of individuals).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 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current administration, the CFPB’s and other federal agencies’ influence and emphasis on fair lending matters can be expected to evolve. Nevertheless, to the extent the Equal Credit Opportunity Act and the Fair Housing Act remain law, even if there is reduced rulemaking and enforcement of these laws, we will continue to be subject to their limitations, meaning that the risks associated with non-compliance or alleged non-compliance will continue to exist.</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spacing w:after="0" w:line="12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 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transaction in a commodity, including a digital asset commodity, entered into with or offered to retail investors using leverage, margin, or other financing arrangements (a “retail commodity transaction”) 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public company, we will be subject to the reporting requirements of the Exchange Act, the Sarbanes-Oxley Act of 2002 (the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“Sarbanes-Oxley Act”), the Dodd-Frank Act, the listing requirements of and other applicable securities rules and regulations. Compliance with these rules and regulations will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3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Being a public company will also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1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becoming a public company, we will be required, under the rules and regulations of the SEC regarding compliance with Section 404 of the Sarbanes-Oxley Act (“Section 404”),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comply with the requirements of being a reporting company under the Exchange Act, including performing the evaluation needed to comply with Section 404, we will need to implement additional internal control over financial reporting, including but not limited to controls over relevant information systems, and hire additional accounting and finance staff. This will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Prior to this offering, we have never been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2024, the following material weaknesses existed:</w:t>
      </w:r>
    </w:p>
    <w:p>
      <w:pPr>
        <w:spacing w:after="0" w:line="171" w:lineRule="exact"/>
        <w:rPr>
          <w:sz w:val="20"/>
          <w:szCs w:val="20"/>
          <w:color w:val="auto"/>
        </w:rPr>
      </w:pPr>
    </w:p>
    <w:p>
      <w:pPr>
        <w:jc w:val="both"/>
        <w:ind w:left="66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spacing w:after="0" w:line="116"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properly reflected on our balance sheet, or (iii) adequately review deliverables from management’s valuation specialists.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tax laws and examinations by tax authorities could have a material adverse effect on our business, financial condition, and results of operations.</w:t>
      </w:r>
    </w:p>
    <w:p>
      <w:pPr>
        <w:spacing w:after="0" w:line="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are subject to taxes in the United States under federal, state, and local jurisdictions in which we operate. The governing tax laws and applicable tax rates vary by jurisdiction and are subject to change and interpretation.</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United States, the Trump administration has indicated the intent to propose significant changes to the U.S. tax system. Many aspects of these potential proposals are unclear or undeveloped, and we are unable to predict which, if any, U.S. tax reform proposals will be enacted into law, and what effects any enacted legislation might have on our tax liabilities. In addition, the Trump administration has indicated that the United States may impose retaliatory measures with respect to jurisdictions that have or are likely to put in place tax rules that are extraterritorial or disproportionately affect American companies. The likelihood of these changes being enacted or implemented is unclear. We are currently unable to predict whether such changes will occur and, if so, the ultimate impact on our business.</w:t>
      </w:r>
    </w:p>
    <w:p>
      <w:pPr>
        <w:spacing w:after="0" w:line="13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ability to use our deferred tax assets to offset future taxable income may be subject to certain limitations, which could adversely affect our result of operations.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2024, a full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also be limited in the portion of NOLs that we can use in the future to offset taxable income for U.S. federal and state income tax purposes. For the year ended December 31, 2024, we had accumulated NOLs for U.S. federal and state tax purposes of approximately $60 million. Under current law, U.S. federal NOLs arising in tax years beginning after December 31, 2017 can be carried forward indefinitely, but the deductibility of such NOLs is 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this offering and future offerings, as well as other changes that may be outside of our control, could result in additional ownership changes under Section 382 of the Code.</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will continue to assess the realizability of our deferred tax assets in the future. Future adjustments in our valuation allowance may be required, which may have a material impact on our quarterly and annual results of operations.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spacing w:after="0" w:line="10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ultimate tax determination is uncertain because it is not clear how new and existing statutes might apply to our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11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Significant changes or developments in U.S. laws or policies, including changes in U.S. trade policies and tariffs and the reaction of other countries thereto, may have a material adverse effect on our business, financial condition, and results of operations.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stated its intention to impose new or increased tariff rates on goods imported into the United States, which could lead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business, financial condition, and results of operations could be adversely affected.</w:t>
      </w:r>
    </w:p>
    <w:p>
      <w:pPr>
        <w:spacing w:after="0" w:line="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 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accounting principles generally accepted in the United States may cause financial reporting fluctuations and could adversely affect our results of operations.</w:t>
      </w:r>
    </w:p>
    <w:p>
      <w:pPr>
        <w:spacing w:after="0" w:line="8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spacing w:after="0" w:line="12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Failure to comply with anti-bribery, anti-corruption and other similar laws could subject us to penalties and other adverse consequences.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Figure is required to comply with laws related to anti-money laundering and counter-terrorist financing.</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regulations are constantly evolving and vary from jurisdiction-to-jurisdiction. We strive to continuously 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 result in whistleblower complaints, adverse media coverage, investigations, and severe criminal or civil sanctions, any of which 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Recombination</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Federal and state fraudulent transfer laws and Nevada corporate law may permit a court to void the Recombination, which would adversely affect our financial condition and our results of operations.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Recombination, we are undertaking several restructuring transactions, which may be subject to challenge under federal and state fraudulent conveyance and transfer laws as well as under Nevada corporate law, even after the Recombination has been completed. Under applicable laws, 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of its debts, including contingent and unliquidated liabilities, was greater than the fair market value of all of its assets;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present fair market value of its assets was less than the amount that would be required to pay its probable liability on its existing debts, including contingent liabilities, as they become absolute and mature;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could pay its debts as they become due in the usual course of business.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spacing w:after="0" w:line="12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experience difficulties in reintegrating the operations of FMH back into our business or we may experience challenges in realizing expected benefits of the Recombination.</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 2025, we recombined with FMH through a series of transactions and FMH became a wholly-owned subsidiary of FTI. The success of the Recombination will depend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synergies and other anticipated benefits resulting from the Recombination, and our business, results of operations and financial condition could be materially and adversely affected.</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the reintegration of FMH may divert management’s time and resources from our core business and disrupt our operations. We may incur significant costs in the reintegration of FMH and may not achieve cost synergies and other benefits sufficient to offset the costs of the Recombination. Moreover, even if we were successful in reintegrating FMH, 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subject to notice and approval requirements that are implicated by the Recombination and with which we may not be able to comply with.</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 or voting power of our company or a particular entity within our structure. Undergoing a qualifying change in control also may, in certain circumstances, require one or more of our licensed entities to re-apply for a license from a state regulator. Moreover, our subsidiary Figure Securities is a member of FINRA and is subject to change in ownership or control regulations as a result. FINRA’s Rule 1017 generally requires that any member of FINRA file a continuing membership application (“CMA”) for approval of any change in ownership that would result in one person or entity directly or indirectly owning or controlling 25% or more of member firm’s equity capital. Such a CMA must be filed at least 30 days prior to effecting a change and the full approval process under Rule 1017 can take six months or more to complete. In the event FINRA requires a CMA in connection with the Recombination, there can be no assurance that FINRA will ultimately approve the CMA. A denial of the CMA could prevent or delay the completion of the Recombination or result in an unwinding of the Recombination or Figure Securities withdrawing its broker-dealer registration.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Recombination may implicate such requirements, adding another layer of complexity and potential delay to the Recombination, and there is a risk that some of our regulators may require advance notifications or approvals in connection with the Recombination that we cannot provide or satisfy. A failure to provide timely notice of, or obtain prior approval for, certain business changes (such as the Recombination)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10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Immediately prior to the completion of this offering, we will effect the Capital Stock Conversion, the Reclassification, and the Class B Stock Exchange. As a result, our Class B common stock will have ten votes per share and our Class A common stock, which is the stock we are offering by means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prospectus, will have one vote per share, and shares of our Class A common stock held by Mr. Cagney and his permitted transferees will be exchanged for an equivalent number of shares of our Class B common stock. Immediately following the completion of this offering, Michael</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Cagney, our co-founder and member of our board of directors, and his permitted transferees, will hold shares of Class B common stock representing approximately % of the voting power of our outstanding capital stock, assuming no exercise of the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underwriters’ option to purchase additional shares of Class A common stock. Because of the ten-to-one voting ratio between our Class B common stock and Class A common stock, Mr. Cagney and Ms. Ou will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control may also adversely affect the market price of our Class A common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 not take similar actions. Under these policies, our dual-class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Class A common stock or what the market price of our Class A common stock will be, and, as a result, it may be difficult for you to sell your shares of our Class A common stock.</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apply to list our Class A common stock on under the symbol “FIGR.” However, prior to this offering,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liquidity of any trading market, your ability to sell your shares of our Class A common stock when desired or the prices that you may obtain for your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public offering price of our Class A common stock will be determined through negotiation among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12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reduction in the availability of HELOC funding and liquidity from loan purchasers on the secondary market and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volatility in prices of digital assets and volume of transactions conducted on Figure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security breaches or other security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services, or technologies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actual or anticipated changes in the financial projections we may provide to the public or our failure to meet those projections;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prevailing interest rates and other macroeconomic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governmental or regulatory actions or audits;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an adverse impact on the market price of our Class A common stock.</w:t>
      </w:r>
    </w:p>
    <w:p>
      <w:pPr>
        <w:spacing w:after="0" w:line="9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This litigation,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instituted against us, could result in substantial costs and a diversion of our management’s attention and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likely to fluctuate and as a result may adversely affect the trading price of our Class A common stock.</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125" w:lineRule="exact"/>
        <w:rPr>
          <w:sz w:val="20"/>
          <w:szCs w:val="20"/>
          <w:color w:val="auto"/>
        </w:rPr>
      </w:pPr>
    </w:p>
    <w:p>
      <w:pPr>
        <w:ind w:left="660" w:right="2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interest rate changes, inflation, and the tightening of credit markets;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partners in a cost-effective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new partners and loan purchasers of our loan funding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partners and loan purchasers of our loan funding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the channels through which the loans, partners and loan funding are sourced;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market affiliates or drive volume from other marketing sources from which prospective customers access our website;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financial services firms’ behavior with respect to blockchain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and prevent fraudulent activity and the impact of fraud prevention measures;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 or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protect, maintain and enforce our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39" w:lineRule="exact"/>
        <w:rPr>
          <w:sz w:val="20"/>
          <w:szCs w:val="20"/>
          <w:color w:val="auto"/>
        </w:rPr>
      </w:pPr>
    </w:p>
    <w:p>
      <w:pPr>
        <w:ind w:left="66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0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1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including for any of the purposes described in the section of this prospectus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financial condition, and results of operations. Pending their use, we may invest our net proceeds in a manner that does not produce income or that loses value. Our investments may not yield a favorable return to our investors and may negatively impact the price of our Class A common stock.</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 Further, we may take advantage of some of the other reduced regulatory and reporting requirements that will be available to us so long as we qualify as an emerging growth company.</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could be adversely affected. Further, we cannot predict if investors will find our Class A common stock less attractive if we rely on these exemptions. If some investors find our Class A common stock less attractive as a result, there may be a less-active trading market for our Class A common stock and our stock price may be more volatile.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elected to take advantage of the “controlled company” exemption to the corporate governance rules for -listed companies, which could make our Class A common stock less attractive to some investors or otherwise adversely affect our stock price.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long as Mr. Cagney continues to control a majority of the voting power of our outstanding voting stock, we will be a controlled</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company within the meaning of the listing rules of . 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 Cagney differ from those of other stockholders, the other stockholders may not have the same protections</w:t>
      </w:r>
    </w:p>
    <w:p>
      <w:pPr>
        <w:spacing w:after="0" w:line="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afforded to stockholders of companies that are subject to all of the corporate governance rules for -listed companies. Our status as a controlled company could make our Class A common stock less attractive to some investors or otherwise adversely affect our stock price.</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or the perception in the public markets that these sales may occur, may depress the price of our Class A common stock.</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may occur, could have an adverse effect on our stock price and could impair our ability to raise capital through the sale of additional stock. In the future, we may attempt to obtain financing or to further increase our capital resources by issuing additional shares of our common stock. Issuing additional shares of our Class A common stock, Class B common stock or other equity securities or securities convertible into equity may dilute the economic and voting rights of our existing stockholders or reduce the market price of our Class A common stock or both.</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Based on shares of our Class A common stock outstanding and shares of our Class B common stock outstanding (after giving effect to the Capital Stock Conversion, the Reclassification, and the Class B Stock Exchange) as of December 31, 2024, we will</w:t>
      </w:r>
    </w:p>
    <w:p>
      <w:pPr>
        <w:spacing w:after="0" w:line="2" w:lineRule="exact"/>
        <w:rPr>
          <w:sz w:val="20"/>
          <w:szCs w:val="20"/>
          <w:color w:val="auto"/>
        </w:rPr>
      </w:pPr>
    </w:p>
    <w:p>
      <w:pPr>
        <w:jc w:val="right"/>
        <w:spacing w:after="0" w:line="250" w:lineRule="auto"/>
        <w:rPr>
          <w:sz w:val="20"/>
          <w:szCs w:val="20"/>
          <w:color w:val="auto"/>
        </w:rPr>
      </w:pPr>
      <w:r>
        <w:rPr>
          <w:rFonts w:ascii="Arial" w:cs="Arial" w:eastAsia="Arial" w:hAnsi="Arial"/>
          <w:sz w:val="18"/>
          <w:szCs w:val="18"/>
          <w:color w:val="auto"/>
        </w:rPr>
        <w:t>have        shares of our Class A common stock and         shares of our Class B common stock outstanding after this offering. Of the shares of Class A common stock outstanding,          are “restricted securities,” as that term is defined under Rule 144 of the</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Securities Act. The holders of these “restricted securities” are entitled to dispose of their shares pursuant to (i) the applicable holding period, volume, and other restrictions of Rule 144 or (ii) another exemption from registration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 sales of a substantial number of our shares of Class A common stock in the public market, or the perception that sales could occur, could have a material adverse effect on the price of our Class A common stock. We have filed a registration statement under the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Act registering shares of our Class A common stock reserved for issuance under the 2025 Plan and our ESPP. On April 28, 2025, in connection with our conversion from a Delaware corporation to a Nevada corporation, we entered into the Investors’ Rights Agreement (as defined herein),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on our common stock for the foreseeable future.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on our common stock in the foreseeable future. Any future determination to pay dividends on our common stock will be at the discretion of our board of directors and will depend on obtaining regulatory approvals, if required, our financial condition, results of operations, capital requirements, restrictions contained in future agreements and financing instruments, business prospects and such other factors as our board of directors deems relevant.</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amended and restated bylaws will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articles of incorporation and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amended and restated articles of incorporation or amended and restated bylaws to be inapplicable or unenforceable in an action, we may incur significant additional costs associated with resolving such action in other jurisdictions, all of which could harm our business, financial condition, and results of operations.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Nevada law and provisions in our amended and restated articles of incorporation and bylaws might delay, discourage, or prevent a change of control of our company or changes in our management, thereby depressing the market price of our Class A common stock.</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even if a change of control would be beneficial to our existing stockholders. In addition, our amended and restated articles of incorporation and bylaws will contain provisions that may make the acquisition of our company more difficult or delay or prevent a change of control or changes in our management. Among other things, these provisions will:</w:t>
      </w:r>
    </w:p>
    <w:p>
      <w:pPr>
        <w:spacing w:after="0" w:line="128"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dual-class common stock structure, with differing voting rights;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elect to have cumulative voting in the election of directors;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prohibit stockholders from calling a special meeting of stockholders; and</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 change of control of our company could result in an assignment of our investment advisory agreements and the termination of the investment management agreement in place with FCC.</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 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we cannot be certain that we will be able to obtain the necessary consents from our private funds or enter into a new agreement with our registered funds, which could cause us to lose the management fees and performance fees we earn from such funds.</w:t>
      </w:r>
    </w:p>
    <w:p>
      <w:pPr>
        <w:spacing w:after="0" w:line="13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in connection with our equity incentive plans, acquisitions or otherwise.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Nevada law and our amended and restated articles of incorporation, our board of directors will have the authority to issue up to</w:t>
      </w:r>
    </w:p>
    <w:p>
      <w:pPr>
        <w:spacing w:after="0" w:line="27" w:lineRule="exact"/>
        <w:rPr>
          <w:sz w:val="20"/>
          <w:szCs w:val="20"/>
          <w:color w:val="auto"/>
        </w:rPr>
      </w:pPr>
    </w:p>
    <w:p>
      <w:pPr>
        <w:jc w:val="both"/>
        <w:ind w:firstLine="784"/>
        <w:spacing w:after="0" w:line="250" w:lineRule="auto"/>
        <w:rPr>
          <w:sz w:val="20"/>
          <w:szCs w:val="20"/>
          <w:color w:val="auto"/>
        </w:rPr>
      </w:pPr>
      <w:r>
        <w:rPr>
          <w:rFonts w:ascii="Arial" w:cs="Arial" w:eastAsia="Arial" w:hAnsi="Arial"/>
          <w:sz w:val="18"/>
          <w:szCs w:val="18"/>
          <w:color w:val="auto"/>
        </w:rPr>
        <w:t>shares of authorized but unissued Class A common stock and shares of authorized but unissued Class B common stock, as well as rights relating to such common stock, for the consideration and on the terms and conditions established by our board of directors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its sole discretion, whether in connection with acquisitions or otherwise. We have reserved shares of Class A common stock for issuance under our 2025 Plan subject to adjustment in certain events. Any Class A common stock that we issue, including under our 2025 Plan or other equity incentive plans that we may adopt in the future, could dilute the percentage ownership held by the investors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contains forward-looking statements,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128" w:lineRule="exact"/>
        <w:rPr>
          <w:sz w:val="20"/>
          <w:szCs w:val="20"/>
          <w:color w:val="auto"/>
        </w:rPr>
      </w:pPr>
    </w:p>
    <w:p>
      <w:pPr>
        <w:ind w:left="66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operating expenses, ability to determine reserves, and ability to remain profitable;</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risks associated with our business, including the risks associated with loan repurchases, customer loan defaults, prepayments, and underwriting, originating, and servicing loans;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expand, and enter into new relationships with partners and loan purchasers on the secondary market, and our ability to broaden our network of partners;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successfully execute our business and growth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demand for our products and services and our ability to expand our product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partners, customer and loan purchaser acceptance of our blockchain-supported platform;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the cryptoeconomy, the price, and market capitalization of digital assets and in the markets in which we operate;</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changes in prevailing interest rates or U.S. monetary policies on our business, financial condition and results of operations;</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natural disasters, power outages, telecommunications failures, public health crises, and similar events, and interruptions by human-made problems such as war, terrorism, cyberattacks, and other actions, on global capital and financial markets, general economic conditions in the United States, and our business, financial conditions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design, maintain, and refine our models to timely and accurately process data with respect to creditworthiness, prepayment rates, customer acquisition, fraud detection, customer default, loan stacking, prepayment timing, and fee optimization, among other things;</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expectations regarding the effects of, and our ability to successfully adapt to and comply with, complex and evolving regulatory and legal environments, including those related to lending and mortgages, money transmission, consumer protection and loan financings, digital assets, tax, privacy, data protection, information security, blockchain technology, machine learning, and artificial intelligence;</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and our ability to protect against increasingly sophisticated fraudulent borrowing and online theft;</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and our third parties’ abilities to maintain the security and availability of our platforms, and the impacts of potential information technology, cybersecurity, or data security breaches;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protect and enforce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sufficiency of our cash, cash equivalents, and marketable securities to meet our liquidity needs;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obtain and maintain funding and liquidity to support our operations, including through our warehouse credit facilities, for loan originations, continued growth, and general corporate purposes;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integrate, and retain key personnel and qualified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our key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Cagney’s control over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remediate material weaknesses in our internal controls over financial reporting;</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operate effectively as an independent, publicly traded company and achieve the benefits we expect from the Recombination;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risks associated with ownership of our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contains estimates and information concerning our industry, including the size of the markets in which we participate, that are based on various third-party sources, industry publications and reports, as well as our own internal information. This information involves a number of assumptions and limitations, and you are cautioned not to give undue weight to such estimates and information. The markets in which we operate are subject to a high degree of uncertainty and risk due to a variety of factors, including those described in the section titled “</w:t>
      </w:r>
      <w:r>
        <w:rPr>
          <w:rFonts w:ascii="Arial" w:cs="Arial" w:eastAsia="Arial" w:hAnsi="Arial"/>
          <w:sz w:val="18"/>
          <w:szCs w:val="18"/>
          <w:u w:val="single" w:color="auto"/>
          <w:color w:val="0000FF"/>
        </w:rPr>
        <w:t>Risk Factors.</w:t>
      </w:r>
      <w:r>
        <w:rPr>
          <w:rFonts w:ascii="Arial" w:cs="Arial" w:eastAsia="Arial" w:hAnsi="Arial"/>
          <w:sz w:val="18"/>
          <w:szCs w:val="18"/>
          <w:color w:val="auto"/>
        </w:rPr>
        <w:t>” These and other factors could cause results to differ materially from those expressed in these sources, publications, and reports.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Certain information in the text of this prospectus is contained in an independent industry publication and publicly-available reports, as well as third-party sources, including:</w:t>
      </w:r>
    </w:p>
    <w:p>
      <w:pPr>
        <w:spacing w:after="0" w:line="9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Citigroup Global Markets Inc, “Money, Tokens, and Games: Blockchain’s Next Billion Users and Trillions in Value,” March 2023.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CoinGecko, “2024 Annual Crypto Industry Report,” January 23,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CoinGecko, “Crypto Trading Volumes Reached $18.83T in 2024, Still Below 2021’s $25.21T Peak,” February 12,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CoinGecko, “Stablecoins by Market 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CoinGecko, “Yield-Bearing Stablecoins by Market 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Equifax Inc., “U.S. National Consumer Credit Trends Report - Originations,” February 2025, data as of January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Home Equity Lending News LLC, “Biggest U.S. HELOC Lenders See Non-Bank Ascension,” April 14,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Mortgage Bankers Association, “IMBs Report Production Losses in Fourth Quarter of 2024,”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estimate that the net proceeds to us from this offering will be approximately $ million, based upon the assumed initial public offering price of $ per share, which is the midpoint of the estimated offering price range set forth on the cover page of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prospectus, and after deducting underwriting discounts and commissions and estimated offering expenses payable by us. If the underwriters</w:t>
      </w:r>
    </w:p>
    <w:p>
      <w:pPr>
        <w:spacing w:after="0" w:line="200" w:lineRule="exact"/>
        <w:rPr>
          <w:sz w:val="20"/>
          <w:szCs w:val="20"/>
          <w:color w:val="auto"/>
        </w:rPr>
      </w:pP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exercise their option to purchase additional shares in full, we estimate that the net proceeds to us will be approximately $ million, after deducting underwriting discounts and commissions and estimated offering expenses payable by us.</w:t>
      </w:r>
    </w:p>
    <w:p>
      <w:pPr>
        <w:spacing w:after="0" w:line="99" w:lineRule="exact"/>
        <w:rPr>
          <w:sz w:val="20"/>
          <w:szCs w:val="20"/>
          <w:color w:val="auto"/>
        </w:rPr>
      </w:pPr>
    </w:p>
    <w:p>
      <w:pPr>
        <w:ind w:left="340"/>
        <w:spacing w:after="0"/>
        <w:tabs>
          <w:tab w:leader="none" w:pos="802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8"/>
          <w:szCs w:val="18"/>
          <w:color w:val="auto"/>
        </w:rPr>
        <w:t>per share, which is the midpoint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net proceeds to</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us from this offering by approximately $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approximately</w:t>
      </w:r>
    </w:p>
    <w:p>
      <w:pPr>
        <w:spacing w:after="0" w:line="2" w:lineRule="exact"/>
        <w:rPr>
          <w:sz w:val="20"/>
          <w:szCs w:val="20"/>
          <w:color w:val="auto"/>
        </w:rPr>
      </w:pPr>
    </w:p>
    <w:p>
      <w:pPr>
        <w:jc w:val="both"/>
        <w:ind w:firstLine="8"/>
        <w:spacing w:after="0" w:line="255" w:lineRule="auto"/>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million, assuming that the assumed initial public offering price remains the same and after deducting underwriting discounts and commissions and estimated offering expenses payable by us. We do not expect that a change in the initial public offering price or the number of shares by these amounts would have a material effect on our use of the proceeds from this offering, although it may accelerate the time when we need to seek additional capital.</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Class A common stock, facilitate future access to the public equity markets by us, our employees, and our stockholders, and increase our visibility in the lending ecosystem. We intend to use the net proceeds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Because we expect to use the net proceeds to us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debt instruments or bank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FTI has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or make other distributions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and make other distributions on our capital stock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8140" w:type="dxa"/>
            <w:vAlign w:val="bottom"/>
          </w:tcPr>
          <w:p>
            <w:pPr>
              <w:spacing w:after="0"/>
              <w:rPr>
                <w:sz w:val="20"/>
                <w:szCs w:val="20"/>
                <w:color w:val="auto"/>
              </w:rPr>
            </w:pPr>
            <w:r>
              <w:rPr>
                <w:rFonts w:ascii="Arial" w:cs="Arial" w:eastAsia="Arial" w:hAnsi="Arial"/>
                <w:sz w:val="18"/>
                <w:szCs w:val="18"/>
                <w:color w:val="auto"/>
              </w:rPr>
              <w:t>The following table summarizes our cash and cash equivalents, as well as our capitalization, as of</w:t>
            </w:r>
          </w:p>
        </w:tc>
        <w:tc>
          <w:tcPr>
            <w:tcW w:w="94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3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pro forma basis to give effect to (i) the Capital Stock Conversion, (ii) the Reclassification, and (iii) the Class B Stock Exchange,</w:t>
      </w:r>
    </w:p>
    <w:p>
      <w:pPr>
        <w:spacing w:after="0" w:line="27" w:lineRule="exact"/>
        <w:rPr>
          <w:sz w:val="20"/>
          <w:szCs w:val="20"/>
          <w:color w:val="auto"/>
        </w:rPr>
      </w:pPr>
    </w:p>
    <w:p>
      <w:pPr>
        <w:ind w:left="660"/>
        <w:spacing w:after="0"/>
        <w:tabs>
          <w:tab w:leader="none" w:pos="4420" w:val="left"/>
        </w:tabs>
        <w:rPr>
          <w:sz w:val="20"/>
          <w:szCs w:val="20"/>
          <w:color w:val="auto"/>
        </w:rPr>
      </w:pPr>
      <w:r>
        <w:rPr>
          <w:rFonts w:ascii="Arial" w:cs="Arial" w:eastAsia="Arial" w:hAnsi="Arial"/>
          <w:sz w:val="18"/>
          <w:szCs w:val="18"/>
          <w:color w:val="auto"/>
        </w:rPr>
        <w:t>as if each such event had occurred on</w:t>
      </w:r>
      <w:r>
        <w:rPr>
          <w:sz w:val="20"/>
          <w:szCs w:val="20"/>
          <w:color w:val="auto"/>
        </w:rPr>
        <w:tab/>
      </w:r>
      <w:r>
        <w:rPr>
          <w:rFonts w:ascii="Arial" w:cs="Arial" w:eastAsia="Arial" w:hAnsi="Arial"/>
          <w:sz w:val="17"/>
          <w:szCs w:val="17"/>
          <w:color w:val="auto"/>
        </w:rPr>
        <w:t>, 2025; and</w:t>
      </w:r>
    </w:p>
    <w:p>
      <w:pPr>
        <w:spacing w:after="0" w:line="15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pro forma adjustments set forth above and (ii) the issuance and sale by us of</w:t>
      </w:r>
    </w:p>
    <w:p>
      <w:pPr>
        <w:spacing w:after="0" w:line="27" w:lineRule="exact"/>
        <w:rPr>
          <w:sz w:val="20"/>
          <w:szCs w:val="20"/>
          <w:color w:val="auto"/>
        </w:rPr>
      </w:pPr>
    </w:p>
    <w:p>
      <w:pPr>
        <w:jc w:val="both"/>
        <w:ind w:left="660" w:firstLine="778"/>
        <w:spacing w:after="0" w:line="258" w:lineRule="auto"/>
        <w:rPr>
          <w:sz w:val="20"/>
          <w:szCs w:val="20"/>
          <w:color w:val="auto"/>
        </w:rPr>
      </w:pPr>
      <w:r>
        <w:rPr>
          <w:rFonts w:ascii="Arial" w:cs="Arial" w:eastAsia="Arial" w:hAnsi="Arial"/>
          <w:sz w:val="18"/>
          <w:szCs w:val="18"/>
          <w:color w:val="auto"/>
        </w:rPr>
        <w:t>shares of Class A common stock in this offering at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124"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the related notes included elsewhere in this prospectus and the section titled “Management’s Discussion and Analysis of Financial Condition and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2025</w:t>
            </w: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9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Actual</w:t>
            </w:r>
          </w:p>
        </w:tc>
        <w:tc>
          <w:tcPr>
            <w:tcW w:w="16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Pro Forma</w:t>
            </w: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Pro Forma As</w:t>
            </w:r>
          </w:p>
        </w:tc>
        <w:tc>
          <w:tcPr>
            <w:tcW w:w="0" w:type="dxa"/>
            <w:vAlign w:val="bottom"/>
          </w:tcPr>
          <w:p>
            <w:pPr>
              <w:spacing w:after="0"/>
              <w:rPr>
                <w:sz w:val="1"/>
                <w:szCs w:val="1"/>
                <w:color w:val="auto"/>
              </w:rPr>
            </w:pPr>
          </w:p>
        </w:tc>
      </w:tr>
      <w:tr>
        <w:trPr>
          <w:trHeight w:val="201"/>
        </w:trPr>
        <w:tc>
          <w:tcPr>
            <w:tcW w:w="278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56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8"/>
                <w:szCs w:val="18"/>
                <w:b w:val="1"/>
                <w:bCs w:val="1"/>
                <w:color w:val="auto"/>
                <w:w w:val="93"/>
                <w:vertAlign w:val="superscript"/>
              </w:rPr>
              <w:t>(1)</w:t>
            </w:r>
          </w:p>
        </w:tc>
        <w:tc>
          <w:tcPr>
            <w:tcW w:w="0" w:type="dxa"/>
            <w:vAlign w:val="bottom"/>
          </w:tcPr>
          <w:p>
            <w:pPr>
              <w:spacing w:after="0"/>
              <w:rPr>
                <w:sz w:val="1"/>
                <w:szCs w:val="1"/>
                <w:color w:val="auto"/>
              </w:rPr>
            </w:pPr>
          </w:p>
        </w:tc>
      </w:tr>
      <w:tr>
        <w:trPr>
          <w:trHeight w:val="23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Cash and cash equivalents</w:t>
            </w:r>
          </w:p>
        </w:tc>
        <w:tc>
          <w:tcPr>
            <w:tcW w:w="58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jc w:val="right"/>
              <w:ind w:right="133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20"/>
              <w:spacing w:after="0"/>
              <w:rPr>
                <w:sz w:val="20"/>
                <w:szCs w:val="20"/>
                <w:color w:val="auto"/>
              </w:rPr>
            </w:pPr>
            <w:r>
              <w:rPr>
                <w:rFonts w:ascii="Arial" w:cs="Arial" w:eastAsia="Arial" w:hAnsi="Arial"/>
                <w:sz w:val="18"/>
                <w:szCs w:val="18"/>
                <w:color w:val="auto"/>
              </w:rPr>
              <w:t>Secured borrowings</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Funding debt, net of unamortized issuance costs</w:t>
            </w:r>
          </w:p>
        </w:tc>
        <w:tc>
          <w:tcPr>
            <w:tcW w:w="16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80" w:type="dxa"/>
            <w:vAlign w:val="bottom"/>
            <w:gridSpan w:val="2"/>
            <w:shd w:val="clear" w:color="auto" w:fill="CCEEFF"/>
          </w:tcPr>
          <w:p>
            <w:pPr>
              <w:ind w:left="260"/>
              <w:spacing w:after="0" w:line="177" w:lineRule="exact"/>
              <w:rPr>
                <w:sz w:val="20"/>
                <w:szCs w:val="20"/>
                <w:color w:val="auto"/>
              </w:rPr>
            </w:pPr>
            <w:r>
              <w:rPr>
                <w:rFonts w:ascii="Arial" w:cs="Arial" w:eastAsia="Arial" w:hAnsi="Arial"/>
                <w:sz w:val="18"/>
                <w:szCs w:val="18"/>
                <w:color w:val="auto"/>
              </w:rPr>
              <w:t>Preferred stock, par value $</w:t>
            </w:r>
          </w:p>
        </w:tc>
        <w:tc>
          <w:tcPr>
            <w:tcW w:w="1940" w:type="dxa"/>
            <w:vAlign w:val="bottom"/>
            <w:shd w:val="clear" w:color="auto" w:fill="CCEEFF"/>
          </w:tcPr>
          <w:p>
            <w:pPr>
              <w:ind w:left="480"/>
              <w:spacing w:after="0" w:line="177" w:lineRule="exact"/>
              <w:rPr>
                <w:sz w:val="20"/>
                <w:szCs w:val="20"/>
                <w:color w:val="auto"/>
              </w:rPr>
            </w:pPr>
            <w:r>
              <w:rPr>
                <w:rFonts w:ascii="Arial" w:cs="Arial" w:eastAsia="Arial" w:hAnsi="Arial"/>
                <w:sz w:val="18"/>
                <w:szCs w:val="18"/>
                <w:color w:val="auto"/>
              </w:rPr>
              <w:t>per share,</w:t>
            </w:r>
          </w:p>
        </w:tc>
        <w:tc>
          <w:tcPr>
            <w:tcW w:w="1680" w:type="dxa"/>
            <w:vAlign w:val="bottom"/>
            <w:shd w:val="clear" w:color="auto" w:fill="CCEEFF"/>
          </w:tcPr>
          <w:p>
            <w:pPr>
              <w:ind w:left="160"/>
              <w:spacing w:after="0" w:line="177" w:lineRule="exact"/>
              <w:rPr>
                <w:sz w:val="20"/>
                <w:szCs w:val="20"/>
                <w:color w:val="auto"/>
              </w:rPr>
            </w:pPr>
            <w:r>
              <w:rPr>
                <w:rFonts w:ascii="Arial" w:cs="Arial" w:eastAsia="Arial" w:hAnsi="Arial"/>
                <w:sz w:val="18"/>
                <w:szCs w:val="18"/>
                <w:color w:val="auto"/>
              </w:rPr>
              <w:t>shares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460"/>
              <w:spacing w:after="0" w:line="183" w:lineRule="exact"/>
              <w:rPr>
                <w:sz w:val="20"/>
                <w:szCs w:val="20"/>
                <w:color w:val="auto"/>
              </w:rPr>
            </w:pPr>
            <w:r>
              <w:rPr>
                <w:rFonts w:ascii="Arial" w:cs="Arial" w:eastAsia="Arial" w:hAnsi="Arial"/>
                <w:sz w:val="18"/>
                <w:szCs w:val="18"/>
                <w:color w:val="auto"/>
              </w:rPr>
              <w:t>authorized,</w:t>
            </w:r>
          </w:p>
        </w:tc>
        <w:tc>
          <w:tcPr>
            <w:tcW w:w="42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shares issued and outstanding, pro forma as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20" w:type="dxa"/>
            <w:vAlign w:val="bottom"/>
            <w:gridSpan w:val="3"/>
          </w:tcPr>
          <w:p>
            <w:pPr>
              <w:ind w:left="260"/>
              <w:spacing w:after="0" w:line="176" w:lineRule="exact"/>
              <w:rPr>
                <w:sz w:val="20"/>
                <w:szCs w:val="20"/>
                <w:color w:val="auto"/>
              </w:rPr>
            </w:pPr>
            <w:r>
              <w:rPr>
                <w:rFonts w:ascii="Arial" w:cs="Arial" w:eastAsia="Arial" w:hAnsi="Arial"/>
                <w:sz w:val="18"/>
                <w:szCs w:val="18"/>
                <w:color w:val="auto"/>
              </w:rPr>
              <w:t>Common stock, par value $0.00001 per share,</w:t>
            </w:r>
          </w:p>
        </w:tc>
        <w:tc>
          <w:tcPr>
            <w:tcW w:w="1680" w:type="dxa"/>
            <w:vAlign w:val="bottom"/>
          </w:tcPr>
          <w:p>
            <w:pPr>
              <w:ind w:left="40"/>
              <w:spacing w:after="0" w:line="176" w:lineRule="exact"/>
              <w:rPr>
                <w:sz w:val="20"/>
                <w:szCs w:val="20"/>
                <w:color w:val="auto"/>
              </w:rPr>
            </w:pPr>
            <w:r>
              <w:rPr>
                <w:rFonts w:ascii="Arial" w:cs="Arial" w:eastAsia="Arial" w:hAnsi="Arial"/>
                <w:sz w:val="18"/>
                <w:szCs w:val="18"/>
                <w:color w:val="auto"/>
              </w:rPr>
              <w:t>shares authorized,</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0" w:type="dxa"/>
            <w:vAlign w:val="bottom"/>
            <w:gridSpan w:val="4"/>
          </w:tcPr>
          <w:p>
            <w:pPr>
              <w:ind w:left="1260"/>
              <w:spacing w:after="0" w:line="183" w:lineRule="exact"/>
              <w:rPr>
                <w:sz w:val="20"/>
                <w:szCs w:val="20"/>
                <w:color w:val="auto"/>
              </w:rPr>
            </w:pPr>
            <w:r>
              <w:rPr>
                <w:rFonts w:ascii="Arial" w:cs="Arial" w:eastAsia="Arial" w:hAnsi="Arial"/>
                <w:sz w:val="18"/>
                <w:szCs w:val="18"/>
                <w:color w:val="auto"/>
              </w:rPr>
              <w:t>shares issued and outstanding, historical and pro forma as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Class A common stock, $</w:t>
            </w:r>
          </w:p>
        </w:tc>
        <w:tc>
          <w:tcPr>
            <w:tcW w:w="19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par value per share,</w:t>
            </w:r>
          </w:p>
        </w:tc>
        <w:tc>
          <w:tcPr>
            <w:tcW w:w="168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shares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460"/>
              <w:spacing w:after="0" w:line="183" w:lineRule="exact"/>
              <w:rPr>
                <w:sz w:val="20"/>
                <w:szCs w:val="20"/>
                <w:color w:val="auto"/>
              </w:rPr>
            </w:pPr>
            <w:r>
              <w:rPr>
                <w:rFonts w:ascii="Arial" w:cs="Arial" w:eastAsia="Arial" w:hAnsi="Arial"/>
                <w:sz w:val="18"/>
                <w:szCs w:val="18"/>
                <w:color w:val="auto"/>
              </w:rPr>
              <w:t>authorized,</w:t>
            </w:r>
          </w:p>
        </w:tc>
        <w:tc>
          <w:tcPr>
            <w:tcW w:w="420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shares issued and outstanding, pro forma as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80" w:type="dxa"/>
            <w:vAlign w:val="bottom"/>
            <w:gridSpan w:val="2"/>
          </w:tcPr>
          <w:p>
            <w:pPr>
              <w:ind w:left="260"/>
              <w:spacing w:after="0" w:line="176" w:lineRule="exact"/>
              <w:rPr>
                <w:sz w:val="20"/>
                <w:szCs w:val="20"/>
                <w:color w:val="auto"/>
              </w:rPr>
            </w:pPr>
            <w:r>
              <w:rPr>
                <w:rFonts w:ascii="Arial" w:cs="Arial" w:eastAsia="Arial" w:hAnsi="Arial"/>
                <w:sz w:val="18"/>
                <w:szCs w:val="18"/>
                <w:color w:val="auto"/>
              </w:rPr>
              <w:t>Class B common stock, $</w:t>
            </w:r>
          </w:p>
        </w:tc>
        <w:tc>
          <w:tcPr>
            <w:tcW w:w="1940" w:type="dxa"/>
            <w:vAlign w:val="bottom"/>
          </w:tcPr>
          <w:p>
            <w:pPr>
              <w:ind w:left="300"/>
              <w:spacing w:after="0" w:line="176" w:lineRule="exact"/>
              <w:rPr>
                <w:sz w:val="20"/>
                <w:szCs w:val="20"/>
                <w:color w:val="auto"/>
              </w:rPr>
            </w:pPr>
            <w:r>
              <w:rPr>
                <w:rFonts w:ascii="Arial" w:cs="Arial" w:eastAsia="Arial" w:hAnsi="Arial"/>
                <w:sz w:val="18"/>
                <w:szCs w:val="18"/>
                <w:color w:val="auto"/>
              </w:rPr>
              <w:t>par value per share,</w:t>
            </w:r>
          </w:p>
        </w:tc>
        <w:tc>
          <w:tcPr>
            <w:tcW w:w="1680" w:type="dxa"/>
            <w:vAlign w:val="bottom"/>
          </w:tcPr>
          <w:p>
            <w:pPr>
              <w:ind w:left="820"/>
              <w:spacing w:after="0" w:line="176" w:lineRule="exact"/>
              <w:rPr>
                <w:sz w:val="20"/>
                <w:szCs w:val="20"/>
                <w:color w:val="auto"/>
              </w:rPr>
            </w:pPr>
            <w:r>
              <w:rPr>
                <w:rFonts w:ascii="Arial" w:cs="Arial" w:eastAsia="Arial" w:hAnsi="Arial"/>
                <w:sz w:val="18"/>
                <w:szCs w:val="18"/>
                <w:color w:val="auto"/>
              </w:rPr>
              <w:t>shares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460"/>
              <w:spacing w:after="0" w:line="183" w:lineRule="exact"/>
              <w:rPr>
                <w:sz w:val="20"/>
                <w:szCs w:val="20"/>
                <w:color w:val="auto"/>
              </w:rPr>
            </w:pPr>
            <w:r>
              <w:rPr>
                <w:rFonts w:ascii="Arial" w:cs="Arial" w:eastAsia="Arial" w:hAnsi="Arial"/>
                <w:sz w:val="18"/>
                <w:szCs w:val="18"/>
                <w:color w:val="auto"/>
              </w:rPr>
              <w:t>authorized,</w:t>
            </w:r>
          </w:p>
        </w:tc>
        <w:tc>
          <w:tcPr>
            <w:tcW w:w="4200" w:type="dxa"/>
            <w:vAlign w:val="bottom"/>
            <w:gridSpan w:val="3"/>
          </w:tcPr>
          <w:p>
            <w:pPr>
              <w:spacing w:after="0" w:line="183" w:lineRule="exact"/>
              <w:rPr>
                <w:sz w:val="20"/>
                <w:szCs w:val="20"/>
                <w:color w:val="auto"/>
              </w:rPr>
            </w:pPr>
            <w:r>
              <w:rPr>
                <w:rFonts w:ascii="Arial" w:cs="Arial" w:eastAsia="Arial" w:hAnsi="Arial"/>
                <w:sz w:val="18"/>
                <w:szCs w:val="18"/>
                <w:color w:val="auto"/>
              </w:rPr>
              <w:t>shares issued and outstanding, pro forma as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200" w:type="dxa"/>
            <w:vAlign w:val="bottom"/>
          </w:tcPr>
          <w:p>
            <w:pPr>
              <w:ind w:left="460"/>
              <w:spacing w:after="0"/>
              <w:rPr>
                <w:sz w:val="20"/>
                <w:szCs w:val="20"/>
                <w:color w:val="auto"/>
              </w:rPr>
            </w:pPr>
            <w:r>
              <w:rPr>
                <w:rFonts w:ascii="Arial" w:cs="Arial" w:eastAsia="Arial" w:hAnsi="Arial"/>
                <w:sz w:val="18"/>
                <w:szCs w:val="18"/>
                <w:color w:val="auto"/>
              </w:rPr>
              <w:t>adjusted</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Additional paid-in capital</w:t>
            </w:r>
          </w:p>
        </w:tc>
        <w:tc>
          <w:tcPr>
            <w:tcW w:w="5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58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1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00" w:type="dxa"/>
            <w:vAlign w:val="bottom"/>
          </w:tcPr>
          <w:p>
            <w:pPr>
              <w:ind w:left="680"/>
              <w:spacing w:after="0"/>
              <w:rPr>
                <w:sz w:val="20"/>
                <w:szCs w:val="20"/>
                <w:color w:val="auto"/>
              </w:rPr>
            </w:pPr>
            <w:r>
              <w:rPr>
                <w:rFonts w:ascii="Arial" w:cs="Arial" w:eastAsia="Arial" w:hAnsi="Arial"/>
                <w:sz w:val="18"/>
                <w:szCs w:val="18"/>
                <w:color w:val="auto"/>
              </w:rPr>
              <w:t>Total capitalization</w:t>
            </w:r>
          </w:p>
        </w:tc>
        <w:tc>
          <w:tcPr>
            <w:tcW w:w="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540" w:type="dxa"/>
            <w:vAlign w:val="bottom"/>
            <w:tcBorders>
              <w:bottom w:val="single" w:sz="8" w:color="auto"/>
            </w:tcBorders>
          </w:tcPr>
          <w:p>
            <w:pPr>
              <w:jc w:val="right"/>
              <w:ind w:right="133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2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00" w:type="dxa"/>
            <w:vAlign w:val="bottom"/>
            <w:vMerge w:val="continue"/>
          </w:tcPr>
          <w:p>
            <w:pPr>
              <w:spacing w:after="0"/>
              <w:rPr>
                <w:sz w:val="22"/>
                <w:szCs w:val="22"/>
                <w:color w:val="auto"/>
              </w:rPr>
            </w:pPr>
          </w:p>
        </w:tc>
        <w:tc>
          <w:tcPr>
            <w:tcW w:w="5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400" w:type="dxa"/>
            <w:vAlign w:val="bottom"/>
            <w:gridSpan w:val="4"/>
          </w:tcPr>
          <w:p>
            <w:pPr>
              <w:spacing w:after="0"/>
              <w:rPr>
                <w:sz w:val="20"/>
                <w:szCs w:val="20"/>
                <w:color w:val="auto"/>
              </w:rPr>
            </w:pPr>
            <w:r>
              <w:rPr>
                <w:rFonts w:ascii="Arial" w:cs="Arial" w:eastAsia="Arial" w:hAnsi="Arial"/>
                <w:sz w:val="16"/>
                <w:szCs w:val="16"/>
                <w:color w:val="auto"/>
              </w:rPr>
              <w:t>(1)  Each $1.00 increase or decrease in the assumed initial public offering price of $</w:t>
            </w:r>
          </w:p>
        </w:tc>
        <w:tc>
          <w:tcPr>
            <w:tcW w:w="4840" w:type="dxa"/>
            <w:vAlign w:val="bottom"/>
            <w:gridSpan w:val="6"/>
          </w:tcPr>
          <w:p>
            <w:pPr>
              <w:ind w:left="700"/>
              <w:spacing w:after="0"/>
              <w:rPr>
                <w:sz w:val="20"/>
                <w:szCs w:val="20"/>
                <w:color w:val="auto"/>
              </w:rPr>
            </w:pPr>
            <w:r>
              <w:rPr>
                <w:rFonts w:ascii="Arial" w:cs="Arial" w:eastAsia="Arial" w:hAnsi="Arial"/>
                <w:sz w:val="16"/>
                <w:szCs w:val="16"/>
                <w:color w:val="auto"/>
              </w:rPr>
              <w:t>per share, which is the midpoint of the estimated offering</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6"/>
          <w:szCs w:val="16"/>
          <w:color w:val="auto"/>
        </w:rPr>
        <w:t>price range set forth on the cover page of this prospectus, would increase or decrease, as applicable, the amount of our pro forma as adjusted cash and</w:t>
      </w:r>
    </w:p>
    <w:p>
      <w:pPr>
        <w:spacing w:after="0" w:line="15"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cash equivalents, additional paid-in capital, accumulated deficit, total stockholders’ equity, and total capitalization by approximately $ million, assuming that the number of shares offered by us, as set forth on the cover page of this prospectus, remains the same, and after deducting underwriting discounts and commissions and estimated offering expenses payable by us. Similarly, each increase or decrease of 1.0 million in the number of shares offered by us would increase or decrease, as applicable, each of our cash and cash equivalents, additional paid-in capital, accumulated deficit, total stockholders’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jc w:val="both"/>
        <w:ind w:left="340" w:hanging="8"/>
        <w:spacing w:after="0" w:line="275" w:lineRule="auto"/>
        <w:tabs>
          <w:tab w:leader="none" w:pos="14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million, assuming that the assumed initial public offering price remains the same, and after deducting the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option to purchase additional shares is exercised in full, pro forma as adjusted cash and cash equivalents, additional</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paid-in capital, accumulated deficit, total stockholders’ equity, and total capitalization and shares outstanding as of , 2025 would be $ million, $ million, $ million, $ million and , respectively.</w:t>
      </w:r>
    </w:p>
    <w:p>
      <w:pPr>
        <w:spacing w:after="0" w:line="1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pro forma and pro forma as adjusted columns in the table above are based on shares of our Class A common stock and shares of our Class B common stock outstanding as of , 2025, and after giving effect to Capital Stock Conversion, the Reclassification, and the Class B Stock Exchange, excludes:</w:t>
      </w:r>
    </w:p>
    <w:p>
      <w:pPr>
        <w:sectPr>
          <w:pgSz w:w="11900" w:h="16838" w:orient="portrait"/>
          <w:cols w:equalWidth="0" w:num="1">
            <w:col w:w="11240"/>
          </w:cols>
          <w:pgMar w:left="320" w:top="1440" w:right="33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80" w:firstLine="951"/>
        <w:spacing w:after="0" w:line="287" w:lineRule="auto"/>
        <w:rPr>
          <w:sz w:val="20"/>
          <w:szCs w:val="20"/>
          <w:color w:val="auto"/>
        </w:rPr>
      </w:pPr>
      <w:r>
        <w:rPr>
          <w:rFonts w:ascii="Arial" w:cs="Arial" w:eastAsia="Arial" w:hAnsi="Arial"/>
          <w:sz w:val="18"/>
          <w:szCs w:val="18"/>
          <w:color w:val="auto"/>
        </w:rPr>
        <w:t>shares of Class A common stock issuable upon the exercise of outstanding options as of average exercise price of $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with a weighted-</w:t>
      </w:r>
    </w:p>
    <w:p>
      <w:pPr>
        <w:spacing w:after="0" w:line="387" w:lineRule="exact"/>
        <w:rPr>
          <w:sz w:val="20"/>
          <w:szCs w:val="20"/>
          <w:color w:val="auto"/>
        </w:rPr>
      </w:pPr>
    </w:p>
    <w:p>
      <w:pPr>
        <w:sectPr>
          <w:pgSz w:w="11900" w:h="16838" w:orient="portrait"/>
          <w:cols w:equalWidth="0" w:num="3">
            <w:col w:w="400" w:space="260"/>
            <w:col w:w="8420" w:space="720"/>
            <w:col w:w="144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2100" w:val="left"/>
        </w:tabs>
        <w:rPr>
          <w:sz w:val="20"/>
          <w:szCs w:val="20"/>
          <w:color w:val="auto"/>
        </w:rPr>
      </w:pPr>
      <w:r>
        <w:rPr>
          <w:rFonts w:ascii="Arial" w:cs="Arial" w:eastAsia="Arial" w:hAnsi="Arial"/>
          <w:sz w:val="18"/>
          <w:szCs w:val="18"/>
          <w:color w:val="auto"/>
        </w:rPr>
        <w:t>RSUs covering</w:t>
      </w:r>
      <w:r>
        <w:rPr>
          <w:sz w:val="20"/>
          <w:szCs w:val="20"/>
          <w:color w:val="auto"/>
        </w:rPr>
        <w:tab/>
      </w:r>
      <w:r>
        <w:rPr>
          <w:rFonts w:ascii="Arial" w:cs="Arial" w:eastAsia="Arial" w:hAnsi="Arial"/>
          <w:sz w:val="18"/>
          <w:szCs w:val="18"/>
          <w:color w:val="auto"/>
        </w:rPr>
        <w:t>shares of Class A common stock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2025, which are issuable upon satisfaction of service-</w:t>
      </w:r>
    </w:p>
    <w:p>
      <w:pPr>
        <w:spacing w:after="0" w:line="32" w:lineRule="exact"/>
        <w:rPr>
          <w:sz w:val="20"/>
          <w:szCs w:val="20"/>
          <w:color w:val="auto"/>
        </w:rPr>
      </w:pPr>
    </w:p>
    <w:p>
      <w:pPr>
        <w:sectPr>
          <w:pgSz w:w="11900" w:h="16838" w:orient="portrait"/>
          <w:cols w:equalWidth="0" w:num="3">
            <w:col w:w="400" w:space="260"/>
            <w:col w:w="5440" w:space="720"/>
            <w:col w:w="4420"/>
          </w:cols>
          <w:pgMar w:left="320" w:top="1440"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based and liquidity-based vesting conditions;</w:t>
      </w:r>
    </w:p>
    <w:p>
      <w:pPr>
        <w:spacing w:after="0" w:line="148" w:lineRule="exact"/>
        <w:rPr>
          <w:sz w:val="20"/>
          <w:szCs w:val="20"/>
          <w:color w:val="auto"/>
        </w:rPr>
      </w:pPr>
    </w:p>
    <w:p>
      <w:pPr>
        <w:jc w:val="both"/>
        <w:ind w:left="660" w:hanging="328"/>
        <w:spacing w:after="0" w:line="262" w:lineRule="auto"/>
        <w:tabs>
          <w:tab w:leader="none" w:pos="147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2025 Plan, which will become effective on the day immediately prior to the date of effectiveness of the registration statement of which this prospectus forms a part, as well as any shares of Class A common stock that become available pursuant to provisions in the 2025 Plan that automatically increase the share reserve under the 2025 Plan; and</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16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this offering.</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tangible book value (deficit) per share is determined by dividing our total tangible assets less our total liabilities by the number of</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4"/>
          </w:tcPr>
          <w:p>
            <w:pPr>
              <w:spacing w:after="0"/>
              <w:rPr>
                <w:sz w:val="20"/>
                <w:szCs w:val="20"/>
                <w:color w:val="auto"/>
              </w:rPr>
            </w:pPr>
            <w:r>
              <w:rPr>
                <w:rFonts w:ascii="Arial" w:cs="Arial" w:eastAsia="Arial" w:hAnsi="Arial"/>
                <w:sz w:val="18"/>
                <w:szCs w:val="18"/>
                <w:color w:val="auto"/>
              </w:rPr>
              <w:t>shares of our common stock outstanding. Our historical net tangible book value (deficit) as of</w:t>
            </w:r>
          </w:p>
        </w:tc>
        <w:tc>
          <w:tcPr>
            <w:tcW w:w="1840" w:type="dxa"/>
            <w:vAlign w:val="bottom"/>
          </w:tcPr>
          <w:p>
            <w:pPr>
              <w:ind w:left="680"/>
              <w:spacing w:after="0"/>
              <w:rPr>
                <w:sz w:val="20"/>
                <w:szCs w:val="20"/>
                <w:color w:val="auto"/>
              </w:rPr>
            </w:pPr>
            <w:r>
              <w:rPr>
                <w:rFonts w:ascii="Arial" w:cs="Arial" w:eastAsia="Arial" w:hAnsi="Arial"/>
                <w:sz w:val="18"/>
                <w:szCs w:val="18"/>
                <w:color w:val="auto"/>
              </w:rPr>
              <w:t>, 2025 was $</w:t>
            </w:r>
          </w:p>
        </w:tc>
        <w:tc>
          <w:tcPr>
            <w:tcW w:w="1740" w:type="dxa"/>
            <w:vAlign w:val="bottom"/>
          </w:tcPr>
          <w:p>
            <w:pPr>
              <w:jc w:val="right"/>
              <w:spacing w:after="0"/>
              <w:rPr>
                <w:sz w:val="20"/>
                <w:szCs w:val="20"/>
                <w:color w:val="auto"/>
              </w:rPr>
            </w:pPr>
            <w:r>
              <w:rPr>
                <w:rFonts w:ascii="Arial" w:cs="Arial" w:eastAsia="Arial" w:hAnsi="Arial"/>
                <w:sz w:val="18"/>
                <w:szCs w:val="18"/>
                <w:color w:val="auto"/>
              </w:rPr>
              <w:t>million, or $</w:t>
            </w:r>
          </w:p>
        </w:tc>
      </w:tr>
      <w:tr>
        <w:trPr>
          <w:trHeight w:val="216"/>
        </w:trPr>
        <w:tc>
          <w:tcPr>
            <w:tcW w:w="7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per share. Our pro forma net tangible book value as of</w:t>
            </w:r>
          </w:p>
        </w:tc>
        <w:tc>
          <w:tcPr>
            <w:tcW w:w="1980" w:type="dxa"/>
            <w:vAlign w:val="bottom"/>
          </w:tcPr>
          <w:p>
            <w:pPr>
              <w:ind w:left="220"/>
              <w:spacing w:after="0"/>
              <w:rPr>
                <w:sz w:val="20"/>
                <w:szCs w:val="20"/>
                <w:color w:val="auto"/>
              </w:rPr>
            </w:pPr>
            <w:r>
              <w:rPr>
                <w:rFonts w:ascii="Arial" w:cs="Arial" w:eastAsia="Arial" w:hAnsi="Arial"/>
                <w:sz w:val="18"/>
                <w:szCs w:val="18"/>
                <w:color w:val="auto"/>
              </w:rPr>
              <w:t>, 2025 was $</w:t>
            </w:r>
          </w:p>
        </w:tc>
        <w:tc>
          <w:tcPr>
            <w:tcW w:w="1840" w:type="dxa"/>
            <w:vAlign w:val="bottom"/>
          </w:tcPr>
          <w:p>
            <w:pPr>
              <w:ind w:left="160"/>
              <w:spacing w:after="0"/>
              <w:rPr>
                <w:sz w:val="20"/>
                <w:szCs w:val="20"/>
                <w:color w:val="auto"/>
              </w:rPr>
            </w:pPr>
            <w:r>
              <w:rPr>
                <w:rFonts w:ascii="Arial" w:cs="Arial" w:eastAsia="Arial" w:hAnsi="Arial"/>
                <w:sz w:val="18"/>
                <w:szCs w:val="18"/>
                <w:color w:val="auto"/>
              </w:rPr>
              <w:t>million, or $</w:t>
            </w:r>
          </w:p>
        </w:tc>
        <w:tc>
          <w:tcPr>
            <w:tcW w:w="1740" w:type="dxa"/>
            <w:vAlign w:val="bottom"/>
          </w:tcPr>
          <w:p>
            <w:pPr>
              <w:jc w:val="right"/>
              <w:spacing w:after="0"/>
              <w:rPr>
                <w:sz w:val="20"/>
                <w:szCs w:val="20"/>
                <w:color w:val="auto"/>
              </w:rPr>
            </w:pPr>
            <w:r>
              <w:rPr>
                <w:rFonts w:ascii="Arial" w:cs="Arial" w:eastAsia="Arial" w:hAnsi="Arial"/>
                <w:sz w:val="18"/>
                <w:szCs w:val="18"/>
                <w:color w:val="auto"/>
              </w:rPr>
              <w:t>per share, based on</w:t>
            </w: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the total number of shares of our common stock outstanding as of</w:t>
            </w:r>
          </w:p>
        </w:tc>
        <w:tc>
          <w:tcPr>
            <w:tcW w:w="5560" w:type="dxa"/>
            <w:vAlign w:val="bottom"/>
            <w:gridSpan w:val="3"/>
          </w:tcPr>
          <w:p>
            <w:pPr>
              <w:jc w:val="right"/>
              <w:spacing w:after="0"/>
              <w:rPr>
                <w:sz w:val="20"/>
                <w:szCs w:val="20"/>
                <w:color w:val="auto"/>
              </w:rPr>
            </w:pPr>
            <w:r>
              <w:rPr>
                <w:rFonts w:ascii="Arial" w:cs="Arial" w:eastAsia="Arial" w:hAnsi="Arial"/>
                <w:sz w:val="18"/>
                <w:szCs w:val="18"/>
                <w:color w:val="auto"/>
              </w:rPr>
              <w:t>, 2025 after giving effect to Capital Stock Conversion, the</w:t>
            </w:r>
          </w:p>
        </w:tc>
      </w:tr>
      <w:tr>
        <w:trPr>
          <w:trHeight w:val="239"/>
        </w:trPr>
        <w:tc>
          <w:tcPr>
            <w:tcW w:w="4100" w:type="dxa"/>
            <w:vAlign w:val="bottom"/>
            <w:gridSpan w:val="2"/>
          </w:tcPr>
          <w:p>
            <w:pPr>
              <w:spacing w:after="0"/>
              <w:rPr>
                <w:sz w:val="20"/>
                <w:szCs w:val="20"/>
                <w:color w:val="auto"/>
              </w:rPr>
            </w:pPr>
            <w:r>
              <w:rPr>
                <w:rFonts w:ascii="Arial" w:cs="Arial" w:eastAsia="Arial" w:hAnsi="Arial"/>
                <w:sz w:val="18"/>
                <w:szCs w:val="18"/>
                <w:color w:val="auto"/>
              </w:rPr>
              <w:t>Reclassification, and the Class B Stock Exchange.</w:t>
            </w:r>
          </w:p>
        </w:tc>
        <w:tc>
          <w:tcPr>
            <w:tcW w:w="1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5"/>
        </w:trPr>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After giving effect to the sale by us of</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shares of our Class A common stock in this offering at the assumed initial public offering</w:t>
            </w:r>
          </w:p>
        </w:tc>
      </w:tr>
      <w:tr>
        <w:trPr>
          <w:trHeight w:val="234"/>
        </w:trPr>
        <w:tc>
          <w:tcPr>
            <w:tcW w:w="780" w:type="dxa"/>
            <w:vAlign w:val="bottom"/>
          </w:tcPr>
          <w:p>
            <w:pPr>
              <w:spacing w:after="0"/>
              <w:rPr>
                <w:sz w:val="20"/>
                <w:szCs w:val="20"/>
                <w:color w:val="auto"/>
              </w:rPr>
            </w:pPr>
            <w:r>
              <w:rPr>
                <w:rFonts w:ascii="Arial" w:cs="Arial" w:eastAsia="Arial" w:hAnsi="Arial"/>
                <w:sz w:val="18"/>
                <w:szCs w:val="18"/>
                <w:color w:val="auto"/>
              </w:rPr>
              <w:t>price of $</w:t>
            </w:r>
          </w:p>
        </w:tc>
        <w:tc>
          <w:tcPr>
            <w:tcW w:w="10460" w:type="dxa"/>
            <w:vAlign w:val="bottom"/>
            <w:gridSpan w:val="5"/>
          </w:tcPr>
          <w:p>
            <w:pPr>
              <w:jc w:val="right"/>
              <w:spacing w:after="0"/>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 and</w:t>
            </w:r>
          </w:p>
        </w:tc>
      </w:tr>
    </w:tbl>
    <w:p>
      <w:pPr>
        <w:spacing w:after="0"/>
        <w:rPr>
          <w:sz w:val="20"/>
          <w:szCs w:val="20"/>
          <w:color w:val="auto"/>
        </w:rPr>
      </w:pPr>
      <w:r>
        <w:rPr>
          <w:rFonts w:ascii="Arial" w:cs="Arial" w:eastAsia="Arial" w:hAnsi="Arial"/>
          <w:sz w:val="18"/>
          <w:szCs w:val="18"/>
          <w:color w:val="auto"/>
        </w:rPr>
        <w:t>after deducting underwriting discounts and commissions and estimated offering expenses payable by us, our pro forma as adjusted net</w:t>
      </w: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20"/>
                <w:szCs w:val="20"/>
                <w:color w:val="auto"/>
              </w:rPr>
            </w:pPr>
            <w:r>
              <w:rPr>
                <w:rFonts w:ascii="Arial" w:cs="Arial" w:eastAsia="Arial" w:hAnsi="Arial"/>
                <w:sz w:val="18"/>
                <w:szCs w:val="18"/>
                <w:color w:val="auto"/>
              </w:rPr>
              <w:t>tangible book value to give effect to this offering as of</w:t>
            </w:r>
          </w:p>
        </w:tc>
        <w:tc>
          <w:tcPr>
            <w:tcW w:w="2520" w:type="dxa"/>
            <w:vAlign w:val="bottom"/>
            <w:gridSpan w:val="2"/>
          </w:tcPr>
          <w:p>
            <w:pPr>
              <w:ind w:left="300"/>
              <w:spacing w:after="0"/>
              <w:rPr>
                <w:sz w:val="20"/>
                <w:szCs w:val="20"/>
                <w:color w:val="auto"/>
              </w:rPr>
            </w:pPr>
            <w:r>
              <w:rPr>
                <w:rFonts w:ascii="Arial" w:cs="Arial" w:eastAsia="Arial" w:hAnsi="Arial"/>
                <w:sz w:val="18"/>
                <w:szCs w:val="18"/>
                <w:color w:val="auto"/>
              </w:rPr>
              <w:t>, 2025 would have been $</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million, or $</w:t>
            </w:r>
          </w:p>
        </w:tc>
        <w:tc>
          <w:tcPr>
            <w:tcW w:w="1840" w:type="dxa"/>
            <w:vAlign w:val="bottom"/>
          </w:tcPr>
          <w:p>
            <w:pPr>
              <w:jc w:val="right"/>
              <w:spacing w:after="0"/>
              <w:rPr>
                <w:sz w:val="20"/>
                <w:szCs w:val="20"/>
                <w:color w:val="auto"/>
              </w:rPr>
            </w:pPr>
            <w:r>
              <w:rPr>
                <w:rFonts w:ascii="Arial" w:cs="Arial" w:eastAsia="Arial" w:hAnsi="Arial"/>
                <w:sz w:val="18"/>
                <w:szCs w:val="18"/>
                <w:color w:val="auto"/>
              </w:rPr>
              <w:t>per share. This</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represents an immediate increase in pro forma net tangible book value of $</w:t>
            </w:r>
          </w:p>
        </w:tc>
        <w:tc>
          <w:tcPr>
            <w:tcW w:w="740" w:type="dxa"/>
            <w:vAlign w:val="bottom"/>
          </w:tcPr>
          <w:p>
            <w:pPr>
              <w:spacing w:after="0"/>
              <w:rPr>
                <w:sz w:val="18"/>
                <w:szCs w:val="18"/>
                <w:color w:val="auto"/>
              </w:rPr>
            </w:pP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per share to our existing stockholders and an</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immediate dilution in pro forma as adjusted net tangible book value of $</w:t>
            </w:r>
          </w:p>
        </w:tc>
        <w:tc>
          <w:tcPr>
            <w:tcW w:w="4620" w:type="dxa"/>
            <w:vAlign w:val="bottom"/>
            <w:gridSpan w:val="3"/>
          </w:tcPr>
          <w:p>
            <w:pPr>
              <w:jc w:val="right"/>
              <w:spacing w:after="0"/>
              <w:rPr>
                <w:sz w:val="20"/>
                <w:szCs w:val="20"/>
                <w:color w:val="auto"/>
              </w:rPr>
            </w:pPr>
            <w:r>
              <w:rPr>
                <w:rFonts w:ascii="Arial" w:cs="Arial" w:eastAsia="Arial" w:hAnsi="Arial"/>
                <w:sz w:val="18"/>
                <w:szCs w:val="18"/>
                <w:color w:val="auto"/>
              </w:rPr>
              <w:t>per share to investors purchasing shares of our Class A</w:t>
            </w:r>
          </w:p>
        </w:tc>
      </w:tr>
      <w:tr>
        <w:trPr>
          <w:trHeight w:val="239"/>
        </w:trPr>
        <w:tc>
          <w:tcPr>
            <w:tcW w:w="9400" w:type="dxa"/>
            <w:vAlign w:val="bottom"/>
            <w:gridSpan w:val="4"/>
          </w:tcPr>
          <w:p>
            <w:pPr>
              <w:spacing w:after="0"/>
              <w:rPr>
                <w:sz w:val="20"/>
                <w:szCs w:val="20"/>
                <w:color w:val="auto"/>
              </w:rPr>
            </w:pPr>
            <w:r>
              <w:rPr>
                <w:rFonts w:ascii="Arial" w:cs="Arial" w:eastAsia="Arial" w:hAnsi="Arial"/>
                <w:sz w:val="18"/>
                <w:szCs w:val="18"/>
                <w:color w:val="auto"/>
              </w:rPr>
              <w:t>common stock in this offering at the assumed initial public offering price. The following table illustrates this dilution:</w:t>
            </w:r>
          </w:p>
        </w:tc>
        <w:tc>
          <w:tcPr>
            <w:tcW w:w="1840" w:type="dxa"/>
            <w:vAlign w:val="bottom"/>
          </w:tcPr>
          <w:p>
            <w:pPr>
              <w:spacing w:after="0"/>
              <w:rPr>
                <w:sz w:val="20"/>
                <w:szCs w:val="20"/>
                <w:color w:val="auto"/>
              </w:rPr>
            </w:pPr>
          </w:p>
        </w:tc>
      </w:tr>
      <w:tr>
        <w:trPr>
          <w:trHeight w:val="185"/>
        </w:trPr>
        <w:tc>
          <w:tcPr>
            <w:tcW w:w="4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17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r>
      <w:tr>
        <w:trPr>
          <w:trHeight w:val="243"/>
        </w:trPr>
        <w:tc>
          <w:tcPr>
            <w:tcW w:w="4840" w:type="dxa"/>
            <w:vAlign w:val="bottom"/>
          </w:tcPr>
          <w:p>
            <w:pPr>
              <w:ind w:left="240"/>
              <w:spacing w:after="0"/>
              <w:rPr>
                <w:sz w:val="20"/>
                <w:szCs w:val="20"/>
                <w:color w:val="auto"/>
              </w:rPr>
            </w:pPr>
            <w:r>
              <w:rPr>
                <w:rFonts w:ascii="Arial" w:cs="Arial" w:eastAsia="Arial" w:hAnsi="Arial"/>
                <w:sz w:val="18"/>
                <w:szCs w:val="18"/>
                <w:color w:val="auto"/>
              </w:rPr>
              <w:t>Historical net tangible book value (deficit) per share as of</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 2025</w:t>
            </w:r>
          </w:p>
        </w:tc>
        <w:tc>
          <w:tcPr>
            <w:tcW w:w="740" w:type="dxa"/>
            <w:vAlign w:val="bottom"/>
          </w:tcPr>
          <w:p>
            <w:pPr>
              <w:spacing w:after="0"/>
              <w:rPr>
                <w:sz w:val="21"/>
                <w:szCs w:val="21"/>
                <w:color w:val="auto"/>
              </w:rPr>
            </w:pPr>
          </w:p>
        </w:tc>
        <w:tc>
          <w:tcPr>
            <w:tcW w:w="20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1"/>
                <w:szCs w:val="21"/>
                <w:color w:val="auto"/>
              </w:rPr>
            </w:pPr>
          </w:p>
        </w:tc>
      </w:tr>
      <w:tr>
        <w:trPr>
          <w:trHeight w:val="243"/>
        </w:trPr>
        <w:tc>
          <w:tcPr>
            <w:tcW w:w="6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43"/>
        </w:trPr>
        <w:tc>
          <w:tcPr>
            <w:tcW w:w="4840" w:type="dxa"/>
            <w:vAlign w:val="bottom"/>
          </w:tcPr>
          <w:p>
            <w:pPr>
              <w:ind w:left="240"/>
              <w:spacing w:after="0"/>
              <w:rPr>
                <w:sz w:val="20"/>
                <w:szCs w:val="20"/>
                <w:color w:val="auto"/>
              </w:rPr>
            </w:pPr>
            <w:r>
              <w:rPr>
                <w:rFonts w:ascii="Arial" w:cs="Arial" w:eastAsia="Arial" w:hAnsi="Arial"/>
                <w:sz w:val="18"/>
                <w:szCs w:val="18"/>
                <w:color w:val="auto"/>
              </w:rPr>
              <w:t>Pro forma net tangible book value per share as of</w:t>
            </w:r>
          </w:p>
        </w:tc>
        <w:tc>
          <w:tcPr>
            <w:tcW w:w="1780" w:type="dxa"/>
            <w:vAlign w:val="bottom"/>
          </w:tcPr>
          <w:p>
            <w:pPr>
              <w:jc w:val="right"/>
              <w:ind w:right="1110"/>
              <w:spacing w:after="0"/>
              <w:rPr>
                <w:sz w:val="20"/>
                <w:szCs w:val="20"/>
                <w:color w:val="auto"/>
              </w:rPr>
            </w:pPr>
            <w:r>
              <w:rPr>
                <w:rFonts w:ascii="Arial" w:cs="Arial" w:eastAsia="Arial" w:hAnsi="Arial"/>
                <w:sz w:val="18"/>
                <w:szCs w:val="18"/>
                <w:color w:val="auto"/>
              </w:rPr>
              <w:t>, 2025</w:t>
            </w:r>
          </w:p>
        </w:tc>
        <w:tc>
          <w:tcPr>
            <w:tcW w:w="7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176"/>
        </w:trPr>
        <w:tc>
          <w:tcPr>
            <w:tcW w:w="940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auto"/>
              </w:rPr>
              <w:t>Increase in pro forma net tangible book value per share attributable to investors purchasing</w:t>
            </w:r>
          </w:p>
        </w:tc>
        <w:tc>
          <w:tcPr>
            <w:tcW w:w="1840" w:type="dxa"/>
            <w:vAlign w:val="bottom"/>
            <w:shd w:val="clear" w:color="auto" w:fill="CCEEFF"/>
          </w:tcPr>
          <w:p>
            <w:pPr>
              <w:spacing w:after="0"/>
              <w:rPr>
                <w:sz w:val="15"/>
                <w:szCs w:val="15"/>
                <w:color w:val="auto"/>
              </w:rPr>
            </w:pPr>
          </w:p>
        </w:tc>
      </w:tr>
      <w:tr>
        <w:trPr>
          <w:trHeight w:val="243"/>
        </w:trPr>
        <w:tc>
          <w:tcPr>
            <w:tcW w:w="4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shares of Class A common stock in this offering</w:t>
            </w:r>
          </w:p>
        </w:tc>
        <w:tc>
          <w:tcPr>
            <w:tcW w:w="17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43"/>
        </w:trPr>
        <w:tc>
          <w:tcPr>
            <w:tcW w:w="7360" w:type="dxa"/>
            <w:vAlign w:val="bottom"/>
            <w:gridSpan w:val="3"/>
          </w:tcPr>
          <w:p>
            <w:pPr>
              <w:ind w:left="20"/>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2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 in pro forma net tangible book value per share to investors in this offering</w:t>
            </w:r>
          </w:p>
        </w:tc>
        <w:tc>
          <w:tcPr>
            <w:tcW w:w="7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r>
      <w:tr>
        <w:trPr>
          <w:trHeight w:val="472"/>
        </w:trPr>
        <w:tc>
          <w:tcPr>
            <w:tcW w:w="7360" w:type="dxa"/>
            <w:vAlign w:val="bottom"/>
            <w:gridSpan w:val="3"/>
          </w:tcPr>
          <w:p>
            <w:pPr>
              <w:ind w:left="3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per share, which is the midpoint of the</w:t>
            </w:r>
          </w:p>
        </w:tc>
      </w:tr>
    </w:tbl>
    <w:p>
      <w:pPr>
        <w:spacing w:after="0"/>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our pro forma as</w:t>
      </w:r>
    </w:p>
    <w:p>
      <w:pPr>
        <w:spacing w:after="0" w:line="200" w:lineRule="exact"/>
        <w:rPr>
          <w:sz w:val="20"/>
          <w:szCs w:val="20"/>
          <w:color w:val="auto"/>
        </w:rPr>
      </w:pP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adjusted net tangible book value per share immediately after this offering by approximately $ , and would increase or decrease, as applicable, dilution per share to new investors purchasing shares of Class A common stock in this offering by $ , assuming that the</w:t>
      </w:r>
    </w:p>
    <w:p>
      <w:pPr>
        <w:spacing w:after="0" w:line="2"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number of shares offered by us, as set forth on the cover page of this prospectus, remains the same and after deducting underwriting discounts and commissions and estimated offering expenses payable by us. Similarly, each increase or decrease of 1.0 million shares in the number of shares of our Class A common stock offered by us would increase or decrease, as applicable, our pro forma as adjusted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tangible book value immediately after this offering by approximately $ per share and increase or decrease, as applicable, the dilution to new investors purchasing shares of Class A common stock in this offering by $ per share, assuming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assumed initial public offering price remains the same, and after deducting underwriting discounts and commissions and estimated offering expenses payable by us.</w:t>
      </w:r>
    </w:p>
    <w:p>
      <w:pPr>
        <w:spacing w:after="0" w:line="99"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If the underwriters exercise their option in full to purchase additional shares of Class A common stock in this offering, the pro forma as adjusted net tangible book value per share after the offering would be $ per share, the increase in the pro forma net tangible book value per share to existing stockholders would be $ per share and the dilution in pro forma net tangible book value to new investors purchasing Class A common stock in this offering would be $ per share.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on a pro forma as adjusted basis to give effect to the Capital Stock Conversion, the Reclassification, and</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Class B Stock Exchange, and this offering, as of , 2025, the differences between the existing stockholders and the investors purchasing shares of our Class A common stock in this offering with respect to the number of shares purchased from us, the total consideration paid or to be paid to us and the average price per share paid or to be paid to us at the assumed initial public offering price of</w:t>
      </w:r>
    </w:p>
    <w:p>
      <w:pPr>
        <w:spacing w:after="0" w:line="1" w:lineRule="exact"/>
        <w:rPr>
          <w:sz w:val="20"/>
          <w:szCs w:val="20"/>
          <w:color w:val="auto"/>
        </w:rPr>
      </w:pPr>
    </w:p>
    <w:p>
      <w:pPr>
        <w:ind w:right="20" w:firstLine="8"/>
        <w:spacing w:after="0" w:line="266" w:lineRule="auto"/>
        <w:tabs>
          <w:tab w:leader="none" w:pos="11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before deducting underwriting discounts and commissions and estimated offering expenses payable by 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28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Borders>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Total Consideration</w:t>
            </w:r>
          </w:p>
        </w:tc>
        <w:tc>
          <w:tcPr>
            <w:tcW w:w="80" w:type="dxa"/>
            <w:vAlign w:val="bottom"/>
          </w:tcPr>
          <w:p>
            <w:pPr>
              <w:spacing w:after="0"/>
              <w:rPr>
                <w:sz w:val="17"/>
                <w:szCs w:val="17"/>
                <w:color w:val="auto"/>
              </w:rPr>
            </w:pPr>
          </w:p>
        </w:tc>
        <w:tc>
          <w:tcPr>
            <w:tcW w:w="15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Number</w:t>
            </w:r>
          </w:p>
        </w:tc>
        <w:tc>
          <w:tcPr>
            <w:tcW w:w="12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Percent</w:t>
            </w:r>
          </w:p>
        </w:tc>
        <w:tc>
          <w:tcPr>
            <w:tcW w:w="1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3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Existing stockholders before this</w:t>
            </w: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vMerge w:val="restart"/>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offering</w:t>
            </w:r>
          </w:p>
        </w:tc>
        <w:tc>
          <w:tcPr>
            <w:tcW w:w="12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Investors participating in this offering</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1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ind w:right="13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40" w:type="dxa"/>
            <w:vAlign w:val="bottom"/>
            <w:gridSpan w:val="8"/>
          </w:tcPr>
          <w:p>
            <w:pPr>
              <w:ind w:left="3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per share, which is the midpoint of the</w:t>
            </w:r>
          </w:p>
        </w:tc>
        <w:tc>
          <w:tcPr>
            <w:tcW w:w="0" w:type="dxa"/>
            <w:vAlign w:val="bottom"/>
          </w:tcPr>
          <w:p>
            <w:pPr>
              <w:spacing w:after="0"/>
              <w:rPr>
                <w:sz w:val="1"/>
                <w:szCs w:val="1"/>
                <w:color w:val="auto"/>
              </w:rPr>
            </w:pPr>
          </w:p>
        </w:tc>
      </w:tr>
    </w:tbl>
    <w:p>
      <w:pPr>
        <w:jc w:val="both"/>
        <w:spacing w:after="0" w:line="250" w:lineRule="auto"/>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total consideration paid by investors participating in this offering and the total consideration paid by all stockholders by approximately $</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underwriting discounts and commissions and estimated offering expenses payable by us. Similarly, each increase or decrease of 1.0 million in the number of shares offered by us would increase or decrease, as applicable, total consideration paid by investors participating</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offering and total consideration paid by all stockholders, by approximately $ million, assuming that the assumed initial public offering price remains the same, and after deducting the underwriting discounts and commissions and estimated offering expenses payable by us.</w:t>
      </w:r>
    </w:p>
    <w:p>
      <w:pPr>
        <w:spacing w:after="0" w:line="33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option to purchase additional shares is exercised in full, the total number of shares of our common stock held by existing</w:t>
      </w:r>
    </w:p>
    <w:p>
      <w:pPr>
        <w:spacing w:after="0" w:line="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stockholders would be reduced to % of the total number of shares of our common stock outstanding after this offering, and the total number of shares of common stock held by investors participating in this offering would be increased to % of the total number of shares outstanding after this offering.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number of shares of Class A common stock and Class B common stock that will be outstanding immediately after this offering</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is based on shares of our Class A common stock and shares of our Class B common stock outstanding as of , 2025, and after giving effect to the Capital Stock Conversion, the Reclassification, and the Class B Stock Exchange, excludes:</w:t>
      </w:r>
    </w:p>
    <w:p>
      <w:pPr>
        <w:sectPr>
          <w:pgSz w:w="11900" w:h="16838" w:orient="portrait"/>
          <w:cols w:equalWidth="0" w:num="1">
            <w:col w:w="11240"/>
          </w:cols>
          <w:pgMar w:left="320" w:top="1440" w:right="33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20" w:firstLine="906"/>
        <w:spacing w:after="0" w:line="287" w:lineRule="auto"/>
        <w:rPr>
          <w:sz w:val="20"/>
          <w:szCs w:val="20"/>
          <w:color w:val="auto"/>
        </w:rPr>
      </w:pPr>
      <w:r>
        <w:rPr>
          <w:rFonts w:ascii="Arial" w:cs="Arial" w:eastAsia="Arial" w:hAnsi="Arial"/>
          <w:sz w:val="18"/>
          <w:szCs w:val="18"/>
          <w:color w:val="auto"/>
        </w:rPr>
        <w:t>shares of Class A common stock issuable upon the exercise of outstanding options as of average exercise price of $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with a weighted-</w:t>
      </w:r>
    </w:p>
    <w:p>
      <w:pPr>
        <w:spacing w:after="0" w:line="488" w:lineRule="exact"/>
        <w:rPr>
          <w:sz w:val="20"/>
          <w:szCs w:val="20"/>
          <w:color w:val="auto"/>
        </w:rPr>
      </w:pPr>
    </w:p>
    <w:p>
      <w:pPr>
        <w:sectPr>
          <w:pgSz w:w="11900" w:h="16838" w:orient="portrait"/>
          <w:cols w:equalWidth="0" w:num="3">
            <w:col w:w="400" w:space="260"/>
            <w:col w:w="8420" w:space="720"/>
            <w:col w:w="14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spacing w:after="0" w:line="139" w:lineRule="exact"/>
        <w:rPr>
          <w:sz w:val="20"/>
          <w:szCs w:val="20"/>
          <w:color w:val="auto"/>
        </w:rPr>
      </w:pPr>
    </w:p>
    <w:p>
      <w:pPr>
        <w:ind w:left="8"/>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200" w:hanging="4"/>
        <w:spacing w:after="0" w:line="287" w:lineRule="auto"/>
        <w:rPr>
          <w:sz w:val="20"/>
          <w:szCs w:val="20"/>
          <w:color w:val="auto"/>
        </w:rPr>
      </w:pPr>
      <w:r>
        <w:rPr>
          <w:rFonts w:ascii="Arial" w:cs="Arial" w:eastAsia="Arial" w:hAnsi="Arial"/>
          <w:sz w:val="18"/>
          <w:szCs w:val="18"/>
          <w:color w:val="auto"/>
        </w:rPr>
        <w:t>RSUs covering</w:t>
      </w:r>
      <w:r>
        <w:rPr>
          <w:sz w:val="20"/>
          <w:szCs w:val="20"/>
          <w:color w:val="auto"/>
        </w:rPr>
        <w:t xml:space="preserve"> </w:t>
      </w:r>
      <w:r>
        <w:rPr>
          <w:rFonts w:ascii="Arial" w:cs="Arial" w:eastAsia="Arial" w:hAnsi="Arial"/>
          <w:sz w:val="18"/>
          <w:szCs w:val="18"/>
          <w:color w:val="auto"/>
        </w:rPr>
        <w:t>shares of Class A common stock as of based and liquidity-based vesting conditions;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2025, which are issuable upon satisfaction of service-</w:t>
      </w:r>
    </w:p>
    <w:p>
      <w:pPr>
        <w:spacing w:after="0" w:line="387" w:lineRule="exact"/>
        <w:rPr>
          <w:sz w:val="20"/>
          <w:szCs w:val="20"/>
          <w:color w:val="auto"/>
        </w:rPr>
      </w:pPr>
    </w:p>
    <w:p>
      <w:pPr>
        <w:sectPr>
          <w:pgSz w:w="11900" w:h="16838" w:orient="portrait"/>
          <w:cols w:equalWidth="0" w:num="3">
            <w:col w:w="68" w:space="260"/>
            <w:col w:w="5440" w:space="720"/>
            <w:col w:w="4420"/>
          </w:cols>
          <w:pgMar w:left="652" w:top="1440" w:right="339" w:bottom="1440" w:gutter="0" w:footer="0" w:header="0"/>
        </w:sectPr>
      </w:pPr>
    </w:p>
    <w:p>
      <w:pPr>
        <w:jc w:val="both"/>
        <w:ind w:left="328" w:hanging="328"/>
        <w:spacing w:after="0" w:line="262" w:lineRule="auto"/>
        <w:tabs>
          <w:tab w:leader="none" w:pos="10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2025 Plan, which will become effective on the day immediately prior to the date of effectiveness of the registration statement of which this prospectus forms a part, as well as any shares of Class A common stock that become available pursuant to provisions in the 2025 Plan that automatically increase the share reserve under the 2025 Plan; and</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1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08"/>
          </w:cols>
          <w:pgMar w:left="652" w:top="1440" w:right="339" w:bottom="1440" w:gutter="0" w:footer="0" w:header="0"/>
          <w:type w:val="continuous"/>
        </w:sectPr>
      </w:pPr>
    </w:p>
    <w:bookmarkStart w:id="133" w:name="page134"/>
    <w:bookmarkEnd w:id="13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Figure is building the future of capital markets using blockchain-based technology.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$ 2 trillion consumer credit market and the rapidly growing approximately $3 trillion cryptocurrency and digital asset market. As a result, Figure has grown quickly and profitably, with net income of $20 million and Adjusted EBITDA of $102 million for the year ended December 31, 2024.</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average of approximately 40 days (based on data from industry sources). Additionally, the average production cost per loan was reduced to approximately $730 for the year ended December 31, 2024 from a mortgage industry average of $11,230 for the quarter ended December 31, 2024, according to the MBA.</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technology enables the immutable recording of all assets and their key information on Provenance Blockchain. Provenance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$40 billion in both real-world and digital asset transactions from our launch in late 2018 to March 31, 2025. Further, 71% of our loan originations for the quarter ended March 31, 2025 utilized our DART platform, our lien and eNote registry that is built on Provenance Blockchain, compared to only 2% of loan originations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spacing w:after="0" w:line="117"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key performance measures that we use to evaluate our business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For the Years Ended December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Loan Origination System Volume</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3,368,861</w:t>
            </w:r>
          </w:p>
        </w:tc>
      </w:tr>
      <w:tr>
        <w:trPr>
          <w:trHeight w:val="230"/>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Figure Connect Volume</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Figure Exchange Volume</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340,885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209,549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Adjusted Net Revenue</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339,182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214,168</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define Loan Origination System Volume originated through our LOS through our Figure-branded and Partner-branded channels. We believe this measure is an indication of our scale and represents a potential revenue opportunity from the technology used for loan originations.</w:t>
      </w:r>
    </w:p>
    <w:p>
      <w:pPr>
        <w:spacing w:after="0" w:line="1"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define Figure Connect Volume as the total U.S. dollar equivalent value of volume transacted between a buyer and seller through our platform. We believe this measure is a reflection of the underlying growth of our Figure Connect ecosystem.</w:t>
      </w:r>
    </w:p>
    <w:p>
      <w:pPr>
        <w:jc w:val="both"/>
        <w:ind w:left="340" w:hanging="332"/>
        <w:spacing w:after="0" w:line="252"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define Figure Exchange Volume as the total U.S. dollar equivalent value of matched trades transacted between a buyer and seller through Figure Exchange. Figure Exchange Volume represents the product of the quantity of asset transacted and the trade price at the time the transaction was executed. We believe this measure is a reflection of the underlying growth of our Figure Exchange ecosystem.</w:t>
      </w:r>
    </w:p>
    <w:p>
      <w:pPr>
        <w:ind w:left="340" w:hanging="332"/>
        <w:spacing w:after="0" w:line="270"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definitions of Adjusted Net Revenue and Adjusted EBITDA and reconciliations to our most directly comparable financial measures calculated and presented in accordance with GAAP, see “—Non-GAAP Financial Measures.”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and Competitive Factors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primarily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 potential financing alternative. We believe the 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2024, we were the leading originator of HELOCs among non-depository lenders, in addition to providing the technology to power other originators through our Partner-branded strategies.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Expansion of our Ecosystem and Product Offerings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As we launch new products, we expect to generate significant momentum by capitalizing on our proven track record, reputation and to our established network of partners to support our ability to quickly scale in adjacent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 changes as market participants seek platforms that meet regulatory requirements and solutions that help them comply with their regulatory 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Cybersecurity Environment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Cycles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experience seasonal fluctuations in our business as a result of consumer spending patterns which we expect to mimic the seasonality of our general business in the near term. Historically, our origination volume has been the strongest during the second and third quarter due to increases in home improvements and our origination volume is at its lowest during the first and fourth quarter. Adverse events that occur during our second and third quarters could have a disproportionate effect on our financial results for the fiscal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during the years ended December 31, 2024 and 2023. However, there can be no assurance that our results of operations will not be materially impacted by inflation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combined consolidated financial statements have been prepared in accordance with GAAP and include the accounts of our company and our subsidiaries. Our subsidiaries are entities in which our company holds, directly or indirectly, more than 50% of the voting rights or where it exercises control. For the purposes of the consolidated financial statements, the basis of presentation of such subsidiaries is converted to GAAP. All intercompany accounts and transactions have been eliminated. We conduct our business through two operating segments. See Notes 1 and 2 of the accompanying combined consolidated financial statements of FTI and FMH and their subsidiaries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net revenue is primarily derived from ecosystem and technology fees, loan originations and sales, including interest income earned thereon, and loan servicing.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Ecosystem and Technology Fees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earn volume-based technology and processing fees, based on the principal balance of each loan originated on our LOS and the principal balance of loans transacted on Figure Connect. Such fees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w:t>
      </w:r>
    </w:p>
    <w:p>
      <w:pPr>
        <w:spacing w:after="0" w:line="12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also earn a fee for arranging and facilitating the securitization of HELOCs based on the outstanding principal balance of the transferred HELOCs, which is fully earned on the securitization closing date. Program fees are paid by the trust and as the fees are earned and paid upon closing.</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Origination Fees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Servicing Fees and Other Revenue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Sale of Loans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Gain on sale of loans consists of the net proceeds from the difference between the proceeds received at the sale of loans to third-party buyers, and the unpaid principal balance of such loans, including adjustments for changes in fair value for loans sold during the period.</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elected the fair value option for our loans held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earn interest income primarily from three sources: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xml:space="preserve"> — We accrue interest income on loans we hold based on the unpaid principal balance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spacing w:after="0" w:line="130"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 xml:space="preserve"> — We recognize interest income on the debt securities we hold where we expect to collect all contractual cash flows, and the debt security cannot be contractually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31" w:lineRule="exact"/>
        <w:rPr>
          <w:sz w:val="20"/>
          <w:szCs w:val="20"/>
          <w:color w:val="auto"/>
        </w:rPr>
      </w:pPr>
    </w:p>
    <w:p>
      <w:pPr>
        <w:ind w:left="660" w:right="20" w:hanging="328"/>
        <w:spacing w:after="0" w:line="28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We accrue interest income monthly for cash held at depository institutions and investments in short-term instruments such as money-market funds.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on Servicing Asset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routinely sell HELOCs, and in the past we have also sold personal loans, mortgage loans and Figure Pay credit loans, with servicing rights retained.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Operating expenses consist of general and administrative, technology and product development, operations and processing, sales and marketing and interest expenses.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 and Product Development</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 business and expand our product, engineering, and design teams as we continue to enhance and expand our technology and product offerings.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Operations and Processing</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 We expect sales and marketing expenses to increase as we continue to grow our business and seek to increase the number of partners and our Figure-branded origination activities.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Interest expense consists of the costs we incur on our borrowings, amortization of fees, and other costs associated with our debt obligations.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contractual agreements with loan buyers to repurchase loans under certain circumstances, including in the event of borrower delinquencies within the first 30 days of loan origination. We record a loss on those loans based on the fair value at the date on which we identify the repurchase obligation.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Other income (expense) contains unrealized and realized gains (losses) resulting from transactions of certain digital assets, litigation settlements, adjustments to non-equity method investments, foreign exchange rate gains (losses) and other non-income based state and local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combined consolidated statements of operations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Year Ended December 31,</w:t>
            </w:r>
          </w:p>
        </w:tc>
        <w:tc>
          <w:tcPr>
            <w:tcW w:w="420" w:type="dxa"/>
            <w:vAlign w:val="bottom"/>
          </w:tcPr>
          <w:p>
            <w:pPr>
              <w:spacing w:after="0"/>
              <w:rPr>
                <w:sz w:val="17"/>
                <w:szCs w:val="17"/>
                <w:color w:val="auto"/>
              </w:rPr>
            </w:pPr>
          </w:p>
        </w:tc>
        <w:tc>
          <w:tcPr>
            <w:tcW w:w="1760" w:type="dxa"/>
            <w:vAlign w:val="bottom"/>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Ecosystem and technology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28,314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166.4 %</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 fees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Gain on sale of loans,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90,010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servicing asset,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revenue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9"/>
        </w:trPr>
        <w:tc>
          <w:tcPr>
            <w:tcW w:w="4600" w:type="dxa"/>
            <w:vAlign w:val="bottom"/>
          </w:tcPr>
          <w:p>
            <w:pPr>
              <w:ind w:left="460"/>
              <w:spacing w:after="0"/>
              <w:rPr>
                <w:sz w:val="20"/>
                <w:szCs w:val="20"/>
                <w:color w:val="auto"/>
              </w:rPr>
            </w:pPr>
            <w:r>
              <w:rPr>
                <w:rFonts w:ascii="Arial" w:cs="Arial" w:eastAsia="Arial" w:hAnsi="Arial"/>
                <w:sz w:val="18"/>
                <w:szCs w:val="18"/>
                <w:color w:val="auto"/>
              </w:rPr>
              <w:t>Technology and product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 and processing</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60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331,650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consolidated subsidiaries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6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 (loss) attributable to Figure Technology</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17,214</w:t>
            </w:r>
          </w:p>
        </w:tc>
        <w:tc>
          <w:tcPr>
            <w:tcW w:w="8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(47,935)</w:t>
            </w:r>
          </w:p>
        </w:tc>
        <w:tc>
          <w:tcPr>
            <w:tcW w:w="100" w:type="dxa"/>
            <w:vAlign w:val="bottom"/>
          </w:tcPr>
          <w:p>
            <w:pPr>
              <w:spacing w:after="0"/>
              <w:rPr>
                <w:sz w:val="13"/>
                <w:szCs w:val="13"/>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65,149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1"/>
        </w:trPr>
        <w:tc>
          <w:tcPr>
            <w:tcW w:w="4600" w:type="dxa"/>
            <w:vAlign w:val="bottom"/>
          </w:tcPr>
          <w:p>
            <w:pPr>
              <w:ind w:left="180"/>
              <w:spacing w:after="0"/>
              <w:rPr>
                <w:sz w:val="20"/>
                <w:szCs w:val="20"/>
                <w:color w:val="auto"/>
              </w:rPr>
            </w:pPr>
            <w:r>
              <w:rPr>
                <w:rFonts w:ascii="Arial" w:cs="Arial" w:eastAsia="Arial" w:hAnsi="Arial"/>
                <w:sz w:val="18"/>
                <w:szCs w:val="18"/>
                <w:b w:val="1"/>
                <w:bCs w:val="1"/>
                <w:color w:val="auto"/>
              </w:rPr>
              <w:t>Group</w:t>
            </w:r>
          </w:p>
        </w:tc>
        <w:tc>
          <w:tcPr>
            <w:tcW w:w="2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2024 and 2023</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Ecosystem and technology fees</w:t>
      </w:r>
    </w:p>
    <w:p>
      <w:pPr>
        <w:spacing w:after="0" w:line="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Ecosystem and technology fees increased $17.7 million, or 166.4%, as we started offering services in the fourth fiscal quarter of 2023 that generated $0.4 million of program fees during the year ended December 31, 2023, compared with $8.0 million earned during the year ended December 31, 2024. The remaining $10.1 million increase reflects ecosystem and technology fees earned from the purchase of certain HELOC loans with an aggregate unpaid principal balance of $2.0 billion and $1.5 billion during the years ended December 31, 2024 and 2023, respectively, along with an increase of the platform fee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11 basis points for a total increase of $4.2 million. There was also an increase in revenue of $4.6 million in additional platform fees related our Partner-branded products.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Servicing fees</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servicing fees increased $6.6 million, or 35.6%, which corresponds to a $2.9 billion, or 55.8%, increase in the $8.1 billion and $5.2 billion UPB of loans serviced during the years ended December 31, 2024 and 2023, respectively, partially offset by a decrease of seven basis points in the weighted average servicing fee rate.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income</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Interest income remained flat year over year. Interest income earned from cash, cash equivalents, and restricted cash increased $2.7 million due to an increase in the weighted-average interest rates on cash deposits, offset by declines in interest earned from our loans of $2.5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Origination fees</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origination fees increased $ 6.3 million or 10.8%, as a result of gross origination fees increasing $25.8 million, or 42.7%, which corresponds with increased principal balances of loans originated by us of $1.2 billion, or 60.0%, offset by an increase of wholesale broker fees of $19.5 million, which corresponds with a $1.0 billion increase in the principal balances of loans originated on which we pay such fees.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sale of loans, net</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gain on sale of loans we earned increased $90.0 million, or 178.8%, corresponding with an increase in the principal balance of loans sold of $4.8 billion and $3.3 billion for the years ended December 31, 2024 and 2023, respectively, combined with a 140 basis point increase in the weighted average price of loans sold, which was equal to an increase of $72.6 million, or 144.3%. There was also a $11.4 million increase in the fair value of loans not yet sold.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servicing asset, net</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fair value of our retained servicing rights increased $10.6 million, or 47.8%, resulting from a $ 14.2 million increase in new servicing assets retained upon a $1.5 billion increase in the unpaid principal balance of loans sold and a $6.3 million increase in the change in fair value of existing servicing assets, partially offset by a $9.9 million increase in servicing fees collected.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revenue</w:t>
      </w:r>
    </w:p>
    <w:p>
      <w:pPr>
        <w:spacing w:after="0" w:line="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Components of other revenue did not materially change as fees, and the net assets on which we charge those fees, were consistent during the years ended December 31, 2024 and 2023, respectively.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 and administrative</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general and administrative expenses increased $45.5 million, or 77.3%, consisting of $34.6 million additional compensation expense, of which $27.1 million represents equity-based compensation, comprised of a $24.4 million increase due to award modifications resulting from the Separation and another $2.5 million due to other award modifications, and a $9.6 million increase in legal and accounting professional service expenses, partially offset by a $2.5 million decrease in other operational expenses.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Technology and product development</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$13.5 million increase in technology and product development expenses reflects a $6.7 million increase in expense for software development and other services from a convertible preferred warrant holder, $2.3 million of increased licensing costs of third-party software, and $8.2 million of additional amortization, partially offset by a decrease of $1.4 million in costs to acquire and build software.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Operations and processing</w:t>
      </w:r>
    </w:p>
    <w:p>
      <w:pPr>
        <w:spacing w:after="0" w:line="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Operations and processing expenses increased $5.5 million, or 14.2%, which corresponds to a $3.8 million increase in operating vendor expenses to originate loans under FTI and a $1.2 million increase in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and marketing</w:t>
      </w:r>
    </w:p>
    <w:p>
      <w:pPr>
        <w:spacing w:after="0" w:line="2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color w:val="auto"/>
        </w:rPr>
        <w:t>Our sales and marketing expenses increased $2.9 million, or 5.5%, primarily resulting from an increase of $3.5 million spent for advertising of products in FTI to drive an increase in loan originations.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Interest expense increased $7.2 million, or 14.7%, as we entered into new facility agreements for MSR financing and funding debt totaling an incremental $3.9 million of interest expense. There was also an increase in the amount financed for retained interests of $103.1 million and a weighted average financing cost decrease of 30 basis points resulting in an additional $3.5 million of expense.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income (expense)</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recorded a $15.8 million increase in other income that represents $ 8.8 million of fair value increase in Solana Funds, $1.2 million in realized gain on Solana tokens, a $2.8 million gain from a legal settlement, and an increase due to the fair value write-down of $4.0 million related to financial instruments that occurred in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expense increased by $2.1 million. The provision for income taxes includes U.S. federal, state and local taxes. The effective tax rate for the year ended December 31, 2024 was approximately 9.7%, compared with (0.2)% for the year ended December 31, 2023. The effective tax rate for the years ended December 31, 2024 and 2023 differed from the U.S. federal statutory rate of 21.0% primarily due tax credits related to our research and development activities as well as differences related to equity-based compensation and other temporary items. At December 31, 2024, we recorded a full valuation allowance against our net deferred tax assets that primarily consist of cumulative net operating losses.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Consolidated Subsidiaries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Third-party investors hold interests in entities that we consolidate, and to whom we allocate the net income or loss of those entities During the year ended December 31, 2024, we allocated aggregate net income to those third-party investors whereas we allocated net loss during the year ended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Funds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certain cash flows from our operations.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December 31, 2024, we had $345.0 million in cash and cash equivalents, $23.1 million in digital assets held for sale at fair value, $1.3 billion in available funding debt capacity, excluding purchase commitments from third-party loan buyers. We believe our principal sources of liquidity are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meet both our existing operating, working capital, and capital expenditure requirements and our currently planned growth for at least the next 12 months.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Funding Sources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consolidated balance sheets. Refer to Note 8. Variable Interest Entities in the notes to the consolidated financial statements for further details.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our operating subsidiary.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21 days, until the loans are sold. During the time the loans are held for sale, we earn interest income from the customer on the underlying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loan. This income is partially offset by the interest and fees we pay due to borrowings from the warehouse credit facilities. Our outstanding warehouse credit facilities as of December 31, 2024 include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December 31, 2024</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7"/>
        </w:trPr>
        <w:tc>
          <w:tcPr>
            <w:tcW w:w="4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Final Stated Maturity</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Borrowing Capacity</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Outstanding</w:t>
            </w:r>
          </w:p>
        </w:tc>
        <w:tc>
          <w:tcPr>
            <w:tcW w:w="1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Available Financing</w:t>
            </w:r>
          </w:p>
        </w:tc>
      </w:tr>
      <w:tr>
        <w:trPr>
          <w:trHeight w:val="224"/>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Funding Debt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1</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221,714</w:t>
            </w:r>
          </w:p>
        </w:tc>
      </w:tr>
      <w:tr>
        <w:trPr>
          <w:trHeight w:val="230"/>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2</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May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288,993</w:t>
            </w: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3</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73,773</w:t>
            </w:r>
          </w:p>
        </w:tc>
      </w:tr>
      <w:tr>
        <w:trPr>
          <w:trHeight w:val="230"/>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4</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2026</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266,732</w:t>
            </w: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5</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REIT</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50,796</w:t>
            </w:r>
          </w:p>
        </w:tc>
      </w:tr>
      <w:tr>
        <w:trPr>
          <w:trHeight w:val="230"/>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6</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rPr>
              <w:t>May 2026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29"/>
        </w:trPr>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Warehouse Facility 7</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2025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Warehouse Facility 8</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2025</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9,689</w:t>
            </w: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MSR Financing</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Lender 1</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June 2026</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Financed Retained Interests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Retained Interest Facility</w:t>
            </w:r>
          </w:p>
        </w:tc>
        <w:tc>
          <w:tcPr>
            <w:tcW w:w="19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8"/>
              </w:rPr>
              <w:t>Various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120,995</w:t>
            </w: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1,283,692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We have in the past not complied with certain of these covenants, which were subsequently waived by the applicable warehouse lender. As of December 31, 2024 and as of the date of the filing of this registration statement,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4"/>
                <w:szCs w:val="14"/>
                <w:color w:val="auto"/>
              </w:rPr>
            </w:pPr>
          </w:p>
        </w:tc>
      </w:t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rPr>
              <w:t>(28,868)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center"/>
              <w:ind w:left="255"/>
              <w:spacing w:after="0"/>
              <w:rPr>
                <w:sz w:val="20"/>
                <w:szCs w:val="20"/>
                <w:color w:val="auto"/>
              </w:rPr>
            </w:pPr>
            <w:r>
              <w:rPr>
                <w:rFonts w:ascii="Arial" w:cs="Arial" w:eastAsia="Arial" w:hAnsi="Arial"/>
                <w:sz w:val="18"/>
                <w:szCs w:val="18"/>
                <w:color w:val="auto"/>
              </w:rPr>
              <w:t>(22,107)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8"/>
              </w:rPr>
              <w:t>65,788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operating activities was $136.0 million for the year ended December 31, 2024. Our main sources of cash provided by operating activities for the year ended December 31, 2024 were $4.8 billion proceeds from loan sales, gross of interests retained in securitized loans and net of loan repurchases, $422.9 million principal repayments on loans held for sale, $24.7 million of receipts of servicing fees received, $20.0 million of white label fee receipts, and $15.3 million of payments on marketable securities. Our main uses of cash in our operating activities included $3.2 billion paid to originate loans held for sale, $2.0 billion of loans purchased and held for sale, $141.6 million to purchase interests retained in securitized loans as marketable securities, $75.6 million paid for employee compensation, and $42.6 million of marketing costs.</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cash used in operating activities was $28.9 million for the year ended December 31, 2023. Our main sources of cash provided by operating activities for the year ended December 31, 2023 were $3.3 billion proceeds from loan sales, gross of interests retained in securitized loans and net of loan repurchases, $315.3 million principal repayments on loans held for sale, $19.0 million of servicing fee receipts, $5.8 million received from white label fees, and $3.8 million of payments on marketable securities. Our main uses of cash in our operating activities included $2.0 billion paid to originate loans held for sale, $1.5 billion of loans purchased and held for sale, $70.8 million paid for employee compensation, $42.1 million to purchase interests retained in securitized loans as marketable securities, and $42.1 million of marketing costs.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used in investing activities was $30.9 million for the year ended December 31, 2024, during which we used $ 26.8 million to purchase digital assets, $16.6 million to develop software that we capitalized, and invested $3.3 million in a nonconsolidated fund, partially offset by $16.1 million of proceeds from digital asset sales.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Net cash used in investing activities was $22.1 million for the year ended December 31, 2023, during which we used $17.3 million to develop software that we capitalized, lent $4.0 million to a related party, and purchased $0.8 million of digital assets.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provided by financing activities was $336.1 million for the year ended December 31, 2024, during which we borrowed $4.6 billion, gross of $4.4 billion repaid, increased the amount outstanding to third-party loan owners by $81.9 million, and raised $71.8 million in proceeds from the issuance of preferred stock, net of offering costs.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Net cash provided by financing activities was $65.8 million for the year ended December 31, 2023, during which we borrowed $2.8 billion, gross of $2.8 billion repaid, increased the amount outstanding to third-party loan owners by $53.0 million, and borrowed $10.0 million from a related party that we repaid in full during the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Changes in Financial Position</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Noncontrolling interest was $ 8.3 million for the year ended December 31, 2024, an increase of $2.9 million from the year ended December 31, 2023, primarily due to an increase in net income attributable to noncontrolling interest.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Liquidity and Capital Resources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operating lease obligations consist of our lease of real property from third parties under noncancellable operating leases, including the lease of its current office spaces. The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expense for our office space was $2.8 million and $2.9 million for the years ended December 31, 2024 and 2023, respectively. Our office leases are scheduled to expire between 2025 and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 and Capital Resources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December 31, 2024, our cash, cash equivalents, and restricted cash was $345.0 million, which included $209.9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mortgage servicing rights (“MSR”) associated with changes in our estimates that management has determined are not reflective of our operating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Adjusted EBITDA is a non-GAAP financial measure used by our management to evaluate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In addition, Adjusted EBITDA provides a useful measure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presents a reconciliation of net revenue to Adjusted Net Revenue and net income to Adjusted EBITDA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For the Years Ended December 31,</w:t>
            </w: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209,549</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Changes in Fair Value of MSRs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w:t>
            </w:r>
          </w:p>
        </w:tc>
      </w:tr>
      <w:tr>
        <w:trPr>
          <w:trHeight w:val="221"/>
        </w:trPr>
        <w:tc>
          <w:tcPr>
            <w:tcW w:w="8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Net Revenue</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339,182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214,168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Less: Valuation Changes in Fair Value of MSRs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4,619</w:t>
            </w: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Change in Fair Value of Digital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Plus: Impairment of Capitalized Software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Impairment of Digital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Plus: Other Asset Impairment Charge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Services Exchanged for Issuance of Warrants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40"/>
              <w:spacing w:after="0"/>
              <w:rPr>
                <w:sz w:val="20"/>
                <w:szCs w:val="20"/>
                <w:color w:val="auto"/>
              </w:rPr>
            </w:pPr>
            <w:r>
              <w:rPr>
                <w:rFonts w:ascii="Arial" w:cs="Arial" w:eastAsia="Arial" w:hAnsi="Arial"/>
                <w:sz w:val="18"/>
                <w:szCs w:val="18"/>
                <w:color w:val="auto"/>
              </w:rPr>
              <w:t>Plus: Restructuring Costs</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Stock-Based Compensation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Plus: Amortization of Internally Developed Software Costs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19,384</w:t>
            </w:r>
          </w:p>
        </w:tc>
      </w:tr>
      <w:tr>
        <w:trPr>
          <w:trHeight w:val="229"/>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 Non-Funding Interest Expense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Plus: Income Tax Provision</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combined financial statements and the related notes included elsewhere in this prospectus are prepared in accordance with GAAP. The preparation of combined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combined, consolidated financial statements included elsewhere in this prospectus.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Loans, Securities, and Servicing Assets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Details of our processes for determining fair value are set out in note 2 of our combined, consolidated financial statements included elsewhere in this prospectus. Estimating fair value requires the application of significant judgment. The type and level of judgment required is largely dependent on the amount of observable market information available to us. Assets and liabilities valued using internally developed 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 reflective of future fair values. Changes in market conditions, as well as changes in the assumptions or methodology used to determine fair value, could result in a significant increase or decrease in fair value.</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Refer to note 2 of our combined, consolidated financial statements for a further discussion of the valuation of level 3 instruments, including unobservable inputs used, and note 11 of our combined, consolidated financial statements for quantification of the significant inputs used to value level 3 assets and liabilities as well as sensitivities of their effects on fair value.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recognize interest income on certain assets, including certain interests retained in securitizations, using the prospective effective yield method in accordance with GAAP. This method requires we estimate the future expected cash flows over the life of the asset and to compute an effective yield that amortizes any purchase discount or premium into interest income over the expected term. Estimating future cash flows involves significant judgment and is inherently uncertain, including assumptions of prepayment rates, default rates, loss severity, and timing of cash flows, all of which can be influenced by changes in economic conditions, interest rates, and borrower behavior. We regularly review and, if necessary, update our cash flow projections to reflect changes in these assumptions. When such updates occur, we adjust the effective yield prospectively, which affects the amount of interest income recognized in future periods. Changes in our estimates of future cash flows can have a material impact on our financial results. For example, an increase in expected prepayment speeds would generally accelerate the recognition of any purchase discount into interest income, while an increase in expected credit losses would reduce the expected cash flows and thus lower the effective yield, decreasing interest income in future periods.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 which estimate is subjective and dependent upon our expectations regarding the continued use of the software for its intended purpose.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Estimates of Our Equity Value</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equity has not historically traded on active markets and the value of our equity relies upon significant judgement and estimates based on unobservable inputs. We estimate the fair value of our equity, with assistance from independent third-party valuation consultants, as determined in accordance with the guidelines outlined by the American Institute of Certified Public Accountants. The valuation of our equity involves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 publicly traded comparable entities’ valuation (as adjusted for observable differences in growth, profitability, risk,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grant equity-based compensation awards that vest contingent upon time-based service and/ or performance conditions based upon a qualifying sale of our equity or achieving certain contractual thresholds. We generally expense the grant-date fair value of these equity-based compensation awards over the required service period, but not before we deem applicable performance conditions probable.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variable interest entity. Upon the occurrence of certain events, management will reconsider its conclusion regarding the status of an entity as a variable interest entity.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and Other Contingencies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See note 2 to our combined,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 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Credit risk refers to the risk of loss arising from individual customer default due to inability or unwillingness to meet their financial obligations during the period that we own the loans. The performance of certain financial instruments, including loans, on our combined, consolidated balance sheets are dependent on the credit performance of loans facilitated by us. To manage this risk, we monitor customer payment performance through our lending platform and utilize our algorithms to price loans in a manner that we believe is reflective of their credit risk.</w:t>
      </w:r>
    </w:p>
    <w:p>
      <w:pPr>
        <w:spacing w:after="0" w:line="1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fair values of these loans are estimated based on a discounted cash flow model which involves the use of significant unobservable inputs and assumptions. These instruments are sensitive to changes in credit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 customer bankruptcies and charge-offs, and decreasing recoveries, all of which could have a material adverse effect on our business.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margin calls on our repurchase agreements, and changes in interest rates may impact our cost of borrowing. Future funding activities under the revolving credit facilities may increase our exposure to interest rate risk, as 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Crypto Risk</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Figure is building the future of capital markets using blockchain-based technology.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$ 2 trillion consumer credit market and the rapidly growing approximately $3 trillion cryptocurrency and digital asset market. As a result, Figure has grown quickly and profitably, with net income of $20 million and Adjusted EBITDA of $102 million, for the year ended December 31, 2024.</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average of approximately 40 days (based on data from industry sources). Additionally, the average production cost per loan was reduced to approximately $730 for the year ended December 31, 2024 from a mortgage industry average of $11,230 for the quarter ended December 31, 2024, according to the MBA.</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technology enables the immutable recording of all assets and their key information on Provenance Blockchain. Provenance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$40 billion in both real-world and digital asset transactions from our launch in late 2018 to March 31, 2025. Further, 71% of our loan originations for the quarter ended March 31, 2025 utilized our DART platform, our lien and eNote registry that is built on Provenance Blockchain, compared to only 2% of loan originations for the year ended December 31, 2024.</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year ended December 31, 2024, we facilitated $5 billion of home equity lending, representing an increase of 50% compared to the prior year, and a compound annual growth rate of 79% since December 31, 2020. We worked with 129 active partners during 2024.</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June 2024, we launched Figure Connect, an electronic marketplace that employs blockchain technology, to directly connect sellers and buyers of loans. During the short period of 10 months from launch in June 2024 to March 2025, approximately $1 billion in HELOC volume was transacted on Figure Connect, and 23 total marketplace participants (across loan originators, buyers and investors) were onboarded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grown quickly in a capital-efficient manner since our founding, and more recently have achieved strong and growing profitability. For the years ended December 31, 2024 and 2023, we generated net revenue of $341 million and $210 million, respectively, Adjusted Net Revenue of $339 million and $214 million, respectively, net income of $20 million and net loss of $52 million, respectively, and Adjusted EBITDA of $ 102 million and $(12)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Industry Dynamics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Friction in Access and Extension of Consumer Credit, with Challenging and Antiquated Funding Markets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Loan application processes that involve excessive paperwork, physical appraisals, expensive title processes and manual income verification result in slow timelines to approval and funding. For example, home equity loans can take approximately 40 days to complete, driving incremental costs for borrowers, according to industry sources.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14% over the five-year period ended December 31, 2023 to reach over $1 trillion, and is estimated to reach $3 trillion by 2028, access to private credit remains challenging for originators. Similarly, investors struggle to obtain expeditious and consistent access to reliable, quality assets. Furthermore, the standardization and therefore, access to guaranteed capital is limited today to only the TBA market for agency mortgages, which historically allowed for the proliferation of mortgage entrepreneurs unburdened by capital markets constraints.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Limited Real-World Success of Blockchain Technology</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are limited examples of real-world success using blockchain technology. We believe that on-chain digital real-world assets continue to represent a greenfield of opportunity of significant scale. According to industry sources, less than 1% of real-world assets are currently on blockchain. Using a blockchain-native ecosystem would reduce costs, improve liquidity and expand access to capital.</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March 31, 2025, only 2% of the $240 billion of stablecoins in circulation yielded interest, according to CoinGecko. Paying any type of yield would require a stablecoin to be registered as a security. Figure has created YLDS to solve this by designing a digitally native blockchain-based SEC-registered stablecoin that offers a yield to token holders, which should result in an uptick in adoption as compared to non-yielding stablecoins.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vision is to create a one-stop, vertically integrated capital markets trading platform for consumer assets. As a first step, we developed a next-generation, 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foundation for our differentiated infrastructure has been in the HELOC market. We entered the market through our own Figure-branded strategy and have subsequently developed a Partner-branded strategy through which mortgage originators, servicers, banks and credit unions can use our technology to originate and distribute their own loans. We facilitated $5 billion in HELOCs in 2024, up 50% from 2023, accumulating more than $14 billion in cumulative originations since the product was launched in late 2018 to March 31, 2025 and achieving the #1 market share in the non-bank HELOC lending market in 2024, as reported by Home Equity Lending News.</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since developed and extended our infrastructure into additional use cases, including launching Figure Exchange, developing an ATS, and issuing the YLDS stablecoin. Going forward, we believe our infrastructure is portable across a broad array of activities on our roadmap, ultimately allowing us to deliver powerful synergies across our vertically integrated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Proprietary Loan Origination System</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2018, we launched our proprietary LOS, which uses modern technology to help deliver efficiency, speed and lower costs at each stage of the loan origination process. Leveraging automated valuation models, digital title and lien matching, and digital income verification via data aggregators, we are able to offer HELOC loan approval in as little as five minutes and funding in as few as five days (median of 10 days during the year ended December 31, 2024). In 2024, 84% of the loans we facilitated were fully automated from the start of the application to the underwriting stage of the loan process.</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LOS excels in handling secured asset classes, such as HELOCs and mortgages, due to its robust infrastructure for data capture and verification. These capabilities are enhanced by data immutability and process compliance, as all loans and related data are recorded on a public blockchain, Provenance Blockchain. Our LOS also extends well to unsecured loans, such as personal loans and credit lines, given the automated underwriting that swiftly assesses borrower creditworthiness.</w:t>
      </w:r>
    </w:p>
    <w:p>
      <w:pPr>
        <w:spacing w:after="0" w:line="12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i w:val="1"/>
          <w:iCs w:val="1"/>
          <w:u w:val="single" w:color="auto"/>
          <w:color w:val="auto"/>
        </w:rPr>
        <w:t>We have reduced the time from HELOC application to funding from an industry average of approximately 40 days, according to industry sources, to a median of 10 days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75565</wp:posOffset>
            </wp:positionV>
            <wp:extent cx="5349240" cy="213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typical end-customers for HELOCs are homeowners with high creditworthiness, as seen through an average FICO score of 749 and average income of approximately $187,000 for originations during the year ended December 31, 2024. Our customer base values financial products that reflect their strong financial standing. We provide a HELOC product that is fast and convenient to our end-customers, and is an alternative to taking out personal loans or holding credit card balances. During the quarter ended March 31, 2025, 14% of the total principal amount of HELOCs originated via our LOS were first-lien.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deploy our LOS through two strategies:</w:t>
      </w:r>
    </w:p>
    <w:p>
      <w:pPr>
        <w:spacing w:after="0" w:line="171" w:lineRule="exact"/>
        <w:rPr>
          <w:sz w:val="20"/>
          <w:szCs w:val="20"/>
          <w:color w:val="auto"/>
        </w:rPr>
      </w:pPr>
    </w:p>
    <w:p>
      <w:pPr>
        <w:ind w:left="660" w:hanging="328"/>
        <w:spacing w:after="0" w:line="28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Partner-branded</w:t>
      </w:r>
      <w:r>
        <w:rPr>
          <w:rFonts w:ascii="Arial" w:cs="Arial" w:eastAsia="Arial" w:hAnsi="Arial"/>
          <w:sz w:val="18"/>
          <w:szCs w:val="18"/>
          <w:color w:val="auto"/>
        </w:rPr>
        <w:t>: Our partners are mortgage originators, servicers, banks, and credit unions. These partners use our consumer-facing application portal, which is branded in the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117" w:lineRule="exact"/>
        <w:rPr>
          <w:sz w:val="20"/>
          <w:szCs w:val="20"/>
          <w:color w:val="auto"/>
        </w:rPr>
      </w:pPr>
    </w:p>
    <w:p>
      <w:pPr>
        <w:jc w:val="both"/>
        <w:ind w:left="660"/>
        <w:spacing w:after="0" w:line="318" w:lineRule="auto"/>
        <w:rPr>
          <w:sz w:val="20"/>
          <w:szCs w:val="20"/>
          <w:color w:val="auto"/>
        </w:rPr>
      </w:pPr>
      <w:r>
        <w:rPr>
          <w:rFonts w:ascii="Arial" w:cs="Arial" w:eastAsia="Arial" w:hAnsi="Arial"/>
          <w:sz w:val="17"/>
          <w:szCs w:val="17"/>
          <w:color w:val="auto"/>
        </w:rPr>
        <w:t>Partner-branded loan originations have grown from $12 million for the year ended December 31, 2021 to $3 billion for the year ended December 31, 2024. For the year ended December 31, 2024, Partner-branded loans comprised 72% of our total loan originations.</w:t>
      </w:r>
    </w:p>
    <w:p>
      <w:pPr>
        <w:spacing w:after="0" w:line="7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Our network of partners has grown from four partners as of December 31, 2021, to 134 as of December 31, 2024, with our top 10 partners contributing 52% of our origination volume.</w:t>
      </w:r>
    </w:p>
    <w:p>
      <w:pPr>
        <w:spacing w:after="0" w:line="99" w:lineRule="exact"/>
        <w:rPr>
          <w:sz w:val="20"/>
          <w:szCs w:val="20"/>
          <w:color w:val="auto"/>
        </w:rPr>
      </w:pPr>
    </w:p>
    <w:p>
      <w:pPr>
        <w:ind w:left="660" w:hanging="328"/>
        <w:spacing w:after="0" w:line="28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Figure-branded</w:t>
      </w:r>
      <w:r>
        <w:rPr>
          <w:rFonts w:ascii="Arial" w:cs="Arial" w:eastAsia="Arial" w:hAnsi="Arial"/>
          <w:sz w:val="18"/>
          <w:szCs w:val="18"/>
          <w:color w:val="auto"/>
        </w:rPr>
        <w:t>: We utilize the Figure-branded strategy to launch new asset classes through our LOS, which enables us to prove</w:t>
      </w:r>
      <w:r>
        <w:rPr>
          <w:rFonts w:ascii="Arial" w:cs="Arial" w:eastAsia="Arial" w:hAnsi="Arial"/>
          <w:sz w:val="18"/>
          <w:szCs w:val="18"/>
          <w:b w:val="1"/>
          <w:bCs w:val="1"/>
          <w:color w:val="auto"/>
        </w:rPr>
        <w:t xml:space="preserve"> </w:t>
      </w:r>
      <w:r>
        <w:rPr>
          <w:rFonts w:ascii="Arial" w:cs="Arial" w:eastAsia="Arial" w:hAnsi="Arial"/>
          <w:sz w:val="18"/>
          <w:szCs w:val="18"/>
          <w:color w:val="auto"/>
        </w:rPr>
        <w:t>demand and product efficacy and validate results of upgrades and modifications.</w:t>
      </w:r>
    </w:p>
    <w:p>
      <w:pPr>
        <w:spacing w:after="0" w:line="98" w:lineRule="exact"/>
        <w:rPr>
          <w:rFonts w:ascii="Arial" w:cs="Arial" w:eastAsia="Arial" w:hAnsi="Arial"/>
          <w:sz w:val="18"/>
          <w:szCs w:val="18"/>
          <w:color w:val="auto"/>
        </w:rPr>
      </w:pPr>
    </w:p>
    <w:p>
      <w:pPr>
        <w:jc w:val="both"/>
        <w:ind w:left="660"/>
        <w:spacing w:after="0" w:line="262" w:lineRule="auto"/>
        <w:rPr>
          <w:rFonts w:ascii="Arial" w:cs="Arial" w:eastAsia="Arial" w:hAnsi="Arial"/>
          <w:sz w:val="18"/>
          <w:szCs w:val="18"/>
          <w:color w:val="auto"/>
        </w:rPr>
      </w:pPr>
      <w:r>
        <w:rPr>
          <w:rFonts w:ascii="Arial" w:cs="Arial" w:eastAsia="Arial" w:hAnsi="Arial"/>
          <w:sz w:val="18"/>
          <w:szCs w:val="18"/>
          <w:color w:val="auto"/>
        </w:rPr>
        <w:t>As we refined our HELOC product, we worked quickly to develop a proof of concept through Figure-branded loans, with origination volume for Figure-branded loans growing from approximately $31 million in our first year of activity in 2018 to approximately $2 billion for the year ended December 31, 2024. For the year ended December 31, 2024, Figure-branded loans comprised 28% of our total loan originations.</w:t>
      </w:r>
    </w:p>
    <w:p>
      <w:pPr>
        <w:spacing w:after="0" w:line="122" w:lineRule="exact"/>
        <w:rPr>
          <w:rFonts w:ascii="Arial" w:cs="Arial" w:eastAsia="Arial" w:hAnsi="Arial"/>
          <w:sz w:val="18"/>
          <w:szCs w:val="18"/>
          <w:color w:val="auto"/>
        </w:rPr>
      </w:pPr>
    </w:p>
    <w:p>
      <w:pPr>
        <w:jc w:val="both"/>
        <w:ind w:left="660"/>
        <w:spacing w:after="0" w:line="262" w:lineRule="auto"/>
        <w:rPr>
          <w:rFonts w:ascii="Arial" w:cs="Arial" w:eastAsia="Arial" w:hAnsi="Arial"/>
          <w:sz w:val="18"/>
          <w:szCs w:val="18"/>
          <w:color w:val="auto"/>
        </w:rPr>
      </w:pPr>
      <w:r>
        <w:rPr>
          <w:rFonts w:ascii="Arial" w:cs="Arial" w:eastAsia="Arial" w:hAnsi="Arial"/>
          <w:sz w:val="18"/>
          <w:szCs w:val="18"/>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March 31, 2025, Figure’s originated loans had loss rates of less than 1% of volume.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 Connect</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10 months since we launched Figure Connect in June 2024 to March 2025, approximately $1 billion of loan volume was traded.</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Sellers of loans transacted on Figure Connect pay a fee for utilizing our technology for origination, as well as a fulfillment fee associated with the execution of loan sales on our platform. Our pricing structure and unit economics are designed to further incentivize customers to transact on Figure Connect, as revenue received has historically exceeded costs incurred by a margin of at least 2%.</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February 2025, we announced a joint venture with Sixth Street Partners, which is designed to be a consistent loan buyer within the Figure Connect ecosystem. We refer to this joint venture and its activities as a “Guarantor Vehicle.” The Guarantor Vehicle is expected to be initially capitalized with $200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aim with Figure Connect is to enhance liquidity for loans originated on our LOS, and we believe the Guarantor Vehicle will significantly advance this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74930</wp:posOffset>
            </wp:positionV>
            <wp:extent cx="3865880" cy="3411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6588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 Registry Technologies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the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quarter ended March 31, 2025, 71% of loans originated through our LOS were boarded onto DART, up from 2% for the year ended December 31, 2024.</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 Exchange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In its first five months of operation, Figure Exchange facilitated the trading of $750 million in volume without meaningful marketing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99" w:lineRule="exact"/>
        <w:rPr>
          <w:sz w:val="20"/>
          <w:szCs w:val="20"/>
          <w:color w:val="auto"/>
        </w:rPr>
      </w:pPr>
    </w:p>
    <w:p>
      <w:pPr>
        <w:jc w:val="both"/>
        <w:ind w:left="660" w:hanging="328"/>
        <w:spacing w:after="0" w:line="26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Decentralized Custody</w:t>
      </w:r>
      <w:r>
        <w:rPr>
          <w:rFonts w:ascii="Arial" w:cs="Arial" w:eastAsia="Arial" w:hAnsi="Arial"/>
          <w:sz w:val="18"/>
          <w:szCs w:val="18"/>
          <w:color w:val="auto"/>
        </w:rPr>
        <w:t>: Contrary to our regulated competitors that rely on centralized custody, Figure Exchange implements MPC</w:t>
      </w:r>
      <w:r>
        <w:rPr>
          <w:rFonts w:ascii="Arial" w:cs="Arial" w:eastAsia="Arial" w:hAnsi="Arial"/>
          <w:sz w:val="18"/>
          <w:szCs w:val="18"/>
          <w:b w:val="1"/>
          <w:bCs w:val="1"/>
          <w:color w:val="auto"/>
        </w:rPr>
        <w:t xml:space="preserve"> </w:t>
      </w:r>
      <w:r>
        <w:rPr>
          <w:rFonts w:ascii="Arial" w:cs="Arial" w:eastAsia="Arial" w:hAnsi="Arial"/>
          <w:sz w:val="18"/>
          <w:szCs w:val="18"/>
          <w:color w:val="auto"/>
        </w:rPr>
        <w:t>wallets. These MPC wallets, in combination with the self-custody wallets on Provenance Blockchain held by every user of the platform, ensure customers of Figure Exchange maintain full control and agency over their assets. This approach ensures a security-perfected interest akin to self-custody for non-native assets, effectively delivering a compliant decentralized exchange.</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Access to Digital and Real-World Assets</w:t>
      </w:r>
      <w:r>
        <w:rPr>
          <w:rFonts w:ascii="Arial" w:cs="Arial" w:eastAsia="Arial" w:hAnsi="Arial"/>
          <w:sz w:val="18"/>
          <w:szCs w:val="18"/>
          <w:color w:val="auto"/>
        </w:rPr>
        <w:t>: Through our platform, we have the ability to list tokenized real-world assets,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be exclusive in the United States to Figure Exchange. As our asset offering available for trading on Figure Exchange increases, with many assets expected to be available for trading only on Figure Exchange, the attractiveness of trading on our platform expands as we build towards the ultimate goal of becoming “the exchange for everything.”</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Democratized Prime</w:t>
      </w:r>
      <w:r>
        <w:rPr>
          <w:rFonts w:ascii="Arial" w:cs="Arial" w:eastAsia="Arial" w:hAnsi="Arial"/>
          <w:sz w:val="18"/>
          <w:szCs w:val="18"/>
          <w:color w:val="auto"/>
        </w:rPr>
        <w:t>: A pillar of our value proposition is the democratized prime offering, which disrupts the traditional prime</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infrastructure by allowing users to lend their assets or excess cash into the ecosystem at a market-clearing rate. This structure allows users to not only capture incremental value from assets that they already hold but also to optimize allocation because the user can choose the most appropriate and efficient pool for their unique use case.</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Digital Asset Cross-Collateralization</w:t>
      </w:r>
      <w:r>
        <w:rPr>
          <w:rFonts w:ascii="Arial" w:cs="Arial" w:eastAsia="Arial" w:hAnsi="Arial"/>
          <w:sz w:val="18"/>
          <w:szCs w:val="18"/>
          <w:color w:val="auto"/>
        </w:rPr>
        <w:t>: Inherently linked to our democratized prime offering is the ability our customers are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to cross-collateralize their assets for their borrowing needs, as our on-chain platform allows for the streamlining of margin trading across multiple assets, reducing friction and minimizing each customer’s specific liquidity needs.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VASP registration in both the Cayman Islands and Ireland, and a securities investment business license in the Cayman Islands.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YLDS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February 2025, we launched YLDS, a groundbreaking interest-bearing transferable stablecoin that is both native to a public blockchain, Provenance Blockchain, and a security registered with the SEC. As of March 31, 2025, YLDS outstanding stood at approximately $3 million.</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 seven days a week using U.S. dollars and other stablecoins on Figure Exchange, with the option to off-ramp to fiat during U.S. banking hours.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YLDS has many use cases. Benefiting from its status as a security, YLDS can be used as yielding collateral for institutions, which can also be utilized for trade settlement, payments, or cross-border remittances. Our goal is for YLDS to become the de-facto currency of Figure Exchange fungible with cash and transferable 24 hours a day, every day of the year. Furthermore, we believe that third-party interest in using YLDS has the potential to displace traditional money movement, particularly in DeFi, payments, and other applications such as collateral as we begin to mint YLDS on other Layer 1 blockchains.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Ecosystem’s Value Proposition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technology platform is designed to power our ecosystem of lending, trading and investing activities in areas such as consumer credit and digital assets. Embedded in our ecosystem’s value proposition is our use of blockchain-based technology to innovate beyond legacy processes. By enabling the immutable recording of all assets and their key information on Provenance Blockchain, our platform is able to displace trust with truth in the financial system, offering a reliable registry and source of asset ownership records.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Partners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Digital Loan Origination System and Capital Markets Capabilities with Minimal Upfront Investment </w:t>
      </w:r>
      <w:r>
        <w:rPr>
          <w:rFonts w:ascii="Arial" w:cs="Arial" w:eastAsia="Arial" w:hAnsi="Arial"/>
          <w:sz w:val="18"/>
          <w:szCs w:val="18"/>
          <w:color w:val="auto"/>
        </w:rPr>
        <w:t>— We offer partners a turnkey LOS so</w:t>
      </w:r>
      <w:r>
        <w:rPr>
          <w:rFonts w:ascii="Arial" w:cs="Arial" w:eastAsia="Arial" w:hAnsi="Arial"/>
          <w:sz w:val="18"/>
          <w:szCs w:val="18"/>
          <w:i w:val="1"/>
          <w:iCs w:val="1"/>
          <w:color w:val="auto"/>
        </w:rPr>
        <w:t xml:space="preserve"> </w:t>
      </w:r>
      <w:r>
        <w:rPr>
          <w:rFonts w:ascii="Arial" w:cs="Arial" w:eastAsia="Arial" w:hAnsi="Arial"/>
          <w:sz w:val="18"/>
          <w:szCs w:val="18"/>
          <w:color w:val="auto"/>
        </w:rPr>
        <w:t>they can provide fully automated and end-to-end solutions to their customers. Through our digital application, underwriting, and closing process, we have significantly reduced processing times for new originations and dramatically simplified the entire application process for end customers. We believe that our platform allows our partners to efficiently enter consumer credit markets, expanding their origination capabilities with minimal investments in technology, operations, resources, or ongoing maintenance support. Partners have the ability to offer their originated loans for sale directly through Figure Connect, accessing committed liquidity with transparent pricing, further mitigating their balance sheet and liquidity constraints.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Direct Access to Figure’s Broad and Deep Capital Markets Buyer Universe </w:t>
      </w:r>
      <w:r>
        <w:rPr>
          <w:rFonts w:ascii="Arial" w:cs="Arial" w:eastAsia="Arial" w:hAnsi="Arial"/>
          <w:sz w:val="18"/>
          <w:szCs w:val="18"/>
          <w:color w:val="auto"/>
        </w:rPr>
        <w:t>— Through Figure Connect, our partners have greater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execution certainty on the sale of their originated loans. Partners can sell their loans directly to investors or deliver pools of loans into securitization vehicles without the need to find their counterparties bilaterally. The liquidity of our marketplace is further enhanced by the presence of our Guarantor Vehicle as a consistent loan buyer.</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Ease of Onboarding </w:t>
      </w:r>
      <w:r>
        <w:rPr>
          <w:rFonts w:ascii="Arial" w:cs="Arial" w:eastAsia="Arial" w:hAnsi="Arial"/>
          <w:sz w:val="18"/>
          <w:szCs w:val="18"/>
          <w:color w:val="auto"/>
        </w:rPr>
        <w:t>— Our flexible platform was built to easily and quickly onboard partners, typically taking as little as one week from</w:t>
      </w:r>
      <w:r>
        <w:rPr>
          <w:rFonts w:ascii="Arial" w:cs="Arial" w:eastAsia="Arial" w:hAnsi="Arial"/>
          <w:sz w:val="18"/>
          <w:szCs w:val="18"/>
          <w:i w:val="1"/>
          <w:iCs w:val="1"/>
          <w:color w:val="auto"/>
        </w:rPr>
        <w:t xml:space="preserve"> </w:t>
      </w:r>
      <w:r>
        <w:rPr>
          <w:rFonts w:ascii="Arial" w:cs="Arial" w:eastAsia="Arial" w:hAnsi="Arial"/>
          <w:sz w:val="18"/>
          <w:szCs w:val="18"/>
          <w:color w:val="auto"/>
        </w:rPr>
        <w:t>signing to launch. This flexibility enables partners to take advantage of market opportunities as they emerge, particularly those partners that do not have robust lending infrastructure or technology budgets. Our platform provides a fully packaged solution that allows our partners to launch with minimal technology spend and limited dedicated resources from their business.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Deepen Relationships with Existing Customers and Expand Target Market </w:t>
      </w:r>
      <w:r>
        <w:rPr>
          <w:rFonts w:ascii="Arial" w:cs="Arial" w:eastAsia="Arial" w:hAnsi="Arial"/>
          <w:sz w:val="18"/>
          <w:szCs w:val="18"/>
          <w:color w:val="auto"/>
        </w:rPr>
        <w:t>— Our platforms enable our partners to deepen relationships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their existing customers and reach a broader market through the use of a Partner-branded product. Our partners and their lending officers are able to capture additional revenue sources while incurring only a minimal increase in overhead costs. This can help transform our partners’ product-based sales teams, which have historically been dependent on infrequent transactions, into advisors with multi-product and more frequent sales opportunities based on customer needs.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Seamlessly Introduce New Products with Additional Revenue Sources </w:t>
      </w:r>
      <w:r>
        <w:rPr>
          <w:rFonts w:ascii="Arial" w:cs="Arial" w:eastAsia="Arial" w:hAnsi="Arial"/>
          <w:sz w:val="18"/>
          <w:szCs w:val="18"/>
          <w:color w:val="auto"/>
        </w:rPr>
        <w:t>— The modular and flexible nature of our technology can enable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to more easily deploy new products. We believe the success of our foundational HELOC product is indicative of our ability to capture a larger opportunity as we seek to expand our product offering into new areas such as DSCR loans, personal loans, and student loans. We believe our infrastructure will effectively fulfill the product development function for our partners across lending markets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Loan Purchasers and Securitization Investors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Enhanced Investor Reporting and Distribution </w:t>
      </w:r>
      <w:r>
        <w:rPr>
          <w:rFonts w:ascii="Arial" w:cs="Arial" w:eastAsia="Arial" w:hAnsi="Arial"/>
          <w:sz w:val="18"/>
          <w:szCs w:val="18"/>
          <w:color w:val="auto"/>
        </w:rPr>
        <w:t>— Our loan purchasers and securitization investors benefit from increased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on-time asset performance, and enhanced distribution capabilities. We standardize our funded loans into homogeneous pools that can be efficiently distributed to loan purchasers on the private credit market and securitization investors. Utilizing Portfolio Manager to manage ledgers for our loans, we are able to provide faster and more accurate performance reporting to loan purchasers using the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Access to our Marketplace of Homogeneous, Standardized Collateral — </w:t>
      </w:r>
      <w:r>
        <w:rPr>
          <w:rFonts w:ascii="Arial" w:cs="Arial" w:eastAsia="Arial" w:hAnsi="Arial"/>
          <w:sz w:val="18"/>
          <w:szCs w:val="18"/>
          <w:color w:val="auto"/>
        </w:rPr>
        <w:t>Investors onboarded to Figure Connect have the opportunity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loans from multiple origination partners without the need for bilateral sourcing. Access to our marketplace, fully composed of loans originated through our LOS, increases the certainty of collateral composition to loan buyers and provides them with extended visibility for capital deployment.</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Attractive Risk Adjusted Returns </w:t>
      </w:r>
      <w:r>
        <w:rPr>
          <w:rFonts w:ascii="Arial" w:cs="Arial" w:eastAsia="Arial" w:hAnsi="Arial"/>
          <w:sz w:val="18"/>
          <w:szCs w:val="18"/>
          <w:color w:val="auto"/>
        </w:rPr>
        <w:t>— Our current loan products offer a sophisticated asset diversification strategy for investors with strong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value compared to personal loans and mortgages. Investors prefer our loan products because it has a yield similar to a personal loan plus a collateral benefit. Our loans have attractive underlying borrower profiles, characterized by high credit scores and stable credit performance. Credit losses of loans underwritten through our LOS have consistently remained approximately 1% or less, as of March 31, 2025.</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History of Issuing Rated HELOC Securitizations </w:t>
      </w:r>
      <w:r>
        <w:rPr>
          <w:rFonts w:ascii="Arial" w:cs="Arial" w:eastAsia="Arial" w:hAnsi="Arial"/>
          <w:sz w:val="18"/>
          <w:szCs w:val="18"/>
          <w:color w:val="auto"/>
        </w:rPr>
        <w:t>— The HELOCs originated on our platform have been contributed into 13 securitizations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sponsored or co-sponsored by FL LLC or other HELOC investors since April 2023. All securitizations were rated and had tranches that received a AAA rating. Our ability to issue rated HELOC securitizations enables loan purchasers with specific ratings requirements to invest in our products, while also providing a vehicle by which loan purchasers can contribute owned HELOC assets into our securitizations. Our ability to issue rated securitizations also improves the liquidity and marketability of our HELOCs in the secondary market.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Exchange Customers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Full Asset Ownership and Control </w:t>
      </w:r>
      <w:r>
        <w:rPr>
          <w:rFonts w:ascii="Arial" w:cs="Arial" w:eastAsia="Arial" w:hAnsi="Arial"/>
          <w:sz w:val="18"/>
          <w:szCs w:val="18"/>
          <w:color w:val="auto"/>
        </w:rPr>
        <w:t>— Our MPC wallets protect cryptographic keys, allowing investors to maintain custody of their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added reassurance that their keys are not easily misplaced.</w:t>
      </w:r>
    </w:p>
    <w:p>
      <w:pPr>
        <w:spacing w:after="0" w:line="9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Our MPC wallets protect cryptographic keys, allowing investors to maintain custody of their assets with the added reassurance that their keys are not easily misplaced. This differs from a traditional cryptocurrency wallet, where the complete private key required to authorize a transaction is either stored with a trusted custodian/exchange or held by the investor.</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Access to Exclusive Tokenized Real-World Assets </w:t>
      </w:r>
      <w:r>
        <w:rPr>
          <w:rFonts w:ascii="Arial" w:cs="Arial" w:eastAsia="Arial" w:hAnsi="Arial"/>
          <w:sz w:val="18"/>
          <w:szCs w:val="18"/>
          <w:color w:val="auto"/>
        </w:rPr>
        <w:t>— Through our platform, Figure has the capacity to generate investable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of real-world assets, in many instances creating liquidity for otherwise illiquid assets. Many of these now investable assets will be exclusively offered through Figure Exchange, increasing the benefit to users of participating in our product.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Disintermediated Lending and Borrowing </w:t>
      </w:r>
      <w:r>
        <w:rPr>
          <w:rFonts w:ascii="Arial" w:cs="Arial" w:eastAsia="Arial" w:hAnsi="Arial"/>
          <w:sz w:val="18"/>
          <w:szCs w:val="18"/>
          <w:color w:val="auto"/>
        </w:rPr>
        <w:t>— Anchored on our MPC-enabled self-custody technology, users are able to directly lend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to borrowers within the ecosystem, effectively allowing for the monetization of assets without the need for exchange intermediation.</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 xml:space="preserve">Digital Asset Cross-Collateralization </w:t>
      </w:r>
      <w:r>
        <w:rPr>
          <w:rFonts w:ascii="Arial" w:cs="Arial" w:eastAsia="Arial" w:hAnsi="Arial"/>
          <w:sz w:val="18"/>
          <w:szCs w:val="18"/>
          <w:color w:val="auto"/>
        </w:rPr>
        <w:t>— Through our use of MPC wallets, users of our platform are enabled to borrow against any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their self-custody wallet. To obtain a loan, investors simply need to specify the asset and amounts they would like to offer as collateral. The collateral remains visible in the investor’s self-custody account, with a control hold placed on the assets while the loan proceeds are deposited into their account.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Proposition to YLDS Holders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SEC Registered Security </w:t>
      </w:r>
      <w:r>
        <w:rPr>
          <w:rFonts w:ascii="Arial" w:cs="Arial" w:eastAsia="Arial" w:hAnsi="Arial"/>
          <w:sz w:val="18"/>
          <w:szCs w:val="18"/>
          <w:color w:val="auto"/>
        </w:rPr>
        <w:t>— YLDS’ status as a security registered with the SEC enables institutional investors to incorporate it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We believe SEC registration differentiates YLDS from competitors in a market where achieving mass adoption is critical for long term success.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 xml:space="preserve">Interest-Bearing Stablecoin </w:t>
      </w:r>
      <w:r>
        <w:rPr>
          <w:rFonts w:ascii="Arial" w:cs="Arial" w:eastAsia="Arial" w:hAnsi="Arial"/>
          <w:sz w:val="18"/>
          <w:szCs w:val="18"/>
          <w:color w:val="auto"/>
        </w:rPr>
        <w:t>— Most stablecoins offered by our competitors do not directly pay their holder any yield from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backing the stablecoin’s value, as paying a yield would require a stablecoin to be registered as a security. YLDS is a solution that offers yield to token holders, which we believe should accelerate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Fully Transferable 24/7 Means of Payment </w:t>
      </w:r>
      <w:r>
        <w:rPr>
          <w:rFonts w:ascii="Arial" w:cs="Arial" w:eastAsia="Arial" w:hAnsi="Arial"/>
          <w:sz w:val="18"/>
          <w:szCs w:val="18"/>
          <w:color w:val="auto"/>
        </w:rPr>
        <w:t>— Contrary to legacy alternatives and fiat payment infrastructure, YLDS is transferable 24</w:t>
      </w:r>
      <w:r>
        <w:rPr>
          <w:rFonts w:ascii="Arial" w:cs="Arial" w:eastAsia="Arial" w:hAnsi="Arial"/>
          <w:sz w:val="18"/>
          <w:szCs w:val="18"/>
          <w:i w:val="1"/>
          <w:iCs w:val="1"/>
          <w:color w:val="auto"/>
        </w:rPr>
        <w:t xml:space="preserve"> </w:t>
      </w:r>
      <w:r>
        <w:rPr>
          <w:rFonts w:ascii="Arial" w:cs="Arial" w:eastAsia="Arial" w:hAnsi="Arial"/>
          <w:sz w:val="18"/>
          <w:szCs w:val="18"/>
          <w:color w:val="auto"/>
        </w:rPr>
        <w:t>hours a day, every day of the year, with instant settlement.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Partner-Branded Strategy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view our Partner-branded strategy as the engine for our future growth and they are the focus of our long-term customer acquisition strategy. We focus on developing new partner relationships and growing engagement with our existing partners, including supporting their training and marketing efforts. We have a dedicated Partnerships team to drive our Partner-branded strategy. This team is focused on expanding our partner network, onboarding new partners, and assisting our partners in supporting their own customers and loan originators.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work closely with our partners to help them deploy quickly to begin realizing benefits from our platform. By investing in the success of our partners, we believe we are building a strong foundation for long-term relationships. Partners are supported by onboarding specialists that work to complete partner deployments. Depending on the type of relationship, onboarding can take as little as one week, including integrations to ensure funding and data flows are developed for each specific partner. To reduce friction during the sales process, there are no upfront costs charged to our partners to onboard or test. Deployment services are free to all partners and they are only assessed a delayed implementation fee if they fail to meet a minimum number of loans originated through the platform. Once onboarded, our customer success team remains connected to our partners to track partner performance, resolve customer or platform issues, solicit feedback, communicate changes, and drive future improvements. We also provide training services and maintain an online knowledge base with best practices and training information to help our partners educate their loan originators and market to their customers.</w:t>
      </w:r>
    </w:p>
    <w:p>
      <w:pPr>
        <w:spacing w:after="0" w:line="12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Figure Connect platform enables loan originators to obtain forward commitments from buyers, secure active bids, and manage loan pricing. This system allows for the delivery of loan pools into commitments using standardized sale terms and documentation. The platform is designed to provide loan origination partners with control over their operations, supported by liquidity and transparent loan pricing management.</w:t>
      </w:r>
    </w:p>
    <w:p>
      <w:pPr>
        <w:spacing w:after="0" w:line="1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Figure Connect utilizes the Provenance Blockchain, a distributed proof-of-stake blockchain, to improve efficiencies for loan buyers and sellers. This integration reduces the settlement process from months to days. By standardizing key characteristics of loan pools and sale terms, Figure Connect aims to provide price certainty before loan origination, contributing to market liquidity by ensuring funding certainty for loan originators and clarity in collateral composition for loan buyers.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Partner retention is very high. 93% of the number of origination partners who accounted for 97% of the partner branded LOS volume in 2023 remained on the platform in 2024. Furthermore, we experienced a 185% net volume retention in 2024. We are not only retaining our origination partners but also enabling them to continuously expand usage and volume.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Figure-Branded Strategy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Figure -branded growth and marketing initiatives are primarily focused on bringing customers to our platform, where they can learn if they qualify for one of our loan products, namely a HELOC, and obtain approval in as little as five minutes and funding in as little as five days. Our Figure-branded products utilize a combination of online and offline, as well as paid and unpaid, marketing strategies. We continue to expand and enhance our customer acquisition strategies, and our largest Figure-branded customer acquisition channels include:</w:t>
      </w:r>
    </w:p>
    <w:p>
      <w:pPr>
        <w:spacing w:after="0" w:line="122" w:lineRule="exact"/>
        <w:rPr>
          <w:sz w:val="20"/>
          <w:szCs w:val="20"/>
          <w:color w:val="auto"/>
        </w:rPr>
      </w:pPr>
    </w:p>
    <w:p>
      <w:pPr>
        <w:jc w:val="both"/>
        <w:ind w:left="660" w:hanging="328"/>
        <w:spacing w:after="0" w:line="268"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Marketing affiliates </w:t>
      </w:r>
      <w:r>
        <w:rPr>
          <w:rFonts w:ascii="Arial" w:cs="Arial" w:eastAsia="Arial" w:hAnsi="Arial"/>
          <w:sz w:val="18"/>
          <w:szCs w:val="18"/>
          <w:color w:val="auto"/>
        </w:rPr>
        <w:t>— We advertise our products on the websites of a variety of online media partners, such as digital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comparison shopping platforms and other marketing websites. We have worked with approximately 11 such online media partners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9" w:lineRule="exact"/>
        <w:rPr>
          <w:sz w:val="20"/>
          <w:szCs w:val="20"/>
          <w:color w:val="auto"/>
        </w:rPr>
      </w:pPr>
    </w:p>
    <w:p>
      <w:pPr>
        <w:jc w:val="both"/>
        <w:ind w:left="660" w:hanging="328"/>
        <w:spacing w:after="0" w:line="259"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 We direct mail based on customer credit data that is matched to housing data to identify individuals who both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for and may have a need for a HELOC. Our approach employs proprietary AI attributes, strengthened by our six-year operating history. This enables us to send precisely targeted, prescreened credit offers that are customized for each recipient. These offers include tailored messaging and creative positioning, resulting in a significant performance edge compared to other marketing channels.</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Paid marketing</w:t>
      </w:r>
      <w:r>
        <w:rPr>
          <w:rFonts w:ascii="Arial" w:cs="Arial" w:eastAsia="Arial" w:hAnsi="Arial"/>
          <w:sz w:val="18"/>
          <w:szCs w:val="18"/>
          <w:color w:val="auto"/>
        </w:rPr>
        <w:t>—We have extensive campaigns in paid search on both brand and non-brand, accounting for approximately 24% of</w:t>
      </w:r>
      <w:r>
        <w:rPr>
          <w:rFonts w:ascii="Arial" w:cs="Arial" w:eastAsia="Arial" w:hAnsi="Arial"/>
          <w:sz w:val="18"/>
          <w:szCs w:val="18"/>
          <w:i w:val="1"/>
          <w:iCs w:val="1"/>
          <w:color w:val="auto"/>
        </w:rPr>
        <w:t xml:space="preserve"> </w:t>
      </w:r>
      <w:r>
        <w:rPr>
          <w:rFonts w:ascii="Arial" w:cs="Arial" w:eastAsia="Arial" w:hAnsi="Arial"/>
          <w:sz w:val="18"/>
          <w:szCs w:val="18"/>
          <w:color w:val="auto"/>
        </w:rPr>
        <w:t>our Figure-branded monthly volume in 2024.</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Organic social media</w:t>
      </w:r>
      <w:r>
        <w:rPr>
          <w:rFonts w:ascii="Arial" w:cs="Arial" w:eastAsia="Arial" w:hAnsi="Arial"/>
          <w:sz w:val="18"/>
          <w:szCs w:val="18"/>
          <w:color w:val="auto"/>
        </w:rPr>
        <w:t>—As our brand recognition and reputation grow, an increasing number of potential customers come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through our social media presence.</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Email marketing</w:t>
      </w:r>
      <w:r>
        <w:rPr>
          <w:rFonts w:ascii="Arial" w:cs="Arial" w:eastAsia="Arial" w:hAnsi="Arial"/>
          <w:sz w:val="18"/>
          <w:szCs w:val="18"/>
          <w:color w:val="auto"/>
        </w:rPr>
        <w:t>—We have an automated email program that sends customized messages and reminders to potential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once they have created accounts to encourage them to complete their HELOC application.</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Online advertising</w:t>
      </w:r>
      <w:r>
        <w:rPr>
          <w:rFonts w:ascii="Arial" w:cs="Arial" w:eastAsia="Arial" w:hAnsi="Arial"/>
          <w:sz w:val="18"/>
          <w:szCs w:val="18"/>
          <w:color w:val="auto"/>
        </w:rPr>
        <w:t>—Search engines and social media channels enable targeted outreach to potential customers with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messages.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utilize these customer acquisition channels to launch Figure-branded products, test demand and product efficacy. We leverage diversified sales and lead channels, machine learning, and customer propensity data to ensure we have the broadest, most economical access to high-quality customers, and we invest in sales and customer success teams to support the partners that utilize our platform. Our Figure-branded products accounted for approximately 28% of our originations for the year ended December 31, 2024.</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Customers and YLDS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growth and user adoption in Figure Exchange has been, from a marketing standpoint, fully organic and product-led without investing in customer acquisition, evidencing the value add of our solutions. Going forward, we anticipate ramping up our adoption strategy as we undertake a two-pronged approach for sales and marketing. On one end, we plan to build out an institutional sales team set to target asset managers, fintechs, banks, market makers, exchanges, and other financial market participants that are set to benefit from our Figure Exchange offering and the multiple use cases of YLDS. On the retail side, we plan to target potential users through different online channels including social media and paid advertisement.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$130 billion dollar opportunity, as described in further detail below.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Origination and Distribution Marketplace</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disintermediates the loan delivery process after origination, which traditionally involved seeking a bilateral funding partner to execute a whole loan sale or pooling loans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unique securitization program for an eventual capital markets takeout. Similar to our LOS, our Figure Connect marketplace is expandable to broader consumer loan assets.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other industry sources, and an assumed take rate of approximately 4% comprised of transaction fees and servicing rights on a per volume basis, based on our targeted pricing.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Peer to Peer Transferable Stablecoins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our targeted pricing, this revenue opportunity could be as large as $25 billion.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Tokenization and Trading</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We believe that the market opportunity for tokenized securities is as large as the existing securities market and that the transition, once it begins, will happen quickly.</w:t>
      </w:r>
    </w:p>
    <w:p>
      <w:pPr>
        <w:spacing w:after="0" w:line="12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According to forecasts from industry sources, the asset tokenization opportunity is expected to expand to $16 trillion by 2030. These forecasts reveal a significant opportunity with tokenization, where Figure has a first-mover advantage. Assuming the current volume-to-market-cap ratio of crypto assets remains constant at 5.5x as of 2024, as reported by CoinGecko, tokenized asset trading volume could reach $89 trillion by 2030. With an assumed take rate of 0.03%, based on our targeted pricing, the revenue opportunity could be over $25 billion.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integrated loan origination and distribution technology solution faces competition from other originators’ proprietary systems and from third-party digital origination technology solutions providers. In particular, we compete with a variety of technology companies that aim to help legacy financial institutions with the digital transformation of their businesses, particularly with respect to originating, servicing, financing, and selling loans. This includes new products from legacy bank technology providers as well as newer companies focused entirely on lending software infrastructure for financial institutions. Within consumer loans, the extension of credit is highly competitive and increasingly dynamic as emerging technologies continue to enter into the marketplace. Our Partner-branded and Figure-branded originated loans compete in varying degrees with all other sources of secured and unsecured consumer credit, including depository and non-depository lenders (including retail and wholesale-based lenders) as well as other financial technology lending platforms.</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may also face competition from companies that have not previously competed in the consumer lending or financial services market, including companies with significant resources, large and experienced data science teams, and access to vast amounts of consumer-related information, including to information to which we do not have access, that could be used in the development of competing platforms and credit risk models.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believe none of our competitors provide an offering equivalent to our platform, which we believe displaces legacy infrastructure at each stage of the loan lifecycle based on the principles of efficiency, customer experience, transparency, scalability, and flexibility. Specifically, we believe we distinguish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ourselves from our competition through our technology and automation, streamlined originations, partner-accessible platform, and digitally native underwriting, which allows us and our partners to offer loan approvals in as little as five minutes and funding in as little as five days (subject to regulatory waiting periods), a fully electronic closing process, where allowed, a broad distribution network, and our embedded servicing and capital markets technology delivered via our blockchain-based ecosystem.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7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speed and ease of use enabled through our blockchain-based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overall customer experience, including convenient access, product functionality, and transparency throughout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partner satisfaction, including ease of onboarding, scope of offering, and value-add to all parties in our ecosystem;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flexibility, scalability, and the ability to innovate and improve rapidly;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ability to competitively price loan products for customers, partners, and loan purchasers on the secondary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ability to offer and sell loans efficiently and transparently in the capital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brand awareness and reputation across the ecosystem.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still relatively nascent industry, the digital asset landscape continues to be shaped by evolving regulation, a shift in the composition of major players and expanding avenues for growth and business lines. For Figure Exchange, the closest competitors are incumbent centralized cryptocurrency and digital asset exchanges. YLDS faces direct competition from other stablecoin issuers, although the scope of YLDS is set to broaden as we aim to displace legacy fiat payment rails and traditional stores of value like money market funds. Furthermore, as regulatory sentiment is increasingly perceived as more favorable in the United States, we anticipate heightened competitive tension on the back of new entrants.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Exchange firms focused on digital assets are expanding their business latitude, evolving beyond basic cryptocurrency trading platforms to offer bundled services and products that aim to capture incremental portions of the value chain. At the same time, the collapse and retreat of major participants has left market vacuums to be occupied by new players, altering pre-established competitive dynamics.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Stablecoin issuance has seen a marked increase as regulatory sentiment towards cryptocurrencies has become more favorable in the United States. With the inherent volatility in cryptocurrencies, there is a demand for coins that can act as a reliable store of value, a first step if their ultimate goal is to displace fiat currency payments infrastructure and, effectively, decentralize finance. As such, participants are focused on achieving mass adoption and boosting activity as the market presents significant network effects that could suggest partial winner-takes-all dynamics.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this context, we believe Figure Exchange and YLDS offers differentiated solutions based on the following factors:</w:t>
      </w:r>
    </w:p>
    <w:p>
      <w:pPr>
        <w:spacing w:after="0" w:line="17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decentralized custody where investors remain in full control of their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unique tokenized real-world assets that will be exclusive to Figure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disintermediated monetization of user assets via our democratized prime offering;</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platform infrastructure that allows users to cross collateralize assets, efficiently reducing margin requirements, the implied drag on returns, and increasing their overall access to secured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9"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and licensing moat that limits our competitors capacity to offer our full comprehensive suite of products;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YLDS status as a registered security permits institutional investors to hold it, with the increased attractiveness of receiving interest payments;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YLDS use cases for trade settlement and payments with transferability 24 hours, 7 days a week.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technology platform operates as the interface that drives efficiency, transparency, and certainty into the end-to-end loan origination and distribution process for our customers, partners, and our loan purchasers. We invest substantial resources in research and development to expand our platform by developing new components, features, and product offerings. Our product, engineering, and design teams build our platform and products in light of direct customer feedback, partner dialogue, market opportunity, and investor requirements. In addition, we continuously monitor our funnel to gain a deep understanding of the tasks and workflows we can make more efficient and user-friendly. We analyze the data from tens of thousands of applications flowing through our system to understand opportunities for driving further automation and improvements. We expect costs related to our research and development activities to increase in absolute dollars but decline as a percentage of total revenue as we continue to grow our business. We intend to leverage our existing platform in addition to hiring product, engineering, and design teams to expand our technology and launch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believe that our success depends in part on our ability to obtain, establish, enforce, and defend intellectual property rights in our core technology and innovations. We rely on a combination of trademark, service mark, trade secret, patent, and copyright laws in the United States and other jurisdictions, as well as license agreements, contractual restrictions, non</w:t>
      </w:r>
      <w:r>
        <w:rPr>
          <w:rFonts w:ascii="MS PGothic" w:cs="MS PGothic" w:eastAsia="MS PGothic" w:hAnsi="MS PGothic"/>
          <w:sz w:val="18"/>
          <w:szCs w:val="18"/>
          <w:color w:val="auto"/>
        </w:rPr>
        <w:t>‑</w:t>
      </w:r>
      <w:r>
        <w:rPr>
          <w:rFonts w:ascii="Arial" w:cs="Arial" w:eastAsia="Arial" w:hAnsi="Arial"/>
          <w:sz w:val="18"/>
          <w:szCs w:val="18"/>
          <w:color w:val="auto"/>
        </w:rPr>
        <w:t xml:space="preserve"> disclosure agreements, employee confidentiality, and intellectual property assignment agreements, and other contractual protections and confidentiality procedures, to obtain, establish, enforce, and defend our intellectual property rights. We seek to control access to our proprietary technology by entering into confidentiality and invention assignment agreements with our employees and contractors, and confidentiality agreements with third parties. Though we rely in part upon these legal, contractual, and procedural protections, we believe that factors such as the technological and creative skills of our personnel, creation of new services, features, and functionality, and frequent enhancements to our software platform are more essential to establishing and maintaining our technology leadership position. In addition, we use open source software in certain aspects of our platform. The terms of various open source licenses have not been interpreted by U.S. or foreign courts, and there is a risk that such licenses could be construed in a manner that imposes unanticipated conditions or restrictions on our services. For additional information, see the section titled “Risk Factors—Risks Related to Intellectual Property—Our software contains third-party open source software components, which could subject our proprietary software to general release, restrict our ability to sell our products and subject us to possible litigation, claims or proceedings.”</w:t>
      </w:r>
    </w:p>
    <w:p>
      <w:pPr>
        <w:spacing w:after="0" w:line="1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2024, we had pending patent applications for certain aspects of our proprietary technology in the U.S. and various other countries. We filed these applications through two international patent applications under the Patent Cooperation Treaty, which allows the applicant to seek patent protection for an invention in a large number of countries simultaneously. These patent applications are pending, and we do not yet have patent protection for the inventions that they cover. The examination of the patent application in any particular jurisdiction may not be successful. We may, in the future, seek patent protection for additional technology that we develop. As of December 31, 2024, we had registered the term FIGURE as a trademark in Australia, Canada, the European Union, Hong Kong, India, Japan, the United Kingdom, and the United States, and also registered the FIGURE logo as a trademark in China. We have also obtained trademark registrations for certain of our other business names and trademarks and may in the future seek additional trademark registrations in jurisdictions where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operate. In addition, we have registered domain names used in, or related to, our business, most importantly figure.com.</w:t>
      </w:r>
    </w:p>
    <w:p>
      <w:pPr>
        <w:spacing w:after="0" w:line="131"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w:t>
      </w:r>
      <w:r>
        <w:rPr>
          <w:rFonts w:ascii="MS PGothic" w:cs="MS PGothic" w:eastAsia="MS PGothic" w:hAnsi="MS PGothic"/>
          <w:sz w:val="18"/>
          <w:szCs w:val="18"/>
          <w:color w:val="auto"/>
        </w:rPr>
        <w:t>‑</w:t>
      </w:r>
      <w:r>
        <w:rPr>
          <w:rFonts w:ascii="Arial" w:cs="Arial" w:eastAsia="Arial" w:hAnsi="Arial"/>
          <w:sz w:val="18"/>
          <w:szCs w:val="18"/>
          <w:color w:val="auto"/>
        </w:rPr>
        <w:t>effective. Intellectual property laws, procedures, and restrictions provide only limited protection, and despite our commercially reasonable efforts to protect our current and future intellectual property rights, they may not be respected in the future or may be invalidated, circumvented, challenged, infringed, misappropriated, or otherwise violated. Further, the laws of certain countries do not protect proprietary rights to the same extent as the laws of the United States, and, therefore, in certain jurisdictions, we may be unable to protect our proprietary technology, brand, or other intellectual property rights. We cannot guarantee that our existing and future patents, copyrights, trademarks, service marks, trade secrets, know</w:t>
      </w:r>
      <w:r>
        <w:rPr>
          <w:rFonts w:ascii="MS PGothic" w:cs="MS PGothic" w:eastAsia="MS PGothic" w:hAnsi="MS PGothic"/>
          <w:sz w:val="18"/>
          <w:szCs w:val="18"/>
          <w:color w:val="auto"/>
        </w:rPr>
        <w:t>‑</w:t>
      </w:r>
      <w:r>
        <w:rPr>
          <w:rFonts w:ascii="Arial" w:cs="Arial" w:eastAsia="Arial" w:hAnsi="Arial"/>
          <w:sz w:val="18"/>
          <w:szCs w:val="18"/>
          <w:color w:val="auto"/>
        </w:rPr>
        <w:t>how, domain names, and other intellectual property rights will provide us with competitive advantages, distinguish our products from those of our competitors, or prevent competitors from launching comparable products. Further, we may not be able to prevent third parties from infringing, diluting, misappropriating, or otherwise violating our intellectual property rights, and we may face challenges to the validity or enforceability of our intellectual property rights. Although we are not presently involved in intellectual property lawsuits, we may face allegations from third parties, including our competitors and “non</w:t>
      </w:r>
      <w:r>
        <w:rPr>
          <w:rFonts w:ascii="MS PGothic" w:cs="MS PGothic" w:eastAsia="MS PGothic" w:hAnsi="MS PGothic"/>
          <w:sz w:val="18"/>
          <w:szCs w:val="18"/>
          <w:color w:val="auto"/>
        </w:rPr>
        <w:t>‑</w:t>
      </w:r>
      <w:r>
        <w:rPr>
          <w:rFonts w:ascii="Arial" w:cs="Arial" w:eastAsia="Arial" w:hAnsi="Arial"/>
          <w:sz w:val="18"/>
          <w:szCs w:val="18"/>
          <w:color w:val="auto"/>
        </w:rPr>
        <w:t>practicing entities,” that we have infringed, misappropriated, or otherwise violated their intellectual property rights. For additional information, see the section titled “Risk Factors—Risks Related to Our Intellectual Property.”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the loans facilitated through our platform, whether by us or our partners, and the other products and services we offer, are subject to a wide array of extensive and complex laws and regulations. Compliance with these laws and regulations may be subject to examination by various federal, state, and local government authorities. Failure to comply with applicable laws and regulations can lead to severe consequences, such as the revocation of necessary licenses or registration, loss of approved status, nullification or rescission of the loan contracts, class action lawsuits and other litigation, investigations, enforcement actions, and other regulatory and legal action and penalties, including civil and criminal liability. Moreover, we, along with our partners, vendors, and other service providers must comply with laws and regulatory frameworks that apply both directly to us and indirectly to our service providers. This includes compliance in areas such as privacy, data security, and data protection, especially given our role as a technology provider to financial services firms. Our contractual relationships with our customers also necessitate strict adherence to these legal and regulatory standards to ensure the integrity and security of our operations and services.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licenses and currently offer (i) HELOCs directly to consumers through our Figure-branded solutions in Washington D.C. and all states other than Hawaii, and (ii) digital assets-secured personal loans in all states other than Idaho, Illinois, Kentucky, Maryland, Mississippi, South Dakota, Texas, Vermont, and Virginia. Our partners offer HELOCs and other loans directly to consumers using our technology in all states where they are appropriately licensed. In addition, we hold various licenses and registrations for the other financial services we offer at the federal and state level, including those related to consumer credit transactions, mortgage lending, loan servicing and collection activities, money transmission and digital assets transactions, the purchase and sale of whole loans, and other related transactions.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Below, we summarize several of the material federal and state lending, servicing, financial services, consumer protection, and related laws applicable to our business. Many states have laws and regulations that are similar to the federal laws referred to below, but the degree and nature of such laws and regulations vary from state to state:</w:t>
      </w:r>
    </w:p>
    <w:p>
      <w:pPr>
        <w:spacing w:after="0" w:line="117" w:lineRule="exact"/>
        <w:rPr>
          <w:sz w:val="20"/>
          <w:szCs w:val="20"/>
          <w:color w:val="auto"/>
        </w:rPr>
      </w:pPr>
    </w:p>
    <w:p>
      <w:pPr>
        <w:jc w:val="both"/>
        <w:ind w:left="660" w:hanging="328"/>
        <w:spacing w:after="0" w:line="26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9" w:lineRule="exact"/>
        <w:rPr>
          <w:sz w:val="20"/>
          <w:szCs w:val="20"/>
          <w:color w:val="auto"/>
        </w:rPr>
      </w:pPr>
    </w:p>
    <w:p>
      <w:pPr>
        <w:ind w:left="328"/>
        <w:spacing w:after="0" w:line="287" w:lineRule="auto"/>
        <w:rPr>
          <w:sz w:val="20"/>
          <w:szCs w:val="20"/>
          <w:color w:val="auto"/>
        </w:rPr>
      </w:pPr>
      <w:r>
        <w:rPr>
          <w:rFonts w:ascii="Arial" w:cs="Arial" w:eastAsia="Arial" w:hAnsi="Arial"/>
          <w:sz w:val="18"/>
          <w:szCs w:val="18"/>
          <w:color w:val="auto"/>
        </w:rPr>
        <w:t>certain lending practice restrictions, and limit the ability of a creditor to impose certain loan terms, take certain actions, or change the terms of a HELOC or other loans we make after origination.</w:t>
      </w:r>
    </w:p>
    <w:p>
      <w:pPr>
        <w:spacing w:after="0" w:line="99" w:lineRule="exact"/>
        <w:rPr>
          <w:sz w:val="20"/>
          <w:szCs w:val="20"/>
          <w:color w:val="auto"/>
        </w:rPr>
      </w:pPr>
    </w:p>
    <w:p>
      <w:pPr>
        <w:jc w:val="both"/>
        <w:ind w:left="328" w:hanging="328"/>
        <w:spacing w:after="0" w:line="224" w:lineRule="exact"/>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FDCPA, which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w:t>
      </w:r>
      <w:r>
        <w:rPr>
          <w:rFonts w:ascii="MS PGothic" w:cs="MS PGothic" w:eastAsia="MS PGothic" w:hAnsi="MS PGothic"/>
          <w:sz w:val="18"/>
          <w:szCs w:val="18"/>
          <w:color w:val="auto"/>
        </w:rPr>
        <w:t>‑</w:t>
      </w:r>
      <w:r>
        <w:rPr>
          <w:rFonts w:ascii="Arial" w:cs="Arial" w:eastAsia="Arial" w:hAnsi="Arial"/>
          <w:sz w:val="18"/>
          <w:szCs w:val="18"/>
          <w:color w:val="auto"/>
        </w:rPr>
        <w:t>party debt collectors, debt collection laws of certain states impose similar requirements more broadly on creditors who collect their own debts. In addition, the CFPB prohibits unfair, deceptive, or abusive acts or practices (“UDAAPs”) in debt collection, including first</w:t>
      </w:r>
      <w:r>
        <w:rPr>
          <w:rFonts w:ascii="MS PGothic" w:cs="MS PGothic" w:eastAsia="MS PGothic" w:hAnsi="MS PGothic"/>
          <w:sz w:val="18"/>
          <w:szCs w:val="18"/>
          <w:color w:val="auto"/>
        </w:rPr>
        <w:t>‑</w:t>
      </w:r>
      <w:r>
        <w:rPr>
          <w:rFonts w:ascii="Arial" w:cs="Arial" w:eastAsia="Arial" w:hAnsi="Arial"/>
          <w:sz w:val="18"/>
          <w:szCs w:val="18"/>
          <w:color w:val="auto"/>
        </w:rPr>
        <w:t>party debt collection.</w:t>
      </w:r>
    </w:p>
    <w:p>
      <w:pPr>
        <w:spacing w:after="0" w:line="117"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125"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ECOA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FCRA and Regulation V promulgated thereunder, which impose certain obligations on consumer reporting agencies,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122" w:lineRule="exact"/>
        <w:rPr>
          <w:rFonts w:ascii="Arial" w:cs="Arial" w:eastAsia="Arial" w:hAnsi="Arial"/>
          <w:sz w:val="18"/>
          <w:szCs w:val="18"/>
          <w:color w:val="auto"/>
        </w:rPr>
      </w:pPr>
    </w:p>
    <w:p>
      <w:pPr>
        <w:jc w:val="both"/>
        <w:ind w:left="328" w:hanging="328"/>
        <w:spacing w:after="0" w:line="224" w:lineRule="exact"/>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Section 5 of the FTC Act, which prohibits unfair and deceptive acts or practices in or affecting commerce, and Section 1031 of the Dodd</w:t>
      </w:r>
      <w:r>
        <w:rPr>
          <w:rFonts w:ascii="MS PGothic" w:cs="MS PGothic" w:eastAsia="MS PGothic" w:hAnsi="MS PGothic"/>
          <w:sz w:val="18"/>
          <w:szCs w:val="18"/>
          <w:color w:val="auto"/>
        </w:rPr>
        <w:t>‑</w:t>
      </w:r>
      <w:r>
        <w:rPr>
          <w:rFonts w:ascii="Arial" w:cs="Arial" w:eastAsia="Arial" w:hAnsi="Arial"/>
          <w:sz w:val="18"/>
          <w:szCs w:val="18"/>
          <w:color w:val="auto"/>
        </w:rPr>
        <w:t>Frank Act, which prohibits UDAAPs in connection with any consumer financial product or service, and analogous state laws prohibiting unfair, deceptive, or abusive acts or practices.</w:t>
      </w:r>
    </w:p>
    <w:p>
      <w:pPr>
        <w:spacing w:after="0" w:line="139"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GLBA and Regulation P promulgated thereunder, which include limitations on financial services firms’ disclosure of nonpublic personal information about a consumer to nonaffiliated third parties, in certain circumstances require financial services firms to limit the use and further disclosure of nonpublic personal information by nonaffiliated third parties to whom they disclose such information and require financial services firms to disclose certain privacy notices and practices with respect to information sharing with affiliated and unaffiliated entities as well as to safeguard personal borrower information, and other state and federal laws and regulations relating to privacy and cybersecurity.</w:t>
      </w:r>
    </w:p>
    <w:p>
      <w:pPr>
        <w:spacing w:after="0" w:line="128"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122"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MLA, which provides disclosure requirements, interest rate limitations, substantive conduct obligations and prohibitions on certain behavior relating to loans made to covered borrowers, which include both servicemembers and their dependents.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08"/>
          </w:cols>
          <w:pgMar w:left="652" w:top="1440" w:right="339" w:bottom="1440" w:gutter="0" w:footer="0" w:header="0"/>
        </w:sectPr>
      </w:pPr>
    </w:p>
    <w:bookmarkStart w:id="168" w:name="page169"/>
    <w:bookmarkEnd w:id="168"/>
    <w:p>
      <w:pPr>
        <w:spacing w:after="0" w:line="139" w:lineRule="exact"/>
        <w:rPr>
          <w:sz w:val="20"/>
          <w:szCs w:val="20"/>
          <w:color w:val="auto"/>
        </w:rPr>
      </w:pPr>
    </w:p>
    <w:p>
      <w:pPr>
        <w:ind w:left="328" w:hanging="328"/>
        <w:spacing w:after="0" w:line="287"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FHA and similar state fair lending laws, which prohibit discrimination in housing on the basis of race, sex, national origin, and certain other characteristics.</w:t>
      </w:r>
    </w:p>
    <w:p>
      <w:pPr>
        <w:spacing w:after="0" w:line="98" w:lineRule="exact"/>
        <w:rPr>
          <w:rFonts w:ascii="Arial" w:cs="Arial" w:eastAsia="Arial" w:hAnsi="Arial"/>
          <w:sz w:val="18"/>
          <w:szCs w:val="18"/>
          <w:color w:val="auto"/>
        </w:rPr>
      </w:pPr>
    </w:p>
    <w:p>
      <w:pPr>
        <w:ind w:left="328" w:hanging="328"/>
        <w:spacing w:after="0"/>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Secure and Fair Enforcement for Mortgage Licensing Act, which imposes state licensing requirements on mortgage loan originators.</w:t>
      </w:r>
    </w:p>
    <w:p>
      <w:pPr>
        <w:spacing w:after="0" w:line="171" w:lineRule="exact"/>
        <w:rPr>
          <w:rFonts w:ascii="Arial" w:cs="Arial" w:eastAsia="Arial" w:hAnsi="Arial"/>
          <w:sz w:val="18"/>
          <w:szCs w:val="18"/>
          <w:color w:val="auto"/>
        </w:rPr>
      </w:pPr>
    </w:p>
    <w:p>
      <w:pPr>
        <w:jc w:val="both"/>
        <w:ind w:left="328" w:hanging="328"/>
        <w:spacing w:after="0" w:line="228" w:lineRule="exact"/>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HMDA and Regulation C promulgated thereunder, which require financial institutions to maintain, report, and publicly disclose loan</w:t>
      </w:r>
      <w:r>
        <w:rPr>
          <w:rFonts w:ascii="MS PGothic" w:cs="MS PGothic" w:eastAsia="MS PGothic" w:hAnsi="MS PGothic"/>
          <w:sz w:val="18"/>
          <w:szCs w:val="18"/>
          <w:color w:val="auto"/>
        </w:rPr>
        <w:t>‑</w:t>
      </w:r>
      <w:r>
        <w:rPr>
          <w:rFonts w:ascii="Arial" w:cs="Arial" w:eastAsia="Arial" w:hAnsi="Arial"/>
          <w:sz w:val="18"/>
          <w:szCs w:val="18"/>
          <w:color w:val="auto"/>
        </w:rPr>
        <w:t>level information about their mortgage lending activity in order to help determine whether financial institutions are serving the housing needs of their communities, assist public officials in distributing public</w:t>
      </w:r>
      <w:r>
        <w:rPr>
          <w:rFonts w:ascii="MS PGothic" w:cs="MS PGothic" w:eastAsia="MS PGothic" w:hAnsi="MS PGothic"/>
          <w:sz w:val="18"/>
          <w:szCs w:val="18"/>
          <w:color w:val="auto"/>
        </w:rPr>
        <w:t>‑</w:t>
      </w:r>
      <w:r>
        <w:rPr>
          <w:rFonts w:ascii="Arial" w:cs="Arial" w:eastAsia="Arial" w:hAnsi="Arial"/>
          <w:sz w:val="18"/>
          <w:szCs w:val="18"/>
          <w:color w:val="auto"/>
        </w:rPr>
        <w:t>sector investment so as to attract private investment to areas where it is needed, and assist in the enforcement of fair lending and anti</w:t>
      </w:r>
      <w:r>
        <w:rPr>
          <w:rFonts w:ascii="MS PGothic" w:cs="MS PGothic" w:eastAsia="MS PGothic" w:hAnsi="MS PGothic"/>
          <w:sz w:val="18"/>
          <w:szCs w:val="18"/>
          <w:color w:val="auto"/>
        </w:rPr>
        <w:t>‑</w:t>
      </w:r>
      <w:r>
        <w:rPr>
          <w:rFonts w:ascii="Arial" w:cs="Arial" w:eastAsia="Arial" w:hAnsi="Arial"/>
          <w:sz w:val="18"/>
          <w:szCs w:val="18"/>
          <w:color w:val="auto"/>
        </w:rPr>
        <w:t>discrimination laws.</w:t>
      </w:r>
    </w:p>
    <w:p>
      <w:pPr>
        <w:spacing w:after="0" w:line="115"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unfair or deceptive business practices and consumer protection, as well as other state laws relating to privacy, information security, cybersecurity, and conduct in connection with data breaches.</w:t>
      </w:r>
    </w:p>
    <w:p>
      <w:pPr>
        <w:spacing w:after="0" w:line="98" w:lineRule="exact"/>
        <w:rPr>
          <w:rFonts w:ascii="Arial" w:cs="Arial" w:eastAsia="Arial" w:hAnsi="Arial"/>
          <w:sz w:val="18"/>
          <w:szCs w:val="18"/>
          <w:color w:val="auto"/>
        </w:rPr>
      </w:pPr>
    </w:p>
    <w:p>
      <w:pPr>
        <w:ind w:left="328" w:right="20" w:hanging="328"/>
        <w:spacing w:after="0" w:line="287"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State laws and regulations that impose licensing and other requirements related to money transmission, money services, and virtual currency activity, including with respect to the money transmitter licenses that we hold in most U.S. states and territories.</w:t>
      </w:r>
    </w:p>
    <w:p>
      <w:pPr>
        <w:spacing w:after="0" w:line="98"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Flood Disaster Protection Act, which provides that a regulated lending institution may not make, increase, extend, or renew any loan secured by improved real property that is located in a designated special flood hazard area unless the improved real property is covered by a sufficient flood insurance policy.</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TCPA,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116" w:lineRule="exact"/>
        <w:rPr>
          <w:rFonts w:ascii="Arial" w:cs="Arial" w:eastAsia="Arial" w:hAnsi="Arial"/>
          <w:sz w:val="18"/>
          <w:szCs w:val="18"/>
          <w:color w:val="auto"/>
        </w:rPr>
      </w:pPr>
    </w:p>
    <w:p>
      <w:pPr>
        <w:jc w:val="both"/>
        <w:ind w:left="328" w:hanging="328"/>
        <w:spacing w:after="0" w:line="262"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Electronic Signatures in Global and National Commerce Act, and similar state laws, particularly the Uniform Electronic Transactions Act, which authorize the creation of legally binding and enforceable agreements utilizing electronic records and signatures and which require financial services firms to obtain a consumer’s consent to electronically receive disclosures required under federal and state laws and regulations.</w:t>
      </w:r>
    </w:p>
    <w:p>
      <w:pPr>
        <w:spacing w:after="0" w:line="12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Americans with Disabilities Act, which has been interpreted to include websites as “places of public accommodations” that must meet certain federal requirements related to access and use.</w:t>
      </w:r>
    </w:p>
    <w:p>
      <w:pPr>
        <w:spacing w:after="0" w:line="98"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Right to Financial Privacy Act and similar state laws that were enacted to provide the financial records of financial services firms’ customers a reasonable amount of privacy from government scrutiny.</w:t>
      </w:r>
    </w:p>
    <w:p>
      <w:pPr>
        <w:spacing w:after="0" w:line="58" w:lineRule="exact"/>
        <w:rPr>
          <w:rFonts w:ascii="Arial" w:cs="Arial" w:eastAsia="Arial" w:hAnsi="Arial"/>
          <w:sz w:val="18"/>
          <w:szCs w:val="18"/>
          <w:color w:val="auto"/>
        </w:rPr>
      </w:pPr>
    </w:p>
    <w:p>
      <w:pPr>
        <w:jc w:val="both"/>
        <w:ind w:left="328" w:hanging="328"/>
        <w:spacing w:after="0" w:line="229" w:lineRule="exact"/>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BSA, as amended by the USA PATRIOT Act, and regulations promulgated thereunder, which relate to compliance with anti</w:t>
      </w:r>
      <w:r>
        <w:rPr>
          <w:rFonts w:ascii="MS PGothic" w:cs="MS PGothic" w:eastAsia="MS PGothic" w:hAnsi="MS PGothic"/>
          <w:sz w:val="18"/>
          <w:szCs w:val="18"/>
          <w:color w:val="auto"/>
        </w:rPr>
        <w:t>‑</w:t>
      </w:r>
      <w:r>
        <w:rPr>
          <w:rFonts w:ascii="Arial" w:cs="Arial" w:eastAsia="Arial" w:hAnsi="Arial"/>
          <w:sz w:val="18"/>
          <w:szCs w:val="18"/>
          <w:color w:val="auto"/>
        </w:rPr>
        <w:t>money laundering, and counter</w:t>
      </w:r>
      <w:r>
        <w:rPr>
          <w:rFonts w:ascii="MS PGothic" w:cs="MS PGothic" w:eastAsia="MS PGothic" w:hAnsi="MS PGothic"/>
          <w:sz w:val="18"/>
          <w:szCs w:val="18"/>
          <w:color w:val="auto"/>
        </w:rPr>
        <w:t>‑</w:t>
      </w:r>
      <w:r>
        <w:rPr>
          <w:rFonts w:ascii="Arial" w:cs="Arial" w:eastAsia="Arial" w:hAnsi="Arial"/>
          <w:sz w:val="18"/>
          <w:szCs w:val="18"/>
          <w:color w:val="auto"/>
        </w:rPr>
        <w:t>terrorist financing laws and require us, as a money services business, broker-dealer, loan or finance company, and/or other regulated entity, to, among other things, develop, implement, and maintain an anti</w:t>
      </w:r>
      <w:r>
        <w:rPr>
          <w:rFonts w:ascii="MS PGothic" w:cs="MS PGothic" w:eastAsia="MS PGothic" w:hAnsi="MS PGothic"/>
          <w:sz w:val="18"/>
          <w:szCs w:val="18"/>
          <w:color w:val="auto"/>
        </w:rPr>
        <w:t>‑</w:t>
      </w:r>
      <w:r>
        <w:rPr>
          <w:rFonts w:ascii="Arial" w:cs="Arial" w:eastAsia="Arial" w:hAnsi="Arial"/>
          <w:sz w:val="18"/>
          <w:szCs w:val="18"/>
          <w:color w:val="auto"/>
        </w:rPr>
        <w:t>money laundering program, report suspicious activities and transactions to FinCEN, comply with certain reporting and recordkeeping requirements, and collect and maintain information about customers.</w:t>
      </w:r>
    </w:p>
    <w:p>
      <w:pPr>
        <w:spacing w:after="0" w:line="139" w:lineRule="exact"/>
        <w:rPr>
          <w:rFonts w:ascii="Arial" w:cs="Arial" w:eastAsia="Arial" w:hAnsi="Arial"/>
          <w:sz w:val="18"/>
          <w:szCs w:val="18"/>
          <w:color w:val="auto"/>
        </w:rPr>
      </w:pPr>
    </w:p>
    <w:p>
      <w:pPr>
        <w:ind w:left="328" w:hanging="328"/>
        <w:spacing w:after="0"/>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FCPA and other applicable laws concerning or relating to public sector or private sector bribery or corruption.</w:t>
      </w:r>
    </w:p>
    <w:p>
      <w:pPr>
        <w:spacing w:after="0" w:line="171"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regulations promulgated by OFAC under the U.S. Department of the Treasury related to the administration and enforcement of trade and economic sanctions against foreign jurisdictions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08"/>
          </w:cols>
          <w:pgMar w:left="652" w:top="1440" w:right="339" w:bottom="1440" w:gutter="0" w:footer="0" w:header="0"/>
        </w:sectPr>
      </w:pPr>
    </w:p>
    <w:bookmarkStart w:id="169" w:name="page170"/>
    <w:bookmarkEnd w:id="169"/>
    <w:p>
      <w:pPr>
        <w:spacing w:after="0" w:line="139"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persons that threaten U.S. foreign policy and national security goals, primarily to prevent targeted jurisdictions and persons from accessing the U.S. financial system.</w:t>
      </w:r>
    </w:p>
    <w:p>
      <w:pPr>
        <w:spacing w:after="0" w:line="99" w:lineRule="exact"/>
        <w:rPr>
          <w:sz w:val="20"/>
          <w:szCs w:val="20"/>
          <w:color w:val="auto"/>
        </w:rPr>
      </w:pPr>
    </w:p>
    <w:p>
      <w:pPr>
        <w:jc w:val="both"/>
        <w:ind w:left="660" w:hanging="328"/>
        <w:spacing w:after="0" w:line="262"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Federal, state, and self-regulatory organization securities rules and laws, including, among others, the Securities Act, the Exchange Act,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122"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8"/>
          <w:szCs w:val="18"/>
          <w:color w:val="auto"/>
        </w:rPr>
        <w:t>We are also subject to a variety of additional laws and regulations, such as those related to real estate, property and casualty insurance, title insurance, settlement services, mobile</w:t>
      </w:r>
      <w:r>
        <w:rPr>
          <w:rFonts w:ascii="MS PGothic" w:cs="MS PGothic" w:eastAsia="MS PGothic" w:hAnsi="MS PGothic"/>
          <w:sz w:val="18"/>
          <w:szCs w:val="18"/>
          <w:color w:val="auto"/>
        </w:rPr>
        <w:t>‑</w:t>
      </w:r>
      <w:r>
        <w:rPr>
          <w:rFonts w:ascii="Arial" w:cs="Arial" w:eastAsia="Arial" w:hAnsi="Arial"/>
          <w:sz w:val="18"/>
          <w:szCs w:val="18"/>
          <w:color w:val="auto"/>
        </w:rPr>
        <w:t xml:space="preserve"> and internet</w:t>
      </w:r>
      <w:r>
        <w:rPr>
          <w:rFonts w:ascii="MS PGothic" w:cs="MS PGothic" w:eastAsia="MS PGothic" w:hAnsi="MS PGothic"/>
          <w:sz w:val="18"/>
          <w:szCs w:val="18"/>
          <w:color w:val="auto"/>
        </w:rPr>
        <w:t>‑</w:t>
      </w:r>
      <w:r>
        <w:rPr>
          <w:rFonts w:ascii="Arial" w:cs="Arial" w:eastAsia="Arial" w:hAnsi="Arial"/>
          <w:sz w:val="18"/>
          <w:szCs w:val="18"/>
          <w:color w:val="auto"/>
        </w:rPr>
        <w:t>based businesses, data security, privacy, and consumer protection. See the section titled “Risk Factors—Regulatory, Tax and Other Legal Risks” for additional information and a discussion of our regulatory risks.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71"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 data we collect, store, use, share, disclose, transmit, and otherwise process is integral to our business, serving as a key input to our operations and providing us with insights to improve our software platform and products. Our collection, use, receipt, and other processing or handling of data subjects us to numerous U.S. federal, state, and foreign laws and regulations regarding privacy, information security, and the collection, storage, sharing, use, transfer, disclosure, transmission, protection, and processing of certain types of data, including personal information and other non</w:t>
      </w:r>
      <w:r>
        <w:rPr>
          <w:rFonts w:ascii="MS PGothic" w:cs="MS PGothic" w:eastAsia="MS PGothic" w:hAnsi="MS PGothic"/>
          <w:sz w:val="18"/>
          <w:szCs w:val="18"/>
          <w:color w:val="auto"/>
        </w:rPr>
        <w:t>‑</w:t>
      </w:r>
      <w:r>
        <w:rPr>
          <w:rFonts w:ascii="Arial" w:cs="Arial" w:eastAsia="Arial" w:hAnsi="Arial"/>
          <w:sz w:val="18"/>
          <w:szCs w:val="18"/>
          <w:color w:val="auto"/>
        </w:rPr>
        <w:t>public data. These regulations include, for example, the GLBA, TCPA, FCRA, CCPA, the FTC Act, and New York’s Cybersecurity Law. We work to comply with, and to provide a platform and products that comply with, applicable laws, rules, and regulations relating to privacy, data protection, and information security. This commitment underpins our aim to build trust and provide a strong experience to customers.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Despite our efforts to comply with applicable laws, rules, regulations, and other obligations relating to privacy, data protection, and information security, it is possible that our interpretations of such laws, rules, regulations, or other actual or asserted obligations, or our practices or software platform, could be inconsistent with, or fail or be alleged to fail to meet all requirements of, such laws, rules, regulations, or obligations. Our failure, or the failure by our partners, vendors, service providers, or customers, to comply with applicable laws, rules, or regulations or any other actual or asserted obligations relating to privacy, data protection, or information security, or any compromise of security that results in unauthorized access to, use, disclosure or other processing of, personal information or other data relating to customers or other individuals, or the perception that any of the foregoing types of failure or compromise has occurred, could damage our reputation, discourage new and existing customers from using our software platform, or result in investigations or other proceedings by governmental agencies, private claims and litigation, and fines, penalties, and other liabilities. Such outcomes could adversely affect our business, financial condition, and results of operations. For additional information, see the section titled “Risk Factors—Information Technology and Data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31"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Our strong corporate culture is built upon respect for, and promotes the well </w:t>
      </w:r>
      <w:r>
        <w:rPr>
          <w:rFonts w:ascii="MS PGothic" w:cs="MS PGothic" w:eastAsia="MS PGothic" w:hAnsi="MS PGothic"/>
          <w:sz w:val="18"/>
          <w:szCs w:val="18"/>
          <w:color w:val="auto"/>
        </w:rPr>
        <w:t>‑</w:t>
      </w:r>
      <w:r>
        <w:rPr>
          <w:rFonts w:ascii="Arial" w:cs="Arial" w:eastAsia="Arial" w:hAnsi="Arial"/>
          <w:sz w:val="18"/>
          <w:szCs w:val="18"/>
          <w:color w:val="auto"/>
        </w:rPr>
        <w:t>being of, our employees, empowering them to rise to their full potential and deliver their top performance. We create this environment by placing a focus on training, developing strong teams, and creating an organized efficient workplace. We focus on the continuous education of our employees by providing opportunities for real</w:t>
      </w:r>
      <w:r>
        <w:rPr>
          <w:rFonts w:ascii="MS PGothic" w:cs="MS PGothic" w:eastAsia="MS PGothic" w:hAnsi="MS PGothic"/>
          <w:sz w:val="18"/>
          <w:szCs w:val="18"/>
          <w:color w:val="auto"/>
        </w:rPr>
        <w:t>‑</w:t>
      </w:r>
      <w:r>
        <w:rPr>
          <w:rFonts w:ascii="Arial" w:cs="Arial" w:eastAsia="Arial" w:hAnsi="Arial"/>
          <w:sz w:val="18"/>
          <w:szCs w:val="18"/>
          <w:color w:val="auto"/>
        </w:rPr>
        <w:t>time learning. We also strive to develop strong teams through our recruiting efforts, which focus on attracting hardworking individuals of diverse backgrounds and experiences. We also believe that the retention of employees who contribute to our success in measurable ways is key to sustaining our growth. We drive employee retention through our market</w:t>
      </w:r>
      <w:r>
        <w:rPr>
          <w:rFonts w:ascii="MS PGothic" w:cs="MS PGothic" w:eastAsia="MS PGothic" w:hAnsi="MS PGothic"/>
          <w:sz w:val="18"/>
          <w:szCs w:val="18"/>
          <w:color w:val="auto"/>
        </w:rPr>
        <w:t>‑</w:t>
      </w:r>
      <w:r>
        <w:rPr>
          <w:rFonts w:ascii="Arial" w:cs="Arial" w:eastAsia="Arial" w:hAnsi="Arial"/>
          <w:sz w:val="18"/>
          <w:szCs w:val="18"/>
          <w:color w:val="auto"/>
        </w:rPr>
        <w:t>based compensation philosophy and the adoption of unique employee benefits, such as mental health initiatives and financial wellness resources. We achieve workplace organization through the implementation of consistent policies and procedures that are widely communicated and reinforced regularly through training and executive leadership. In addition, our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commitment to promoting diversity and inclusion has fostered a highly collaborative and motivated workforce. We intend to continue to evaluate our human capital resources in managing our business, including the measures we employ to maintain diversity in our workforce.</w:t>
      </w:r>
    </w:p>
    <w:p>
      <w:pPr>
        <w:spacing w:after="0" w:line="59" w:lineRule="exact"/>
        <w:rPr>
          <w:sz w:val="20"/>
          <w:szCs w:val="20"/>
          <w:color w:val="auto"/>
        </w:rPr>
      </w:pPr>
    </w:p>
    <w:p>
      <w:pPr>
        <w:jc w:val="both"/>
        <w:ind w:firstLine="324"/>
        <w:spacing w:after="0" w:line="237" w:lineRule="exact"/>
        <w:rPr>
          <w:sz w:val="20"/>
          <w:szCs w:val="20"/>
          <w:color w:val="auto"/>
        </w:rPr>
      </w:pPr>
      <w:r>
        <w:rPr>
          <w:rFonts w:ascii="Arial" w:cs="Arial" w:eastAsia="Arial" w:hAnsi="Arial"/>
          <w:sz w:val="18"/>
          <w:szCs w:val="18"/>
          <w:color w:val="auto"/>
        </w:rPr>
        <w:t>As of March 31, 2025, we had approximately 560 full</w:t>
      </w:r>
      <w:r>
        <w:rPr>
          <w:rFonts w:ascii="MS PGothic" w:cs="MS PGothic" w:eastAsia="MS PGothic" w:hAnsi="MS PGothic"/>
          <w:sz w:val="18"/>
          <w:szCs w:val="18"/>
          <w:color w:val="auto"/>
        </w:rPr>
        <w:t>‑</w:t>
      </w:r>
      <w:r>
        <w:rPr>
          <w:rFonts w:ascii="Arial" w:cs="Arial" w:eastAsia="Arial" w:hAnsi="Arial"/>
          <w:sz w:val="18"/>
          <w:szCs w:val="18"/>
          <w:color w:val="auto"/>
        </w:rPr>
        <w:t>time employees.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corporate headquarters is located in New York, New York, and consists of 7,558 square feet of office space pursuant to a lease held by FT that expires in September 2025. We have additional office space in San Francisco, California pursuant to a lease held by FT, in Charlotte, North Carolina pursuant to a lease held by FL LLC, and in Reno, Nevada pursuant to a lease held by FT and FL LLC.</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All of our facilities are leased, and we do not own any real property. We believe that our existing facilities are adequate and suitable for our current needs and that, should it be needed, suitable additional or alternative space will be available.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1" w:lineRule="exact"/>
        <w:rPr>
          <w:sz w:val="20"/>
          <w:szCs w:val="20"/>
          <w:color w:val="auto"/>
        </w:rPr>
      </w:pPr>
    </w:p>
    <w:p>
      <w:pPr>
        <w:ind w:left="1200" w:right="20" w:hanging="875"/>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and the current members of our board of directors as of , 2025:</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51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Position(s)</w:t>
            </w:r>
          </w:p>
        </w:tc>
      </w:tr>
      <w:tr>
        <w:trPr>
          <w:trHeight w:val="238"/>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Michael Tannenbaum</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Macrina Kgil</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Todd Stevens</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Capital Officer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Adam Boyden</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Cagney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David Katsujin Chao</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Sachin Jaitly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June Ou</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Michael Tannenbaum</w:t>
      </w:r>
      <w:r>
        <w:rPr>
          <w:rFonts w:ascii="Arial" w:cs="Arial" w:eastAsia="Arial" w:hAnsi="Arial"/>
          <w:sz w:val="18"/>
          <w:szCs w:val="18"/>
          <w:color w:val="auto"/>
        </w:rPr>
        <w:t>. Mr. Tannenbaum has served as our Chief Executive Officer since April 2024,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since July 2024. Prior to joining Figure, Mr. Tannenbaum served as an executive at Brex, Inc., a technology and financial services company. Mr. Tannenbaum served as Brex's Chief Operating Officer from November 2021 to January 2024, and as its Chief Financial Officer and Chief Business Officer from July 2017 to November 2021. Earlier in his career, Mr. Tannenbaum held significant leadership roles at SoFi Technologies, Inc. (NASDAQ: SOFI) (“SoFi”), a financial services company, from July 2014 to July 2017, including as Chief Revenue Officer. Mr. Tannenbaum also worked at Hellman &amp; Friedman, a private equity firm, and in the investment banking division at JPMorgan Chase, a multinational investment bank and financial services company. Mr. Tannenbaum graduated </w:t>
      </w:r>
      <w:r>
        <w:rPr>
          <w:rFonts w:ascii="Arial" w:cs="Arial" w:eastAsia="Arial" w:hAnsi="Arial"/>
          <w:sz w:val="18"/>
          <w:szCs w:val="18"/>
          <w:i w:val="1"/>
          <w:iCs w:val="1"/>
          <w:color w:val="auto"/>
        </w:rPr>
        <w:t>summa cum laude</w:t>
      </w:r>
      <w:r>
        <w:rPr>
          <w:rFonts w:ascii="Arial" w:cs="Arial" w:eastAsia="Arial" w:hAnsi="Arial"/>
          <w:sz w:val="18"/>
          <w:szCs w:val="18"/>
          <w:color w:val="auto"/>
        </w:rPr>
        <w:t xml:space="preserve"> from Columbia University with a B.A. in Economics and Urban Studies.</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Mr. Tannenbaum is well-qualified to serve on our board of directors because of his experience in the financial technology industry, as well as his transactional and strategic planning experience and financial acumen.</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Macrina Kgil</w:t>
      </w:r>
      <w:r>
        <w:rPr>
          <w:rFonts w:ascii="Arial" w:cs="Arial" w:eastAsia="Arial" w:hAnsi="Arial"/>
          <w:sz w:val="18"/>
          <w:szCs w:val="18"/>
          <w:color w:val="auto"/>
        </w:rPr>
        <w:t>. Ms. Kgil has served as our Chief Financial Officer since December 2024. Prior to joining Figure, Ms. Kgil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Finance at Flow.life, a real estate technology company, which is a position she held from July 2023 to November 2024. From November 2018 to November 2022, Ms. Kgil was also the Chief Financial Officer of Blockchain.com, a digital asset financial technology company. Concurrently, from November 2018 to June 2023, Ms. Kgil served as the Chief Financial Officer of Blockchain Venture Fund, a digital asset investment fund. Ms. Kgil’s career began at PricewaterhouseCoopers, followed by leadership roles at a variety of financial services firms, including Fortress Investment Group and OneMain Financial. Ms. Kgil holds a bachelor’s degree in Mineral and Petroleum Engineering from Seoul National University.</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Todd Stevens</w:t>
      </w:r>
      <w:r>
        <w:rPr>
          <w:rFonts w:ascii="Arial" w:cs="Arial" w:eastAsia="Arial" w:hAnsi="Arial"/>
          <w:sz w:val="18"/>
          <w:szCs w:val="18"/>
          <w:color w:val="auto"/>
        </w:rPr>
        <w:t>. Mr. Stevens has served as our Chief Capital Officer since November 2023. Prior to joining Figure, Mr. Stevens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Head of Capital Markets at Inveniam Capital Partners, a web3 software infrastructure company, from April 2021 to November 2023. From June 2004 to March 2020, Mr. Stevens served at Deutsche Bank in various roles, most recently as Global Head of Key Client Partners. At Deutsche Bank, Mr. Stevens was a member of the Global Wealth Management Executive Committee and oversaw a team of more than 70 people across seven countries. Mr. Stevens began his career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PricewaterhouseCoopers. Mr. Stevens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with general honors from the University of Georgia with a B.B.A. in accounting.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Adam Boyden</w:t>
      </w:r>
      <w:r>
        <w:rPr>
          <w:rFonts w:ascii="Arial" w:cs="Arial" w:eastAsia="Arial" w:hAnsi="Arial"/>
          <w:sz w:val="18"/>
          <w:szCs w:val="18"/>
          <w:color w:val="auto"/>
        </w:rPr>
        <w:t>. Mr. Boyden has served as a member of our board of directors since March 2024. Mr. Boyden also previously served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of directors of FT. Since September 2014, Mr. Boyden has also served as a general partner of RPM Ventures, a venture capital firm. From 2012 to 2013, Mr. Boyden served as the Chief Operating Officer of SoFi. From 2008 to 2012, he served as the President of Conduit Ltd., a cloud-based user engagement platform based in Israel. From 2006 to 2008, he served as the General Manager at Xfire, Inc., an instant messaging service and server browser for video games, and from 2004 to 2006 he served as their Vice President of Marketing and Business Development. From 2002 to 2004, Mr. Boyden was the founder and CEO of Openlane, Inc., an internet-based business-to-business automotive remarketing company. Mr. Boyden also currently serves on the boards of directors of Coterie Applications, Inc., an embedded insurance company, DailyPay Holdings, Inc., an on-demand pay solution, Family First, Inc., a caregiving software platform, Overalls Inc., a concierge benefits technology platform, Ao1 Holdings Inc. (d/b/a Players Health), a youth sports data and insurance platform, and Roost, Inc., a connected home technology platform. Mr. Boyden has a bachelor’s degree in engineering science from the University of Exeter and an M.B.A. from Stanford University’s Graduate School of Business.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Mr. Boyden is qualified to serve on our board of directors because of his extensive experience in the venture capital industry and as a founder and executive officer of technology companies.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Michael Cagney</w:t>
      </w:r>
      <w:r>
        <w:rPr>
          <w:rFonts w:ascii="Arial" w:cs="Arial" w:eastAsia="Arial" w:hAnsi="Arial"/>
          <w:sz w:val="18"/>
          <w:szCs w:val="18"/>
          <w:color w:val="auto"/>
        </w:rPr>
        <w:t>. Mr. Cagney has served as a member of our board of directors since March 2024. Mr. Cagney is one of our co-founders.</w:t>
      </w:r>
      <w:r>
        <w:rPr>
          <w:rFonts w:ascii="Arial" w:cs="Arial" w:eastAsia="Arial" w:hAnsi="Arial"/>
          <w:sz w:val="18"/>
          <w:szCs w:val="18"/>
          <w:i w:val="1"/>
          <w:iCs w:val="1"/>
          <w:color w:val="auto"/>
        </w:rPr>
        <w:t xml:space="preserve"> </w:t>
      </w:r>
      <w:r>
        <w:rPr>
          <w:rFonts w:ascii="Arial" w:cs="Arial" w:eastAsia="Arial" w:hAnsi="Arial"/>
          <w:sz w:val="18"/>
          <w:szCs w:val="18"/>
          <w:color w:val="auto"/>
        </w:rPr>
        <w:t>Mr. Cagney also serves as the Chief Executive Officer of FMH, a position he has held since April 2024, and as the President of Figure REIT, Inc. (“Figure REIT”), a position he has held since October 2020. He is also a member of the board of directors of various of our subsidiaries. From January 2018 to March 2024, Mr. Cagney served as the Chief Executive Officer and as a member of the board of directors of FT. Mr. Cagney also served as Chief Executive Officer and President of FLC from January 2018 to July 2024. From 2011 to 2017, Mr. Cagney served as Chief Executive Officer and Chairman of the Board of SoFi, a technology and financial services company. Mr. Cagney’s career began at Wells Fargo, followed by founding roles at Finaplex, a wealth management software company, and Cabezon Investment Group, a global macro hedge fund. His significant contributions to the financial industry, particularly in leveraging blockchain technology, have garnered widespread recognition and accolades in professional circles and notable publications. Mr. Cagney holds a B.A. in Economics and an M.S. in Applied Economics and Finance from the University of California, Santa Cruz, and an M.S. in Management from Stanford University’s Graduate School of Business.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Mr. Cagney’s significant experience in financial services and technology, public and private market investment experience, financial acumen, and industry ties make him uniquely qualified to serve on our board of directors.</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David Katsujin Chao</w:t>
      </w:r>
      <w:r>
        <w:rPr>
          <w:rFonts w:ascii="Arial" w:cs="Arial" w:eastAsia="Arial" w:hAnsi="Arial"/>
          <w:sz w:val="18"/>
          <w:szCs w:val="18"/>
          <w:color w:val="auto"/>
        </w:rPr>
        <w:t>. Mr. Chao has served as a member of our board of directors since March 2024. Mr. Chao also previously served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FMH and FT. Mr. Chao has served as the General Partner at DCM Ventures, a global venture capital firm which he co-founded, since January 1996. At DCM Ventures, Mr. Chao specializes in guiding portfolio companies in developing their corporate and product marketing strategies, building management teams, and forging domestic and international partnerships. Prior to DCM Ventures, Mr. Chao was a co-founder and acting Chief Financial Officer and Chief Technology Officer of Japan Communications Inc. (TSE: 9424), Japan’s first mobile virtual network operator. Earlier in his career, Mr. Chao worked as a consultant at McKinsey &amp; Company and held significant leadership roles at Apple and Recruit, Japan’s largest HR infomediary corporation. Mr. Chao has served as a member of the board of directors of FT since July 2018. He also currently serves as a member of the board of directors of SoftBank Group (TSE: 9984). Mr. Chao has been recognized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leading venture capitalist by Forbes Magazine and named to the Forbes Midas List Hall of Fame in 2016. He holds a B.A. from Brown University and an M.B.A. from Stanford University’s Graduate School of Business.</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We believe that Mr. Chao is qualified to serve on our board of directors because of his experience in the lending, financial technology and blockchain technology industries, as well as his substantial transactional experience and his background in investment oversight.</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Sachin Jaitly</w:t>
      </w:r>
      <w:r>
        <w:rPr>
          <w:rFonts w:ascii="Arial" w:cs="Arial" w:eastAsia="Arial" w:hAnsi="Arial"/>
          <w:sz w:val="18"/>
          <w:szCs w:val="18"/>
          <w:color w:val="auto"/>
        </w:rPr>
        <w:t>. Dr. Jaitly has served as a member of our board of directors since March 2024. Dr. Jaitly also currently serves on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of Figure Assets LLC and FMH and previously served as a member of the board of directors of FT. Since April 2021, Dr. Jaitly has also served as the founding General Partner of Morgan Creek Digital, a venture capital fund focused on web3 technologies. Since January 2018, he has also served as founding Managing Partner of Tessera Venture Partners (“Tessera”), a venture capital fund focused on Blockchain and AI. Prior to Tessera, Dr. Jaitly led partnership and business development at Datalogix Holdings Inc. (“Datalogix”). Earlier in his career, Dr. Jaitly held various leadership roles at The Neat Company, flexEngage, Inc. (“flexEngage”), and Nokia Corporation (“Nokia”). Dr. Jaitly was also the co-founder of flexEngage and participated in its acquisition by Klarna Holding AB, the acquisition of Nokia by Microsoft Corporation, and the acquisition of Datalogix by Oracle Corp. Dr. Jaitly holds a bachelor’s degree in International Business and an M.B.A. in Finance and Management from Rollins College. He also holds an Executive Education Certificate in Blockchain Technologies, Business Innovation and Application from the Massachusetts Institute of Technology and a Doctor of Business Administration in Finance from the University of Florida.</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Dr. Jaitly is qualified to serve on our board of directors because of his experience in the financial technology and blockchain technology industries, as well as his background in investment oversight.</w:t>
      </w:r>
    </w:p>
    <w:p>
      <w:pPr>
        <w:spacing w:after="0" w:line="9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June Ou</w:t>
      </w:r>
      <w:r>
        <w:rPr>
          <w:rFonts w:ascii="Arial" w:cs="Arial" w:eastAsia="Arial" w:hAnsi="Arial"/>
          <w:sz w:val="18"/>
          <w:szCs w:val="18"/>
          <w:color w:val="auto"/>
        </w:rPr>
        <w:t>. Ms. Ou has served as a member of our board of directors since January 2025. Ms. Ou is one of our co-founders. She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President of Figure Markets, Inc., a position she has held since May 2023, and previously served as President of FT from November 2022 to March 2024, overseeing the firm’s operations and strategic direction. Ms. Ou has deep experience in the financial technology industry, having served as the Chief Operating Officer of FT from January 2018 to November 2022 and as the Chief Technology Officer of SoFi from 2012 to 2017. Ms. Ou previously served as Chief Executive Officer of CCO Solutions, a provider of outsourced solutions to the hedge fund industry, and as Vice President of Engineering at Finaplex, Inc., a developer of financial services software. Ms. Ou holds an M.A. in International Relations from the University of Delaware, an M.S. in Applied Economics from the University of California, Santa Cruz, and an M.S. from Stanford University’s Graduate School of Business, where she was a Sloan Fellow.</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believe that Ms. Ou is qualified to serve on our board of directors because of her significant experience in lending, financial technology, and blockchain-related business, as well as her deep experience in technology and development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Cagney and Ms. Ou are husband and wife. There are no other family relationships among any of our executive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board of directors intends to adopt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Following this offering, the full text of our code of business conduct and ethics will be posted on the investor relations page on our website at </w:t>
      </w:r>
      <w:r>
        <w:rPr>
          <w:rFonts w:ascii="Arial" w:cs="Arial" w:eastAsia="Arial" w:hAnsi="Arial"/>
          <w:sz w:val="18"/>
          <w:szCs w:val="18"/>
          <w:i w:val="1"/>
          <w:iCs w:val="1"/>
          <w:color w:val="auto"/>
        </w:rPr>
        <w:t>https://www.figure.com</w:t>
      </w:r>
      <w:r>
        <w:rPr>
          <w:rFonts w:ascii="Arial" w:cs="Arial" w:eastAsia="Arial" w:hAnsi="Arial"/>
          <w:sz w:val="18"/>
          <w:szCs w:val="18"/>
          <w:color w:val="auto"/>
        </w:rPr>
        <w:t>. We intend to disclose any amendments to our code of business conduct and ethics, or waivers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requirements, applicable to our principal executive officer, principal financial officer, principal accounting officer or controller, or persons performing similar functions, on our website identified above, or in filings under the Exchange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ind w:right="980" w:firstLine="324"/>
        <w:spacing w:after="0" w:line="28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will consist of directors prior to the consummation of this offering.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their background, employment, and affiliations, our board of directors has determined that , representing of our directors, do not have a relationship that would interfere with the exercise of independent judgment in carrying out the responsibilities of a director and that each of these directors is an “independent director” as defined under the listing standards of .</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Upon the completion of this offering, Michael Cagney, our co-founder and member of our board of directors, will continue to control a majority of the voting power represented by our capital stock. As a result, we will be a “controlled company” within the meaning of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corporate governance rules of . Under these corporate governance rules, a company of which more than 50% of the voting power for the election of directors is held by an individual, a group or another company is a “controlled company” and may elect not to comply with certain corporate governance requirements. We intend to rely on the foregoing exemptions provided to controlled companies under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corporate governance rules of . Therefore, immediately following the consummation of this offering, we may not have a majority of independent directors on our board of directors, an entirely independent nominating and corporate governance committee or an entirely independent compensation committee, and may not perform annual performance evaluations of the nominating and corporate governance committee and compensation committee unless and until such time as we are required to do so. Accordingly, you may not have the same protections afforded to stockholders of companies that are subject to all of these corporate governance requirements. If we cease to be a</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“controlled company” and our shares continue to be listed on , we will be required to comply with these provisions within the applicable transition periods. For additional information, see the section titled “Risk Factors—Risks Related to Ownership of Our Securities—</w:t>
      </w:r>
    </w:p>
    <w:p>
      <w:pPr>
        <w:spacing w:after="0" w:line="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We have elected to take advantage of the ’controlled company’ exemption to the corporate governance rules for -listed companies, which could make our Class A common stock less attractive to some investors or otherwise adversely affect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 earlier of their resignation or removal by our board of directors in its discretion.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audit committee will be</w:t>
      </w:r>
    </w:p>
    <w:p>
      <w:pPr>
        <w:spacing w:after="0" w:line="27" w:lineRule="exact"/>
        <w:rPr>
          <w:sz w:val="20"/>
          <w:szCs w:val="20"/>
          <w:color w:val="auto"/>
        </w:rPr>
      </w:pPr>
    </w:p>
    <w:p>
      <w:pPr>
        <w:ind w:left="760"/>
        <w:spacing w:after="0"/>
        <w:tabs>
          <w:tab w:leader="none" w:pos="1940" w:val="left"/>
          <w:tab w:leader="none" w:pos="3200" w:val="left"/>
        </w:tabs>
        <w:rPr>
          <w:sz w:val="20"/>
          <w:szCs w:val="20"/>
          <w:color w:val="auto"/>
        </w:rPr>
      </w:pP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7"/>
          <w:szCs w:val="17"/>
          <w:color w:val="auto"/>
        </w:rPr>
        <w:t>serving as chairperson,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9" w:lineRule="exact"/>
        <w:rPr>
          <w:sz w:val="20"/>
          <w:szCs w:val="20"/>
          <w:color w:val="auto"/>
        </w:rPr>
      </w:pPr>
    </w:p>
    <w:p>
      <w:pPr>
        <w:jc w:val="both"/>
        <w:ind w:left="840" w:hanging="826"/>
        <w:spacing w:after="0" w:line="260" w:lineRule="auto"/>
        <w:rPr>
          <w:sz w:val="20"/>
          <w:szCs w:val="20"/>
          <w:color w:val="auto"/>
        </w:rPr>
      </w:pPr>
      <w:r>
        <w:rPr>
          <w:rFonts w:ascii="Arial" w:cs="Arial" w:eastAsia="Arial" w:hAnsi="Arial"/>
          <w:sz w:val="18"/>
          <w:szCs w:val="18"/>
          <w:color w:val="auto"/>
        </w:rPr>
        <w:t>each of whom meets the requirements for independence under the rules and regulations of the SEC and the listing standards of applicable to audit committee members. Each member of our audit committee also meets the financial literacy requirements of the</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listing standards of . In addition, our board of directors has determined that is an audit committee financial expert within the meaning of Item 407(d) of Regulation S-K under the Securities Act. Following completion of this offering, our audit committee will, among other things:</w:t>
      </w:r>
    </w:p>
    <w:p>
      <w:pPr>
        <w:spacing w:after="0" w:line="337"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evaluate the independence and qualifications of our independent registered public accounting firm;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our financial statements, and discuss with management and our independent registered public accounting firm the results of the annual audit and the quarterly reviews;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quality and adequacy of our internal controls and our disclosure controls and procedures;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discuss with management our procedures regarding the presentation of our financial information, and review earnings press releases and guidance;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jc w:val="both"/>
        <w:ind w:left="660" w:hanging="328"/>
        <w:spacing w:after="0" w:line="318"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75" w:lineRule="exact"/>
        <w:rPr>
          <w:rFonts w:ascii="Arial" w:cs="Arial" w:eastAsia="Arial" w:hAnsi="Arial"/>
          <w:sz w:val="17"/>
          <w:szCs w:val="17"/>
          <w:color w:val="auto"/>
        </w:rPr>
      </w:pPr>
    </w:p>
    <w:p>
      <w:pPr>
        <w:ind w:left="66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auditor the adequacy and effectiveness of our legal, regulatory, and ethical compliance programs; and</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auditor our guidelines and policies to identify, monitor, and address enterprise risks.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 will operate under a written charter, to be effective upon the effectiveness of the registration statement of which this</w:t>
      </w:r>
    </w:p>
    <w:p>
      <w:pPr>
        <w:spacing w:after="0" w:line="27" w:lineRule="exact"/>
        <w:rPr>
          <w:sz w:val="20"/>
          <w:szCs w:val="20"/>
          <w:color w:val="auto"/>
        </w:rPr>
      </w:pPr>
    </w:p>
    <w:p>
      <w:pPr>
        <w:spacing w:after="0"/>
        <w:tabs>
          <w:tab w:leader="none" w:pos="9780" w:val="left"/>
        </w:tabs>
        <w:rPr>
          <w:sz w:val="20"/>
          <w:szCs w:val="20"/>
          <w:color w:val="auto"/>
        </w:rPr>
      </w:pPr>
      <w:r>
        <w:rPr>
          <w:rFonts w:ascii="Arial" w:cs="Arial" w:eastAsia="Arial" w:hAnsi="Arial"/>
          <w:sz w:val="18"/>
          <w:szCs w:val="18"/>
          <w:color w:val="auto"/>
        </w:rPr>
        <w:t>prospectus forms a part, that satisfies the applicable rules and regulations of the SEC and the listing standards of</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 committee</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will be , and , with serving as chairperson. The composition of our compensation committee will meet the requirements for independence under the rules and regulations of the SEC and the listing standards of , including ’s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controlled company exemption. Each member of our compensation committee is also a non-employee director, as defined pursuant to Rule 16b-3 promulgated under the Exchange Act. Following completion of this offering, our compensation committee will, among other things:</w:t>
      </w:r>
    </w:p>
    <w:p>
      <w:pPr>
        <w:spacing w:after="0" w:line="117" w:lineRule="exact"/>
        <w:rPr>
          <w:sz w:val="20"/>
          <w:szCs w:val="20"/>
          <w:color w:val="auto"/>
        </w:rPr>
      </w:pPr>
    </w:p>
    <w:p>
      <w:pPr>
        <w:ind w:left="660" w:hanging="328"/>
        <w:spacing w:after="0" w:line="28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approve or make recommendations to our board of directors regarding the compensation for our executive officers, including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approve, and administer our employee benefit and equity incentive plans;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our employees, and ensure that they are consistent with our general compensation strategy;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determine or make recommendations to our board of directors regarding non-employee director compensation;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 or make recommendations to our board of directors regarding the creation or revision of any clawback policy.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committee will operate under a written charter, to be effective upon the effectiveness of the registration statement of</w:t>
      </w:r>
    </w:p>
    <w:p>
      <w:pPr>
        <w:spacing w:after="0" w:line="27" w:lineRule="exact"/>
        <w:rPr>
          <w:sz w:val="20"/>
          <w:szCs w:val="20"/>
          <w:color w:val="auto"/>
        </w:rPr>
      </w:pPr>
    </w:p>
    <w:p>
      <w:pPr>
        <w:spacing w:after="0"/>
        <w:tabs>
          <w:tab w:leader="none" w:pos="10620" w:val="left"/>
        </w:tabs>
        <w:rPr>
          <w:sz w:val="20"/>
          <w:szCs w:val="20"/>
          <w:color w:val="auto"/>
        </w:rPr>
      </w:pPr>
      <w:r>
        <w:rPr>
          <w:rFonts w:ascii="Arial" w:cs="Arial" w:eastAsia="Arial" w:hAnsi="Arial"/>
          <w:sz w:val="18"/>
          <w:szCs w:val="18"/>
          <w:color w:val="auto"/>
        </w:rPr>
        <w:t>which this prospectus forms a part, that satisfies the applicable rules and regulations of the SEC and the listing standards of</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effectiveness of the registration statement of which this prospectus forms a part, the members of our nominating and corporate</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governance committee will be , and , with serving as chairperson. The composition of our nominating and corporate governance committee will meet the requirements for independence under the listing standards of , including ’s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controlled company exemption. Following completion of this offering, our nominating and corporate governance committee will, among other things:</w:t>
      </w:r>
    </w:p>
    <w:p>
      <w:pPr>
        <w:spacing w:after="0" w:line="117" w:lineRule="exact"/>
        <w:rPr>
          <w:sz w:val="20"/>
          <w:szCs w:val="20"/>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and assess and make recommendations to our board of directors regarding desired qualifications, expertise, and characteristics sought of board members;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identify, evaluate, select, or make recommendations to our board of directors regarding nominees for election to our board of directors;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our succession planning process for our chief executive officer and any other members of our executive management team;</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the composition, organization, and governance our board of directors and its committees;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and make recommendations to our board directors regarding our corporate governance guidelines and corporate governance framework;</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the evaluation of the performance of our board of directors and its committees;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and monitor compliance with our code of business conduct and ethics, and review conflicts of interest of our board members and officers other than related party transactions reviewed by our audit committee; and</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our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 will operate under a written charter, to be effective upon the effectiveness of the</w:t>
      </w:r>
    </w:p>
    <w:p>
      <w:pPr>
        <w:spacing w:after="0" w:line="27" w:lineRule="exact"/>
        <w:rPr>
          <w:sz w:val="20"/>
          <w:szCs w:val="20"/>
          <w:color w:val="auto"/>
        </w:rPr>
      </w:pPr>
    </w:p>
    <w:p>
      <w:pPr>
        <w:spacing w:after="0"/>
        <w:tabs>
          <w:tab w:leader="none" w:pos="9300" w:val="left"/>
        </w:tabs>
        <w:rPr>
          <w:sz w:val="20"/>
          <w:szCs w:val="20"/>
          <w:color w:val="auto"/>
        </w:rPr>
      </w:pPr>
      <w:r>
        <w:rPr>
          <w:rFonts w:ascii="Arial" w:cs="Arial" w:eastAsia="Arial" w:hAnsi="Arial"/>
          <w:sz w:val="18"/>
          <w:szCs w:val="18"/>
          <w:color w:val="auto"/>
        </w:rPr>
        <w:t>registration statement of which this prospectus forms a part, that satisfies the applicable listing standards of</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1" w:lineRule="exact"/>
        <w:rPr>
          <w:sz w:val="20"/>
          <w:szCs w:val="20"/>
          <w:color w:val="auto"/>
        </w:rPr>
      </w:pPr>
    </w:p>
    <w:p>
      <w:pPr>
        <w:ind w:left="340"/>
        <w:spacing w:after="0"/>
        <w:tabs>
          <w:tab w:leader="none" w:pos="5240" w:val="left"/>
          <w:tab w:leader="none" w:pos="640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None of the members of our compensation committee is or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No compensation was provided to our non-employee directors for the year ended December 31, 2024. Directors who are also our employees generally receive no additional compensation for their service as directors, though information about an equity award received by Mr. Cagney in 2024 is included in “Transactions with Executive Officers and Directors.” The compensation received by Mr. Tannenbaum as an executive officer is set forth in the section titled “Executive Compensation.”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directors as of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4"/>
        </w:trPr>
        <w:tc>
          <w:tcPr>
            <w:tcW w:w="9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89"/>
        </w:trPr>
        <w:tc>
          <w:tcPr>
            <w:tcW w:w="968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Michael Cagney</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4,559,904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for service as directors. We anticipate adopting a formal compensation policy for our non-employee directors, which will govern their cash and equity compensation following the completion of this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the fullest extent permitted by NRS Chapter 78, our directors and officers are not individually liable to us or any of our stockholders or creditors for any damages for breaches of fiduciary duties as a director or officer. Under Nevada law, unless otherwise provided in the articles of incorporation or pursuant to certain statutory exceptions, a director or officer is not individually liable for damages as a result of any act or failure to act in his or her capacity as a director or officer unless the statutory presumption established under NRS 78.138(3) (that such person, in deciding upon matters of business, acted in good faith, on an informed basis and with a view to the interests of the corporation) has been rebutted, and it is proven both that the act or failure to act constituted a breach of a fiduciary duty as a director or officer and that such breach involved intentional misconduct, fraud or a knowing violation of law.</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amended and restated articles of incorporation will include a provision that eliminates the individual liability of our directors and officers to the fullest extent permitted under Nevada law.</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our amended and restated articles of incorporation and amended and restated bylaws will provide that we will indemnify our directors and officers to the fullest extent permitted by law. We will also be expressly required to advance certain expenses to our directors and officers and carry directors’ and officers’ insurance providing indemnification for our directors and officers for certain liabilities, provided that such advancement is made upon receipt of an undertaking by the director or officer to repay the amounts advanced if it should be ultimately determined that the director or officer is not entitled to indemnification.</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Prior to consummation of this offering, we intend to enter into separate indemnification agreements with each of our directors and executive officers. See “Certain Relationships and Related Party Transactions—Indemnification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We believe that these provisions of our articles of incorporation and Nevada law, indemnification agreements, as well as our maintaining directors’ and officers’ liability insurance, help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As an emerging growth company, we have elected to take advantage of exemptions from various reporting requirements that are applicable to public companies that are not emerging growth companies, including reduced disclosure obligations regarding executive compensation in this prospectus and, while an emerging growth company, our future periodic reports and proxy.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2024, our “named executive officers” (or “NEOs”) and their positions were as follows:</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Michael Tannenbaum, who serves as Chief Executive Officer and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Macrina Kgil, who has served as Chief Financial Officer since December 2, 2024;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Todd Stevens, who serves as Chief Capital Officer.</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As we transition from a private company to a publicly traded company, we intend to evaluate our compensation philosophy and plans and arrangements as circumstances require. Actual compensation programs that we adopt following the completion of this offering may differ materially from the currently planned programs summarized in this discussion.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 ended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Awards ($)</w:t>
            </w: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Incentive Plan</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18"/>
                <w:szCs w:val="18"/>
                <w:b w:val="1"/>
                <w:bCs w:val="1"/>
                <w:color w:val="auto"/>
                <w:vertAlign w:val="superscript"/>
              </w:rPr>
              <w:t>(1)</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(2)</w:t>
            </w:r>
          </w:p>
        </w:tc>
        <w:tc>
          <w:tcPr>
            <w:tcW w:w="128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Compensation ($)</w:t>
            </w:r>
          </w:p>
        </w:tc>
        <w:tc>
          <w:tcPr>
            <w:tcW w:w="138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tcPr>
          <w:p>
            <w:pPr>
              <w:jc w:val="right"/>
              <w:ind w:right="468"/>
              <w:spacing w:after="0"/>
              <w:rPr>
                <w:sz w:val="20"/>
                <w:szCs w:val="20"/>
                <w:color w:val="auto"/>
              </w:rPr>
            </w:pPr>
            <w:r>
              <w:rPr>
                <w:rFonts w:ascii="Arial" w:cs="Arial" w:eastAsia="Arial" w:hAnsi="Arial"/>
                <w:sz w:val="9"/>
                <w:szCs w:val="9"/>
                <w:b w:val="1"/>
                <w:bCs w:val="1"/>
                <w:color w:val="auto"/>
              </w:rPr>
              <w:t>(3)</w:t>
            </w:r>
          </w:p>
        </w:tc>
        <w:tc>
          <w:tcPr>
            <w:tcW w:w="80" w:type="dxa"/>
            <w:vAlign w:val="bottom"/>
          </w:tcPr>
          <w:p>
            <w:pPr>
              <w:spacing w:after="0"/>
              <w:rPr>
                <w:sz w:val="12"/>
                <w:szCs w:val="12"/>
                <w:color w:val="auto"/>
              </w:rPr>
            </w:pPr>
          </w:p>
        </w:tc>
        <w:tc>
          <w:tcPr>
            <w:tcW w:w="1220" w:type="dxa"/>
            <w:vAlign w:val="bottom"/>
          </w:tcPr>
          <w:p>
            <w:pPr>
              <w:jc w:val="right"/>
              <w:ind w:right="390"/>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7"/>
                <w:szCs w:val="7"/>
                <w:b w:val="1"/>
                <w:bCs w:val="1"/>
                <w:color w:val="auto"/>
              </w:rPr>
              <w:t>(3)</w:t>
            </w:r>
          </w:p>
        </w:tc>
        <w:tc>
          <w:tcPr>
            <w:tcW w:w="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Michael Tannenbaum</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252,084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259,615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22,111,027</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14,450,153</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37,072,879</w:t>
            </w:r>
          </w:p>
        </w:tc>
        <w:tc>
          <w:tcPr>
            <w:tcW w:w="0" w:type="dxa"/>
            <w:vAlign w:val="bottom"/>
          </w:tcPr>
          <w:p>
            <w:pPr>
              <w:spacing w:after="0"/>
              <w:rPr>
                <w:sz w:val="1"/>
                <w:szCs w:val="1"/>
                <w:color w:val="auto"/>
              </w:rPr>
            </w:pPr>
          </w:p>
        </w:tc>
      </w:tr>
      <w:tr>
        <w:trPr>
          <w:trHeight w:val="165"/>
        </w:trPr>
        <w:tc>
          <w:tcPr>
            <w:tcW w:w="25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i w:val="1"/>
                <w:iCs w:val="1"/>
                <w:color w:val="auto"/>
              </w:rPr>
              <w:t>Chief Executive Officer and</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Director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20"/>
              <w:spacing w:after="0"/>
              <w:rPr>
                <w:sz w:val="20"/>
                <w:szCs w:val="20"/>
                <w:color w:val="auto"/>
              </w:rPr>
            </w:pPr>
            <w:r>
              <w:rPr>
                <w:rFonts w:ascii="Arial" w:cs="Arial" w:eastAsia="Arial" w:hAnsi="Arial"/>
                <w:sz w:val="16"/>
                <w:szCs w:val="16"/>
                <w:color w:val="auto"/>
              </w:rPr>
              <w:t>Macrina Kgil</w:t>
            </w:r>
            <w:r>
              <w:rPr>
                <w:rFonts w:ascii="Arial" w:cs="Arial" w:eastAsia="Arial" w:hAnsi="Arial"/>
                <w:sz w:val="21"/>
                <w:szCs w:val="21"/>
                <w:color w:val="auto"/>
                <w:vertAlign w:val="superscript"/>
              </w:rPr>
              <w:t>(5)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27,501</w:t>
            </w:r>
          </w:p>
        </w:tc>
        <w:tc>
          <w:tcPr>
            <w:tcW w:w="1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
              <w:spacing w:after="0"/>
              <w:rPr>
                <w:sz w:val="20"/>
                <w:szCs w:val="20"/>
                <w:color w:val="auto"/>
              </w:rPr>
            </w:pPr>
            <w:r>
              <w:rPr>
                <w:rFonts w:ascii="Arial" w:cs="Arial" w:eastAsia="Arial" w:hAnsi="Arial"/>
                <w:sz w:val="16"/>
                <w:szCs w:val="16"/>
                <w:color w:val="auto"/>
              </w:rPr>
              <w:t>3,253,500</w:t>
            </w:r>
          </w:p>
        </w:tc>
        <w:tc>
          <w:tcPr>
            <w:tcW w:w="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6"/>
                <w:szCs w:val="16"/>
                <w:color w:val="auto"/>
              </w:rPr>
              <w:t>1,971,000</w:t>
            </w:r>
          </w:p>
        </w:tc>
        <w:tc>
          <w:tcPr>
            <w:tcW w:w="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5,252,001</w:t>
            </w: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Todd Stevens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309,375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2,952,250</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1,788,500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151,547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5,201,672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Chief Capital Officer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2" w:lineRule="exact"/>
        <w:rPr>
          <w:sz w:val="20"/>
          <w:szCs w:val="20"/>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reflect the base salary actually paid to each executive for 2024.</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the guaranteed bonuses payable to Mr. Tannenbaum pursuant to his offer letter.</w:t>
      </w:r>
    </w:p>
    <w:p>
      <w:pPr>
        <w:spacing w:after="0" w:line="8" w:lineRule="exact"/>
        <w:rPr>
          <w:rFonts w:ascii="Arial" w:cs="Arial" w:eastAsia="Arial" w:hAnsi="Arial"/>
          <w:sz w:val="16"/>
          <w:szCs w:val="16"/>
          <w:color w:val="auto"/>
        </w:rPr>
      </w:pPr>
    </w:p>
    <w:p>
      <w:pPr>
        <w:jc w:val="both"/>
        <w:ind w:left="340" w:hanging="332"/>
        <w:spacing w:after="0" w:line="254"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restricted stock unit awards and stock options granted during 2024 computed in accordance with ASC Topic 718, rather than the amounts paid to or realized by the named individual. The restricted stock units are subject to both service-based and liquidity event-based vesting conditions. We provide information regarding the assumptions used to calculate the value of all stock awards and option awards made to executive officers in Note 7 to our audited consolidated financial statements included elsewhere in this prospectus.</w:t>
      </w: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Amounts reflect quarterly performance-based bonuses that were earned by our NEOs based on performance during fiscal year 2024.</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Ms. Kgil commenced employment with us on December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17" w:right="339" w:bottom="1440" w:gutter="0" w:footer="0" w:header="0"/>
        </w:sectPr>
      </w:pPr>
    </w:p>
    <w:bookmarkStart w:id="180" w:name="page181"/>
    <w:bookmarkEnd w:id="180"/>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2024 Salaries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Our NEOs receive a base salary to compensate them for services rendered to our company. The base salary payable to each NEO is intended to provide a fixed component of compensation reflecting the executive’s skill set, experience, role and responsibilities. For fiscal year 2024, the annual base salaries for Mr. Tannenbaum, Ms. Kgil and Mr. Stevens were as follows: $375,000, $450,000 and $350,000, respectively.</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board of directors may, from time to time, adjust base salaries in their discretion. Effective April 26, 2025, Mr. Tannenbaum’s annual base salary was increased to $450,000.</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2024 Bonuses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a quarterly performance-based bonus program in which Mr. Tannenbaum and Mr. Stevens participated during fiscal year 2024. Ms. Kgil was not eligible to receive a 2024 bonus due to her commencement of employment in December 2024. Under the performance-based bonus program, each applicable NEO’s target bonus amount is expressed as a percentage of quarterly base salary. For fiscal year 2024, the target quarterly bonus amount for Messrs. Tannenbaum and Stevens was 100% and 50%, respectively. In addition, pursuant to his offer letter, Mr. Tannenbaum was entitled to guaranteed quarterly bonus payments as described below under “Executive Compensation Arrangements—Michael Tannenbaum.”</w:t>
      </w:r>
    </w:p>
    <w:p>
      <w:pPr>
        <w:spacing w:after="0" w:line="12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Prior to each quarterly bonus period, participants may elect to receive bonus payments earned for such quarterly bonus period in the form of cash or fully vested shares of common stock. No named executive officers elected to receive their bonus in the form of shares with respect to 2024.</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fiscal year 2024, under our quarterly performance-based bonus program, bonus amounts earned were based on achievement of certain quarterly company qualitative and quantitative metrics relating to our strategic and operational goals. The goals established for our NEOs under our 2024 bonus program were solely based on Company performance rather than individual performance. The performance metrics for each quarter are proposed by members of management and approved by our Chief Executive Officer. At the end of each quarter, a designated member of our board of directors approves the level of achievement for each performance metric. For fiscal year 2024, the company performance goals for the first quarter, second quarter, third quarter and fourth quarter were achieved at 100%, 100% , 100% and 85%, respectively. Effective April 1, 2025, Mr. Stevens’ target quarterly bonus amount was increased to 100% of his quarterly base salary.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have historically granted stock options and RSUs to our employees, including our NEOs, to attract and retain them, as well as to align their interests with the interests of our stockholders.</w:t>
      </w:r>
    </w:p>
    <w:p>
      <w:pPr>
        <w:spacing w:after="0" w:line="99"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8"/>
          <w:szCs w:val="18"/>
          <w:color w:val="auto"/>
        </w:rPr>
        <w:t>Typically, stock options granted to our employees are intended to qualify as “incentive stock options” to the extent permitted under the Code, though we also grant non-qualified stock options where determined appropriate. The stock options granted to our NEOs are subject to time-based vesting as follows: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 vest on the first anniversary of the vesting commencement date,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 vest monthly thereafter, subject to the executive’s continued employment through the applicable vesting dates.</w:t>
      </w:r>
    </w:p>
    <w:p>
      <w:pPr>
        <w:spacing w:after="0" w:line="1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2024, we granted option awards covering the following number of shares to Mr. Tannenbaum, Ms. Kgil and Mr. Stevens: 4,587,350, 675,000 and 612,500, respectively. All options granted to our NEOs in 2024 have an exercise price of $4.82 per share.</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RSUs granted to certain of our NEOs vest based on the satisfaction of both a service-based vesting condition and a liquidity event-based vesting condition. The service-based vesting condition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1" w:name="page182"/>
    <w:bookmarkEnd w:id="181"/>
    <w:p>
      <w:pPr>
        <w:jc w:val="both"/>
        <w:spacing w:after="0" w:line="226" w:lineRule="auto"/>
        <w:rPr>
          <w:sz w:val="20"/>
          <w:szCs w:val="20"/>
          <w:color w:val="auto"/>
        </w:rPr>
      </w:pPr>
      <w:r>
        <w:rPr>
          <w:rFonts w:ascii="Arial" w:cs="Arial" w:eastAsia="Arial" w:hAnsi="Arial"/>
          <w:sz w:val="18"/>
          <w:szCs w:val="18"/>
          <w:color w:val="auto"/>
        </w:rPr>
        <w:t>satisfied as follows: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RSUs vest on the first anniversary of the applicable vesting commencement date, and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RSUs vest in quarterly installments thereafter. The liquidity event-based vesting condition is satisfied upon the occurrence of (i) an initial public offering or SPAC transaction or (ii) a change in control prior to the seventh anniversary of the grant date. This offering will constitute a liquidity event for purposes of the RSUs.</w:t>
      </w:r>
    </w:p>
    <w:p>
      <w:pPr>
        <w:spacing w:after="0" w:line="1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2024, we granted RSU awards covering the following number of shares to Mr. Tannenbaum, Ms. Kgil and Mr. Stevens: 4,587,350, 675,000 and 612,500, respectively.</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currently maintain the Figure Technologies, Inc. 2018 Incentive Plan (the “2018 Plan”) in order to attract, retain, motivate and reward employees, non-employee directors and key consultants to our company and our subsidiaries. For additional information about the 2018 Plan, please see the section titled “Equity Compensation Plans—2018 Equity Incentive Plan” below.</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this offering, we intend to adopt the 2025 Incentive Award Plan (the “2025 Plan”) in order to facilitate the grant of cash and equity incentives to directors, employees (including our named executive officers) and consultants of our company and to enable our company to obtain and retain services of these individuals. Following the effective date of the 2025 Plan, we will not make any further grants under our 2018 Plan. However, the 2018 Plan will continue to govern the terms and conditions of the outstanding awards granted thereunder. For additional information about the 2025 Plan, please see “Incentive Compensation Plans—2025 Incentive Award Plan” below.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Retirement Plan</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maintain a 401(k) retirement savings plan (the “401(k)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Employee Benefits and Perquisites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employees, including our named executive officers, are eligible to participate in our health and welfare plans, including:</w:t>
      </w:r>
    </w:p>
    <w:p>
      <w:pPr>
        <w:spacing w:after="0" w:line="153"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did not provide any perquisites or special personal benefits to our named executive officers in fiscal year 2024, but our compensation committee may from time to time approve them in the future when our compensation committee determines that such perquisites are necessary or advisable to fairly compensate or incentivize our employees.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 Tax Gross-ups</w:t>
      </w:r>
    </w:p>
    <w:p>
      <w:pPr>
        <w:spacing w:after="0" w:line="2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Clawback Policy</w:t>
      </w:r>
    </w:p>
    <w:p>
      <w:pPr>
        <w:spacing w:after="0" w:line="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In connection with this offering, we will adopt a compensation recovery policy that is compliant with the listing rules of the , as required by the Dodd-Frank Act, to be effective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14" w:right="339" w:bottom="1440" w:gutter="0" w:footer="0" w:header="0"/>
        </w:sectPr>
      </w:pPr>
    </w:p>
    <w:bookmarkStart w:id="182" w:name="page183"/>
    <w:bookmarkEnd w:id="18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ind w:left="560"/>
              <w:spacing w:after="0"/>
              <w:rPr>
                <w:sz w:val="20"/>
                <w:szCs w:val="20"/>
                <w:color w:val="auto"/>
              </w:rPr>
            </w:pPr>
            <w:r>
              <w:rPr>
                <w:rFonts w:ascii="Arial" w:cs="Arial" w:eastAsia="Arial" w:hAnsi="Arial"/>
                <w:sz w:val="11"/>
                <w:szCs w:val="11"/>
                <w:b w:val="1"/>
                <w:bCs w:val="1"/>
                <w:color w:val="auto"/>
              </w:rPr>
              <w:t>Option Awards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Stock Awards</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7"/>
              </w:rPr>
              <w:t>Equity Incentive</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rPr>
              <w:t>Equity</w:t>
            </w:r>
          </w:p>
        </w:tc>
        <w:tc>
          <w:tcPr>
            <w:tcW w:w="8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Incentive Plan</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Incentive Plan</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Plan Awards:</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Awards: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Awards: Market</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Number of</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Market Value</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Number of</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or Payout Value</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4"/>
              </w:rPr>
              <w:t>Securities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Number of Securities</w:t>
            </w: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Securities</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Unearned</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of Unearned</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Underlying</w:t>
            </w:r>
          </w:p>
        </w:tc>
        <w:tc>
          <w:tcPr>
            <w:tcW w:w="1240" w:type="dxa"/>
            <w:vAlign w:val="bottom"/>
            <w:gridSpan w:val="2"/>
            <w:vMerge w:val="continue"/>
          </w:tcPr>
          <w:p>
            <w:pPr>
              <w:spacing w:after="0"/>
              <w:rPr>
                <w:sz w:val="9"/>
                <w:szCs w:val="9"/>
                <w:color w:val="auto"/>
              </w:rPr>
            </w:pP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Underlying</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5"/>
              </w:rPr>
              <w:t>Option</w:t>
            </w: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Shares or Units</w:t>
            </w:r>
          </w:p>
        </w:tc>
        <w:tc>
          <w:tcPr>
            <w:tcW w:w="880" w:type="dxa"/>
            <w:vAlign w:val="bottom"/>
            <w:gridSpan w:val="2"/>
          </w:tcPr>
          <w:p>
            <w:pPr>
              <w:jc w:val="right"/>
              <w:ind w:right="160"/>
              <w:spacing w:after="0" w:line="108" w:lineRule="exact"/>
              <w:rPr>
                <w:sz w:val="20"/>
                <w:szCs w:val="20"/>
                <w:color w:val="auto"/>
              </w:rPr>
            </w:pPr>
            <w:r>
              <w:rPr>
                <w:rFonts w:ascii="Arial" w:cs="Arial" w:eastAsia="Arial" w:hAnsi="Arial"/>
                <w:sz w:val="11"/>
                <w:szCs w:val="11"/>
                <w:b w:val="1"/>
                <w:bCs w:val="1"/>
                <w:color w:val="auto"/>
              </w:rPr>
              <w:t>of Shares or</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Shares, Units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Shares, Units</w:t>
            </w: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Unexercised</w:t>
            </w:r>
          </w:p>
        </w:tc>
        <w:tc>
          <w:tcPr>
            <w:tcW w:w="12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rPr>
              <w:t>Underlying</w:t>
            </w:r>
          </w:p>
        </w:tc>
        <w:tc>
          <w:tcPr>
            <w:tcW w:w="10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Unexercised</w:t>
            </w:r>
          </w:p>
        </w:tc>
        <w:tc>
          <w:tcPr>
            <w:tcW w:w="820" w:type="dxa"/>
            <w:vAlign w:val="bottom"/>
            <w:gridSpan w:val="2"/>
            <w:vMerge w:val="continue"/>
          </w:tcPr>
          <w:p>
            <w:pPr>
              <w:spacing w:after="0"/>
              <w:rPr>
                <w:sz w:val="9"/>
                <w:szCs w:val="9"/>
                <w:color w:val="auto"/>
              </w:rPr>
            </w:pPr>
          </w:p>
        </w:tc>
        <w:tc>
          <w:tcPr>
            <w:tcW w:w="10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Option</w:t>
            </w: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of Stock That</w:t>
            </w: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Units of Stock</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6"/>
              </w:rPr>
              <w:t>or Other Rights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or Other Rights</w:t>
            </w:r>
          </w:p>
        </w:tc>
        <w:tc>
          <w:tcPr>
            <w:tcW w:w="0" w:type="dxa"/>
            <w:vAlign w:val="bottom"/>
          </w:tcPr>
          <w:p>
            <w:pPr>
              <w:spacing w:after="0"/>
              <w:rPr>
                <w:sz w:val="1"/>
                <w:szCs w:val="1"/>
                <w:color w:val="auto"/>
              </w:rPr>
            </w:pPr>
          </w:p>
        </w:tc>
      </w:tr>
      <w:tr>
        <w:trPr>
          <w:trHeight w:val="108"/>
        </w:trPr>
        <w:tc>
          <w:tcPr>
            <w:tcW w:w="1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8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Grant Date</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Options (#)</w:t>
            </w: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Unexercised Options</w:t>
            </w: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Unearned Options</w:t>
            </w:r>
          </w:p>
        </w:tc>
        <w:tc>
          <w:tcPr>
            <w:tcW w:w="8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Exercise</w:t>
            </w:r>
          </w:p>
        </w:tc>
        <w:tc>
          <w:tcPr>
            <w:tcW w:w="1000" w:type="dxa"/>
            <w:vAlign w:val="bottom"/>
            <w:gridSpan w:val="2"/>
            <w:vMerge w:val="continue"/>
          </w:tcPr>
          <w:p>
            <w:pPr>
              <w:spacing w:after="0"/>
              <w:rPr>
                <w:sz w:val="9"/>
                <w:szCs w:val="9"/>
                <w:color w:val="auto"/>
              </w:rPr>
            </w:pPr>
          </w:p>
        </w:tc>
        <w:tc>
          <w:tcPr>
            <w:tcW w:w="9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Have Not</w:t>
            </w: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That Have Not</w:t>
            </w:r>
          </w:p>
        </w:tc>
        <w:tc>
          <w:tcPr>
            <w:tcW w:w="9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9"/>
              </w:rPr>
              <w:t>That Have Not</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That Have Not</w:t>
            </w:r>
          </w:p>
        </w:tc>
        <w:tc>
          <w:tcPr>
            <w:tcW w:w="0" w:type="dxa"/>
            <w:vAlign w:val="bottom"/>
          </w:tcPr>
          <w:p>
            <w:pPr>
              <w:spacing w:after="0"/>
              <w:rPr>
                <w:sz w:val="1"/>
                <w:szCs w:val="1"/>
                <w:color w:val="auto"/>
              </w:rPr>
            </w:pPr>
          </w:p>
        </w:tc>
      </w:tr>
      <w:tr>
        <w:trPr>
          <w:trHeight w:val="155"/>
        </w:trPr>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 Unexercisable</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Price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Expiration Date</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Vested ($)</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Michael Tannenbaum</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6/14/2024</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794,387</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3,792,963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4/22/2034</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6/24/2024</w:t>
            </w:r>
            <w:r>
              <w:rPr>
                <w:rFonts w:ascii="Arial" w:cs="Arial" w:eastAsia="Arial" w:hAnsi="Arial"/>
                <w:sz w:val="14"/>
                <w:szCs w:val="14"/>
                <w:color w:val="auto"/>
                <w:vertAlign w:val="superscript"/>
              </w:rPr>
              <w:t>(2)</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4,587,350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22,111,027</w:t>
            </w:r>
          </w:p>
        </w:tc>
        <w:tc>
          <w:tcPr>
            <w:tcW w:w="0" w:type="dxa"/>
            <w:vAlign w:val="bottom"/>
          </w:tcPr>
          <w:p>
            <w:pPr>
              <w:spacing w:after="0"/>
              <w:rPr>
                <w:sz w:val="1"/>
                <w:szCs w:val="1"/>
                <w:color w:val="auto"/>
              </w:rPr>
            </w:pPr>
          </w:p>
        </w:tc>
      </w:tr>
      <w:tr>
        <w:trPr>
          <w:trHeight w:val="187"/>
        </w:trPr>
        <w:tc>
          <w:tcPr>
            <w:tcW w:w="1460" w:type="dxa"/>
            <w:vAlign w:val="bottom"/>
            <w:gridSpan w:val="3"/>
          </w:tcPr>
          <w:p>
            <w:pPr>
              <w:ind w:left="20"/>
              <w:spacing w:after="0"/>
              <w:rPr>
                <w:sz w:val="20"/>
                <w:szCs w:val="20"/>
                <w:color w:val="auto"/>
              </w:rPr>
            </w:pPr>
            <w:r>
              <w:rPr>
                <w:rFonts w:ascii="Arial" w:cs="Arial" w:eastAsia="Arial" w:hAnsi="Arial"/>
                <w:sz w:val="11"/>
                <w:szCs w:val="11"/>
                <w:color w:val="auto"/>
              </w:rPr>
              <w:t>Macrina Kgil</w:t>
            </w:r>
          </w:p>
        </w:tc>
        <w:tc>
          <w:tcPr>
            <w:tcW w:w="860" w:type="dxa"/>
            <w:vAlign w:val="bottom"/>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13,398</w:t>
            </w:r>
          </w:p>
        </w:tc>
        <w:tc>
          <w:tcPr>
            <w:tcW w:w="100" w:type="dxa"/>
            <w:vAlign w:val="bottom"/>
          </w:tcPr>
          <w:p>
            <w:pPr>
              <w:spacing w:after="0"/>
              <w:rPr>
                <w:sz w:val="16"/>
                <w:szCs w:val="16"/>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661,602</w:t>
            </w:r>
          </w:p>
        </w:tc>
        <w:tc>
          <w:tcPr>
            <w:tcW w:w="10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4.82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12/02/2034</w:t>
            </w:r>
          </w:p>
        </w:tc>
        <w:tc>
          <w:tcPr>
            <w:tcW w:w="100" w:type="dxa"/>
            <w:vAlign w:val="bottom"/>
          </w:tcPr>
          <w:p>
            <w:pPr>
              <w:spacing w:after="0"/>
              <w:rPr>
                <w:sz w:val="16"/>
                <w:szCs w:val="16"/>
                <w:color w:val="auto"/>
              </w:rPr>
            </w:pP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(2)</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675,000</w:t>
            </w:r>
          </w:p>
        </w:tc>
        <w:tc>
          <w:tcPr>
            <w:tcW w:w="8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3,253,500</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Todd Stevens</w:t>
            </w:r>
          </w:p>
        </w:tc>
        <w:tc>
          <w:tcPr>
            <w:tcW w:w="220" w:type="dxa"/>
            <w:vAlign w:val="bottom"/>
            <w:gridSpan w:val="2"/>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11/29/2023</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77,926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197,074</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11/29/2033</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11/29/2023</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3,803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9,616</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11/29/2033</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20,962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591,538</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11/11/2034</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3"/>
        </w:trPr>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11/19/2024</w:t>
            </w:r>
            <w:r>
              <w:rPr>
                <w:rFonts w:ascii="Arial" w:cs="Arial" w:eastAsia="Arial" w:hAnsi="Arial"/>
                <w:sz w:val="14"/>
                <w:szCs w:val="14"/>
                <w:color w:val="auto"/>
                <w:vertAlign w:val="superscript"/>
              </w:rPr>
              <w:t>(2)</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612,500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2,952,250</w:t>
            </w:r>
          </w:p>
        </w:tc>
        <w:tc>
          <w:tcPr>
            <w:tcW w:w="0" w:type="dxa"/>
            <w:vAlign w:val="bottom"/>
          </w:tcPr>
          <w:p>
            <w:pPr>
              <w:spacing w:after="0"/>
              <w:rPr>
                <w:sz w:val="1"/>
                <w:szCs w:val="1"/>
                <w:color w:val="auto"/>
              </w:rPr>
            </w:pPr>
          </w:p>
        </w:tc>
      </w:tr>
      <w:tr>
        <w:trPr>
          <w:trHeight w:val="283"/>
        </w:trPr>
        <w:tc>
          <w:tcPr>
            <w:tcW w:w="1460" w:type="dxa"/>
            <w:vAlign w:val="bottom"/>
            <w:gridSpan w:val="3"/>
          </w:tcPr>
          <w:p>
            <w:pPr>
              <w:spacing w:after="0"/>
              <w:rPr>
                <w:sz w:val="20"/>
                <w:szCs w:val="20"/>
                <w:color w:val="auto"/>
              </w:rPr>
            </w:pPr>
            <w:r>
              <w:rPr>
                <w:rFonts w:ascii="Arial" w:cs="Arial" w:eastAsia="Arial" w:hAnsi="Arial"/>
                <w:sz w:val="16"/>
                <w:szCs w:val="16"/>
                <w:color w:val="auto"/>
              </w:rPr>
              <w:t>_______________</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20"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option vest on the first anniversary of the vesting commencement date, and 1/48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option vest monthly thereafter, subject to the executive’s continued employment through the applicable vesting dates.</w:t>
      </w:r>
    </w:p>
    <w:p>
      <w:pPr>
        <w:jc w:val="both"/>
        <w:ind w:left="340" w:hanging="332"/>
        <w:spacing w:after="0" w:line="225"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RSUs that vest based on the satisfaction of a service-based vesting condition and a liquidity event-based vesting condition. The service-based vesting condition is satisfied as follows: 1/4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RSU vest on the first anniversary of the applicable vesting commencement date, and 1/16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shares subject to the RSUs vest in quarterly installments thereafter, subject to the executive’s continued employment through the applicable vesting dates. The liquidity event-based vesting condition is satisfied upon (i) an initial public offering or SPAC transaction or (ii) a change in control.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Tannenbaum</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his appointment, we entered into an employment letter agreement with Mr. Tannenbaum, which provides (i) for an initial term of three years expiring on April 22, 2027, (ii) successive one-year term renewals, and (iii) that Mr. Tannenbaum is an at-will employee. Pursuant to Mr. Tannenbaum’s letter agreement, his initial annual base salary was $375,000 and his annual bonus opportunity target is 100% of his base salary, with such bonus earned quarterly subject to achievement of performance goals determined by our board of directors. For the first year of his employment with us, Mr. Tannenbaum will receive bonus payments of no less than $72,115.38 for the fiscal quarter ending June 30, 2024, $93,750 for the next three fiscal quarters, and $21,634.62 for the fiscal quarter ending June 30, 2025.</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Tannenbaum’s letter agreement provides for the grant of an option award over 4,587,350 shares of our common stock and for the grant of a restricted stock unit award over 4,587,350 shares of our common stock, with such option grant scheduled to vest as to 25% on April 22, 2025 and in ratable monthly installments over the next 36 months, and the restricted stock units scheduled to vest as to 25% on April 22, 2025 and in ratable quarterly installments over the next 36 months, provided that the restricted stock unit award will not be eligible to vest until the occurrence of a specified liquidity event, including the occurrence of the effectiveness of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3" w:name="page184"/>
    <w:bookmarkEnd w:id="183"/>
    <w:p>
      <w:pPr>
        <w:jc w:val="both"/>
        <w:ind w:firstLine="324"/>
        <w:spacing w:after="0" w:line="268" w:lineRule="auto"/>
        <w:rPr>
          <w:sz w:val="20"/>
          <w:szCs w:val="20"/>
          <w:color w:val="auto"/>
        </w:rPr>
      </w:pPr>
      <w:r>
        <w:rPr>
          <w:rFonts w:ascii="Arial" w:cs="Arial" w:eastAsia="Arial" w:hAnsi="Arial"/>
          <w:sz w:val="18"/>
          <w:szCs w:val="18"/>
          <w:color w:val="auto"/>
        </w:rPr>
        <w:t>Pursuant to the terms of his employment letter agreement, in the event that Mr. Tannenbaum’s employment with us is terminated by us without “cause” or by Mr. Tannenbaum in a “resignation for good reason” (as such terms are defined in his letter agreement) then, subject to his execution of a release of claims, he will receive the following benefits:</w:t>
      </w:r>
    </w:p>
    <w:p>
      <w:pPr>
        <w:spacing w:after="0" w:line="117"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lump sum payment equal to his annual base salary as then in effect;</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lump sum payment of any earned but unpaid quarterly bonus, or, in the event such termination occurred prior to April 22, 2025, any bonus amounts fixed pursuant to his letter agreement that have not yet been paid;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lump sum payment equal to $93,750, pro-rated for the number of days he was employed during the fiscal quarter in which the termination occurs;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Subsidized coverage under our health and welfare benefit plans on the same basis as provided to our similarly situated employees for a period of 12 months;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Accelerated vesting of his option and restricted stock unit awards provided for under his letter agreement in a number of shares equal to the shares that would have vested had his employment continued for an additional year.</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if such termination of employment occurs within 12 months following a “change of control” (as defined in his letter agreement), 100% of the option and restricted stock unit awards provided for under his letter agreement will become vested, subject to his execution of a release of claims.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Macrina Kgil</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FTI entered into an offer letter with Ms. Kgil, dated October 30, 2024, to serve as our Chief Financial Officer effective as of December 2, 2024. The offer letter with Ms. Kgil provides for (i) an annual base salary of $450,000, (ii) eligibility to participate in an annual bonus program with a target bonus equal to 33% of her quarterly base salary, (iii) a one-time sign-on bonus equal to $125,000, payable upon Ms. Kgil’s completion of 90 days of employment with us, and (iv) eligibility to participate in company-sponsored benefit plans.</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offer letter further provides for the grant of an initial option award covering 675,000 shares of our common stock and the grant of an award of 675,000 restricted stock units. The option award vests as to 25% of the option on the 12-month anniversary of Ms. Kgil’s start date, or December 2, 2025, with the remaining 75% of the option vesting in ratable monthly installments over the next 36 months, subject to her continued service through the applicable vesting dates. The RSUs vest based on the satisfaction of a service-based vesting condition and a liquidity event-based vesting condition. The service-based vesting condition becomes satisfied, contingent on continued employment, as to 25% of the RSUs on December 2, 2025 and then in ratable quarterly installments for the following 36-month period, and the liquidity event-based vesting condition becomes satisfied upon the occurrence of a liquidity event within 7 years of the date such RSUs were granted.</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Additionally, if Ms. Kgil’s employment is terminated by us without “cause” or by Ms. Kgil in a resignation for “good reason” within 12 months following a “change of control” (each as defined below), 100% of the option awards provided for under her letter agreement will become vested, subject to her execution of a release of claims. For these purposes the following definitions apply.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“Cause” means (i) Ms. Kgil’s failure to substantially perform her material duties and obligations as a service provider (for reasons other than death or disability), which failure is not cured to the sole and reasonable satisfaction of the Company; (ii) Ms. Kgil’s failure or refusal to comply with the policies, standards and regulations established by the Company from time to time, which failure is not cured to the sole and reasonable satisfaction of the Company; (iii) any act of personal dishonesty, moral turpitude, fraud, embezzlement, misrepresentation, or other unlawful act committed by Ms. Kgil that results in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17" w:right="339" w:bottom="1440" w:gutter="0" w:footer="0" w:header="0"/>
        </w:sectPr>
      </w:pPr>
    </w:p>
    <w:bookmarkStart w:id="184" w:name="page185"/>
    <w:bookmarkEnd w:id="184"/>
    <w:p>
      <w:pPr>
        <w:jc w:val="both"/>
        <w:spacing w:after="0" w:line="256" w:lineRule="auto"/>
        <w:rPr>
          <w:sz w:val="20"/>
          <w:szCs w:val="20"/>
          <w:color w:val="auto"/>
        </w:rPr>
      </w:pPr>
      <w:r>
        <w:rPr>
          <w:rFonts w:ascii="Arial" w:cs="Arial" w:eastAsia="Arial" w:hAnsi="Arial"/>
          <w:sz w:val="18"/>
          <w:szCs w:val="18"/>
          <w:color w:val="auto"/>
        </w:rPr>
        <w:t>to the Company or its affiliates, including financial or reputational, which harm is determined in the Company’s sole and reasonable discretion; (iv) Ms. Kgil’s violation of a federal or state law or regulation applicable to the business of the Company or its affiliates; (v) Ms. Kgil being convicted of, or entering a plea of nolo contendere or guilty to, a felony under the laws of the United States or its equivalent in the jurisdiction in which the act that constituted the felony occurred; (vi) Ms. Kgil’s material breach of the terms of any agreement between her and the Company (or any affiliate of the Company); or (vii) the Company’s economic duress or necessity, as determined by the Company in its sole and reasonable discretion. With respect to (i) and (ii) above, only, Ms. Kgil will have ten days to cure following written notice of her failure or refusal to perform or comply, provided that whether the failure is curable is within the Company’s sole and reasonable discretion.</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“Good Reason” means, without Ms. Kgil’s consent and subject to the notice, cure and other requirements set forth below: (i) a material diminution of Ms. Kgil’s base salary, unless such diminution is part of a generalized salary reduction affecting similarly situated employees; provided that a diminution of 10% or less in any one calendar year will not be deemed material; (ii) a material diminution of Ms. Kgil’s authority, duties or responsibilities as an employee relative to such authority, duties or responsibilities in effect immediately prior to such diminution; provided that Ms. Kgil’s authority, duties and responsibilities will not be deemed to be materially reduced if Ms. Kgil has reasonably comparable authority, duties and responsibilities as an employee with respect to the Company’s business following a Change of Control (as defined below), regardless of any change in title or whether he or she subsequently provides services to a subsidiary, affiliate, business unit, division or otherwise; (iii) a material change in the principal geographic location at which Ms. Kgil must perform services for the Company (a relocation to a facility or a location that would not increase Ms. Kgil’s one-way commute distance by more than 35 miles from her then principal residence shall not be considered a material change in geographic location); or (iv) a material breach by the Company of the agreement under which Ms. Kgil provides services to the Company.</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“Change of Control” means either: (i) the acquisition of the Company by another entity by means of any transaction or series of related transactions (including, without limitation, any reorganization, merger or consolidation or stock transfer, but excluding any such transaction effected primarily for the purpose of changing the domicile of the Company), unless the Company’s stockholders of record immediately prior to such transaction or series of related transactions hold, immediately after such transaction or series of related transactions, at least 50% of the voting power of the surviving or acquiring entity (provided that the sale by the Company of its securities for the purposes of raising additional funds shall not constitute a Change of Control); or (ii) a sale of all or substantially all of the assets of the Company.</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Ms. Kgil also entered into an At-Will Employment, Confidential Information, Invention Assignment, and Arbitration Agreement in connection with her commencement of employment, pursuant to which she is subject to perpetual confidentiality obligations and 12-month post-termination non-compete and non-solicitation of customers and employees covenants.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Todd Stevens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FT entered into an offer letter with Mr. Stevens, dated October 27, 2023, to serve as our Head of Blockchain Capital Markets, effective as of November 13, 2023. The offer letter provides for (i) an annual base salary of $275,000, (ii) eligibility to participate in an annual bonus program with a target bonus equal to 50% of his quarterly base salary, and (iii) eligibility to participate in company-sponsored benefit plans.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offer letter further provides for the grant of an initial option award covering 275,000 shares of our common stock which vests, contingent on continued employment, as to 25% of the option on the first anniversary of Mr. Stevens’ start date, with the remaining 75% of the option vesting in ratable monthly installments over the following 36-month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17" w:right="339" w:bottom="1440" w:gutter="0" w:footer="0" w:header="0"/>
        </w:sectPr>
      </w:pPr>
    </w:p>
    <w:bookmarkStart w:id="185" w:name="page186"/>
    <w:bookmarkEnd w:id="185"/>
    <w:p>
      <w:pPr>
        <w:jc w:val="both"/>
        <w:ind w:firstLine="324"/>
        <w:spacing w:after="0" w:line="268" w:lineRule="auto"/>
        <w:rPr>
          <w:sz w:val="20"/>
          <w:szCs w:val="20"/>
          <w:color w:val="auto"/>
        </w:rPr>
      </w:pPr>
      <w:r>
        <w:rPr>
          <w:rFonts w:ascii="Arial" w:cs="Arial" w:eastAsia="Arial" w:hAnsi="Arial"/>
          <w:sz w:val="18"/>
          <w:szCs w:val="18"/>
          <w:color w:val="auto"/>
        </w:rPr>
        <w:t>Mr. Stevens also entered into a Confidential Information and Invention Assignment Agreement in connection with his commencement of employment, pursuant to which he is subject to perpetual confidentiality obligations and a 12-month post-termination non-solicitation of employees covenant.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summarizes the equity compensation plans we intend to adopt in connection with this offering and the material terms of the 2018 Plan.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Incentive Award Plan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this offering, we intend to adopt the 2025 Plan, under which we may grant cash and equity-based incentive awards to eligible service providers in order to attract, motivate and retain the talent for which we compete. The material terms of the 2025 Plan have not yet been determined.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2024, our NEOs held awards granted under the 2018 Plan. The 2018 Plan was originally adopted by the board of directors of FT and approved by the stockholders of FT in 2018, and most recently amended in January 2022. In connection with the Separation we assumed the 2018 Plan and all awards outstanding thereunder, and we terminated the 2018 Plan as of one business day prior to the effectiveness of the registration statement of which this prospectus forms a part, such that we will not grant any additional awards under the 2018 Plan thereafter. However, each outstanding award will continue to be governed by the terms and conditions of the 2018 Plan following the effectiveness of the registration statement of which this prospectus forms a part.</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2018 Plan provides for the grant of ISOs, NSOs, SARs, restricted stock awards and RSUs (each, an “award” and the recipient of such award, a “participant”) to eligible employees, directors, and consultants.</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Prior to the Separation, the 2018 Plan was administered by the board of directors of FT or one or more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by the board of directors of FT. Following the Separation, the 2018 Plan has been administered by our board of directors or one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 The administrator’s decisions, determinations and interpretations are final and binding on all participants and any other persons holding awards.</w:t>
      </w:r>
    </w:p>
    <w:p>
      <w:pPr>
        <w:spacing w:after="0" w:line="12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2018 Plan, to modify or amend each award, to temporarily suspend the exercisability of awards when necessary or appropriate for administrative purposes and to make all other determinations deemed necessary or advisable for administering the 2018 Plan.</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Prior to the Separation, employees, directors and consultants of FT or FT’s parent or subsidiary companies were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awards, provided such consultants render bona fide services not in connection with the offer and sale of securities in a capital-raising transaction and do not directly promote or maintain a market for FT’s securities. Only FT employees or employees of FT’s parent or subsidiary companies were eligible to receive ISOs. Following the Separation, we became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17" w:right="339" w:bottom="1440" w:gutter="0" w:footer="0" w:header="0"/>
        </w:sectPr>
      </w:pPr>
    </w:p>
    <w:bookmarkStart w:id="186" w:name="page187"/>
    <w:bookmarkEnd w:id="186"/>
    <w:p>
      <w:pPr>
        <w:jc w:val="both"/>
        <w:spacing w:after="0" w:line="287" w:lineRule="auto"/>
        <w:rPr>
          <w:sz w:val="20"/>
          <w:szCs w:val="20"/>
          <w:color w:val="auto"/>
        </w:rPr>
      </w:pPr>
      <w:r>
        <w:rPr>
          <w:rFonts w:ascii="Arial" w:cs="Arial" w:eastAsia="Arial" w:hAnsi="Arial"/>
          <w:sz w:val="18"/>
          <w:szCs w:val="18"/>
          <w:color w:val="auto"/>
        </w:rPr>
        <w:t>successor to FT for plan eligibility purposes. No awards will be granted under the 2018 Plan following the effectiveness of the registration statement of which this prospectus forms a part.</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are currently outstanding under the 2018 Plan. Subject to the provisions of the 2018 Plan,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term of an option, the number of shares subject to an option, and the time period in which an option may be exercised.</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1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administrator determines how a participant may pay the exercise price of an option, and the permissible methods are generally set forth in the applicable award agreement. If a participant’s status as a “service provider” (as defined in the 2018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2018 Plan. Except as described above, the administrator has the discretion to determine the post-termination exercisability periods for an option.</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2018 Plan or the number, type and price of shares covered by each outstanding award. In connection with the Separation, options were adjusted as required under the 2018 Plan.</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prior to the effective date of such proposed transaction. To the extent it has not been previously exercised, an award will terminate immediately prior to the consummation of such proposed action.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a merger with or into another corporation or entity or a “change in control” (as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2018 Plan), each outstanding award will be treated as the administrator determines, including, without limitation, that (i) awards will be assumed, or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17" w:right="339" w:bottom="1440" w:gutter="0" w:footer="0" w:header="0"/>
        </w:sectPr>
      </w:pPr>
    </w:p>
    <w:bookmarkStart w:id="187" w:name="page188"/>
    <w:bookmarkEnd w:id="187"/>
    <w:p>
      <w:pPr>
        <w:jc w:val="both"/>
        <w:spacing w:after="0" w:line="253" w:lineRule="auto"/>
        <w:rPr>
          <w:sz w:val="20"/>
          <w:szCs w:val="20"/>
          <w:color w:val="auto"/>
        </w:rPr>
      </w:pPr>
      <w:r>
        <w:rPr>
          <w:rFonts w:ascii="Arial" w:cs="Arial" w:eastAsia="Arial" w:hAnsi="Arial"/>
          <w:sz w:val="18"/>
          <w:szCs w:val="18"/>
          <w:color w:val="auto"/>
        </w:rPr>
        <w:t>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 a period of time determined by the administrator in its sole discretion, and the option or SAR will terminate upon the expiration of such period.</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are subject to any clawback policy of ours, which we may establish and/or amend from time to time to comply with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The administrator may impose clawback, recovery 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the 2018 Plan in any respect,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amendment of any form of award agreement or instrument to be executed pursuant to the 2018 Plan. To the extent necessary and desirable to comply with applicable laws, we will obtain stockholder approval of any amendment to the 2018 Plan. No amendment or alteration of the 2018 Plan will impair the rights of a participant, unless mutually agreed otherwise between the participant and the administrator in writing.</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Employee Stock Purchase Plan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this offering, we intend to adopt the 2025 Employee Stock Purchase Plan, or the ESPP, subject to approval by our stockholders. The ESPP is designed to allow our eligible employees to purchase shares of our common stock, at periodic intervals, with their accumulated payroll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17" w:right="339" w:bottom="1440" w:gutter="0" w:footer="0" w:header="0"/>
        </w:sectPr>
      </w:pPr>
    </w:p>
    <w:bookmarkStart w:id="188" w:name="page189"/>
    <w:bookmarkEnd w:id="188"/>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addition to the compensation arrangements, including employment and termination of employment arrangements, discussed in the sections titled “Management” and “Executive Compensation,” the following is a description of each transaction since January 1, 2022, and each currently proposed transaction, in which:</w:t>
      </w:r>
    </w:p>
    <w:p>
      <w:pPr>
        <w:spacing w:after="0" w:line="11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or FTI have been or will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involved exceeded or exceeds $120,000; or</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Technologies, LLC (f/k/a, Figure Technologies, Inc.) and Figure Markets Holdings, Inc.</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the completion of the Recombination, FTI became a holding company whose principal assets consist of shares in FLC and FMH. In March 2024, in connection with the Separation, we separated our business through a series of transactions in which FLC and FMH were separated and began operating as separate businesses.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and to effectuate the Separation, FT created each of FMH and FTI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FTI becoming a holding company whose principal assets were the shares it held in FLC, (iii) FMH becoming a separate company, and (iv) FT being a wholly-owned subsidiary of FMH. On March 19, 2024, Figure Technologies, Inc. converted into Figure Technologies, LLC.</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of each of FLC and FMH made a determination that it is in the best interests of both entities to recombine the</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businesses. On , 2025, we recombined the businesses through a series of transactions and FMH became a wholly-owned subsidiary of FTI. For additional information, see the section titled “Prospectus Summary—Organizational History.”</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a result of the Recombination, (i) FTI is a holding company with its principal assets consisting of shares in FLC and FMH, (ii) FTI is the sole shareholder of FLC and FMH, (iii) FMH is a wholly-owned subsidiary of FTI, and (iv) FTI operates and controls all of the business and affairs of FLC, FMH, and their respective direct and indirect subsidiaries.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consummation of the Recombination and this offering, our executive officers and members of the board of directors also served as directors and/or officers of FT and its subsidiaries and FMH. Mr. Cagney, Chairman of our board of directors, served as (i) the Chief Executive Officer and Chairman of the board of directors of FT, (ii) director, President, Chief Executive Officer, and Treasurer of FLC,</w:t>
      </w:r>
    </w:p>
    <w:p>
      <w:pPr>
        <w:spacing w:after="0" w:line="1" w:lineRule="exact"/>
        <w:rPr>
          <w:sz w:val="20"/>
          <w:szCs w:val="20"/>
          <w:color w:val="auto"/>
        </w:rPr>
      </w:pPr>
    </w:p>
    <w:p>
      <w:pPr>
        <w:jc w:val="both"/>
        <w:ind w:firstLine="8"/>
        <w:spacing w:after="0" w:line="255" w:lineRule="auto"/>
        <w:tabs>
          <w:tab w:leader="none" w:pos="298"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director and President of Figure REIT, (iv) director and officer of certain of FT’s other subsidiaries and (v) director of FMH and certain of its subsidiaries. Mr. Cagney currently also serves as the Chief Executive Officer of FMH. Ms. Ou, member of our board of directors, served as an officer of FMH. Mr. Chao, member of our board of directors, served as a member of the board of directors of FMH and FT. Mr. Boyden and Dr. Jaitly, members of our board of directors, served as members of the board of directors of FT.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Arrangements with FT and its Affiliates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Services Provided by FT</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Prior to the Separation, FLC had an arrangement with FT to receive certain services from FT and its affiliates. These services primarily included technology services (e.g., infrastructure, platform interface, data and server support), information security services and support, human resources services (e.g.,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89" w:name="page190"/>
    <w:bookmarkEnd w:id="189"/>
    <w:p>
      <w:pPr>
        <w:jc w:val="both"/>
        <w:spacing w:after="0" w:line="256" w:lineRule="auto"/>
        <w:rPr>
          <w:sz w:val="20"/>
          <w:szCs w:val="20"/>
          <w:color w:val="auto"/>
        </w:rPr>
      </w:pPr>
      <w:r>
        <w:rPr>
          <w:rFonts w:ascii="Arial" w:cs="Arial" w:eastAsia="Arial" w:hAnsi="Arial"/>
          <w:sz w:val="18"/>
          <w:szCs w:val="18"/>
          <w:color w:val="auto"/>
        </w:rPr>
        <w:t>providing skilled recruiters and recruiting support, payroll and benefits administration and support), legal services (e.g., support and advice on transactional matters, employment law, and litigation), data governance and analytics, advisory services (e.g., strategic consulting, tax services and advice, and security services), the procurement of goods, services and materials, including vendor engagement and risk management (e.g., technology development and data acquisition services), accounting and finance services (e.g., providing accounting and financial reporting services), marketing services, and telemarketing services (collectively, the “Received Services”). In connection with the Received Services, FLC paid fees and out-of-pocket costs and expenses incurred by FT for such services in an amount of $18 million, $69 million, and $70 million in the years ended December 31, 2024, 2023, and 2022, respectively.</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Prior to the Separation, FT also paid for FLC’s property, casualty, product liability matters, directors and officers, auto liability, and workers’ compensation insurance coverage, and maintains excess policies to provide additional limits. FLC incurred insurance-related expenses paid by FT in an amount of $0.7 million, $0.2 million, and $0.2 million in the years ended December 31, 2024, 2023, and 2022,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Services Provided by FLC to FT</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Separation, FLC had an arrangement with FT to provide certain support services to FT and its affiliates. These services primarily included customer support and notary services (collectively, the “Provided Services”). In connection with the Provided Services, FT paid fees and out-of-pocket costs and expenses incurred by FLC for such services in an amount of $3 million in the year ended December 31, 2022. Following the Separation, such Provided Services ceased.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Contributions by and Dividends to FT</w:t>
      </w:r>
    </w:p>
    <w:p>
      <w:pPr>
        <w:spacing w:after="0" w:line="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Separation, FT made certain direct and indirect contributions to FLC and FLC made certain distributions of cash to FT. FLC’s capital contributions consisted of direct contributions (in the form of cash) in an amount of $ 6 million, $114 million, and $1 million in the years ended December 31, 2024, 2023, and 2022 respectively, as well as indirect contributions in the form of the Received Services described above. FLC made distributions to FT in an amount equal to $39 million, $301 million, and $142 million, in the years ended December 31, 2024, 2023, and 2022,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Loan Sales by FLC to Figure REIT Inc.</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FLC holds the voting shares of Figure REIT, which is controlled on a day-to-day basis by the FIA. Figure REIT, began purchasing loans from FLC in 2021. In the years ended December 31, 2024, 2023, and 2022, FLC sold $99 million, $22 million, and $100 million, net of repurchases of HELOCs of zero, zero and $9 million, respectively, with servicing rights retained, and recorded a net gain on sales of $3 million, $0.2 million, and $3 million in the years ended December 31, 2024, 2023, and 2022, respectively. As of December 31, 2024, 2023, and 2022, FLC carried the servicing assets for these loans at $2 million, $0.5 million, and $0.7 million, respectively. During the years ended December 31, 2024 and 2023, Figure REIT contributed $43 million and $57 million, respectively, of loans to an FLC securitization.</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Figure REIT purchases loans from FL LLC through Figure Connect. Additionally, Figure REIT and FL LLC entered into a Right of First Refusal to Purchase Loans Originated or Acquired by FL LLC dated September 13, 2024, granting Figure REIT a right of first refusal (“ROFR”) with respect to the lesser of $50 million or 10% of eligible HELOCs originated or acquired by FL LLC in any month that the aggregate HELOCs originated or acquired by FL LLC exceeds $150 million, which expired once the aggregate amount of loans purchased was equal to or exceeded $100 million in the aggregate. Figure REIT and FL LLC entered into a Second Right of First Refusal to Purchase Loans Originated or Acquired by FL LLC dated December 20, 2024, granting Figure REIT a ROFR with respect to the lesser of $35 million or 10% of eligible HELOCs originated or acquired by FL LLC in any month that the aggregate HELOCs originated or acquired by FL LLC exceeds $140 million, not to exceed $100 million in the aggregate during the ROFR period (from the closing date until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17" w:right="339" w:bottom="1440" w:gutter="0" w:footer="0" w:header="0"/>
        </w:sectPr>
      </w:pPr>
    </w:p>
    <w:bookmarkStart w:id="190" w:name="page191"/>
    <w:bookmarkEnd w:id="190"/>
    <w:p>
      <w:pPr>
        <w:ind w:left="340"/>
        <w:spacing w:after="0"/>
        <w:rPr>
          <w:sz w:val="20"/>
          <w:szCs w:val="20"/>
          <w:color w:val="auto"/>
        </w:rPr>
      </w:pPr>
      <w:r>
        <w:rPr>
          <w:rFonts w:ascii="Arial" w:cs="Arial" w:eastAsia="Arial" w:hAnsi="Arial"/>
          <w:sz w:val="18"/>
          <w:szCs w:val="18"/>
          <w:u w:val="single" w:color="auto"/>
          <w:color w:val="auto"/>
        </w:rPr>
        <w:t>Loan Sales and Servicing Agreements and Technology Services Agreement between FL LLC and Figure Markets Credit LLC</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 2024, FL LLC entered into a (i) Purchase Agreement and (ii) Servicing Agreement (collectively, the “FMC LLC Purchase and Servicing Agreements”) with Figure Markets Credit LLC (“FMC LLC”), pursuant to which FL LLC, on behalf of FMC LLC sells and services the loans originated by FL LLC secured by Bitcoin or Ether (“Crypto-Backed Loans”). As of December 31, 2024, FL LLC has originated, sold, and serviced $14 million of such loans pursuant to the FMC LLC Purchase and Servicing Agreement.</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 2025, FL LLC entered into a Loan and Security Agreement with FMC LFV LLC (“FMC LFV”), a direct subsidiary of FMC LLC, to warehouse the Crypto-Backed Loans purchased by FMC LLC and subsequently sold to FMC LFV. The facility was guaranteed by FMH and further secured by a pledge of all interests that FMC LLC holds in FMC LFV. The facility was intended to be a short-term financing until FMC LLC was able to obtain longer term financing arrangements. The facility had a March 28, 2025, maturity date and a facility limit of $25 million.</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FLC entered into a Figure Connect Exclusivity and Fee Letter Agreement with FMC LLC dated as of January 2, 2025, pursuant to which FMC LLC agrees to use best efforts to transact crypto-backed loans through Figure Connect. Additionally, the fee letter agreement included certain fees payable to FLC for efforts made by FLC to introduce FMC LLC to third-party crypto-backed loan purchasers or other financers payable only upon the closing of such purchase or financing facilities.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Provenance Foundation Term Note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June Ou, one of our co-founders and a member of our board of directors, serves as the interim chief executive officer of the Provenance Foundation. On July 25, 2022, FT entered into a non-interest bearing term note with the Provenance Foundation (the “Provenance Foundation Term Note”), pursuant to which the Provenance Foundation borrowed the principal amount of $5 million. On July 12, 2023, the Provenance Foundation Term Note was amended and restated, pursuant to which the total principal amount was increased to $9 million. The Provenance Foundation Term Note is eligible to be settled in full payment or contribution of equivalent value of Hash. As of December 31, 2024, the outstanding balance of the Provenance Foundation Term Note was $9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 Agreements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31, 2023, FLC and FT entered into a contribution agreement (the “Initial Contribution Agreement”) to effect certain transactions prior to the Separation, including the transfer (the “2023 Contribution”) of certain contracts, technology assets, intellectual property rights, documents, equity, and tangible assets (the “2023 Contributed Assets”) by FT and certain of its subsidiaries to FLC. On April 9, 2024, FLC and FT entered into an amendment to the Initial Contribution Agreement to correct certain trademark information provided in the list of 2023 Contributed Assets. On March 18, 2024, FLC and FT entered into a second contribution agreement (together with the Initial Contribution Agreement, the “Contribution Agreements”) that effected certain additional transactions in connection with the Separation, including the transfer (together with the 2023 Contribution, the “Contribution”) of certain contracts, intellectual property, data and tangible assets held, and certain employees employed, by FT and certain of its subsidiaries to FLC (together with the 2023 Contributed Assets, the “Contributed Assets and Transferring Employees”). FLC assumed all liabilities and agreed to perform all obligations which accrue or are required to be performed in connection with the Contribution or otherwise associated with the Contributed Assets and Transferring Employees from and after the respective effective dates of the Contribution Agreements. The Contribution Agreements contain limited authority, authorization and no-conflict representations and warranty provisions with respect to FLC and FT.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Reflow Services LLC (“Reflow”)</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hold a 17% interest in Reflow, an SEC-registered investment adviser. Such interest was contributed to us by Mr. Cagney on February 15, 2018 in exchange for $0.2 million. We received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17" w:right="339" w:bottom="1440" w:gutter="0" w:footer="0" w:header="0"/>
        </w:sectPr>
      </w:pPr>
    </w:p>
    <w:bookmarkStart w:id="191" w:name="page192"/>
    <w:bookmarkEnd w:id="191"/>
    <w:p>
      <w:pPr>
        <w:jc w:val="both"/>
        <w:spacing w:after="0" w:line="287" w:lineRule="auto"/>
        <w:rPr>
          <w:sz w:val="20"/>
          <w:szCs w:val="20"/>
          <w:color w:val="auto"/>
        </w:rPr>
      </w:pPr>
      <w:r>
        <w:rPr>
          <w:rFonts w:ascii="Arial" w:cs="Arial" w:eastAsia="Arial" w:hAnsi="Arial"/>
          <w:sz w:val="18"/>
          <w:szCs w:val="18"/>
          <w:color w:val="auto"/>
        </w:rPr>
        <w:t>distributions from Reflow of $0.4 million, $0.2 million, and $0.2 million during the years ended December 31, 2024, 2023, and 2022, respectively. We also engage in certain other transactions with Reflow.</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Reflow Management Agreement</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August 22, 2018, we entered into a shared services agreement with Reflow (the “Reflow Management Agreement”). Pursuant to the Reflow Management Agreement, we perform certain support services, including accounts payable and payroll administration services, for Reflow, in exchange for a management fee. During the years ended December 31, 2024, 2023 and 2022, Reflow paid us $0.6 million, $0.3 million, and $1 million, respectively, under the Reflow Management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 Opportunity Fund L.P. (“Domestic Solana Fund”)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Domestic Solana Fund, a fund managed by the FIA and of which we hold a 4.8% interest, was formed on April 23, 2024. As of December 31, 2024 the primary purpose of the Domestic Solana Fund is to make investments in Solana tokens through auctions held through the FTX Trading Ltd.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connection with the Separation, we engaged in certain transactions with certain of our directors, executive officers and other persons and entities which previously were or which became holders of 5% or more of our voting securities upon the consummation of the Separation.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19, 2024, in connection with the Separation, we entered into a tax matters agreement with FMH (the “Tax Matters Agreement”) that governs the respective rights, responsibilities and obligations of us and FMH following the distribution of certain shares of FMH with respect to taxes, including our and FMH’s obligations to file tax returns and remit taxes, control over tax contests and our and FMH’s obligations to cooperate after the distribution in tax return preparation and record-keeping matters. As a result of the Recombination, the Tax Matters Agreement was terminated.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18, 2024, in connection with the Separation, FLC entered into a transition services agreement (the “Transition Services Agreement”), to provide a framework for its relationship with FMH and its subsidiaries for the period following the Separation. Pursuant to the Transition Services Agreement, (i) FLC provided certain transition services, including administrative, human resources, operations, and legal functions, to FMH and (ii) FMH provided certain transition services, including finance and accounting, information technology and information security functions, to FLC. The Transition Services Agreement terminated as of December 31, 2024, as such agreement was no longer necessary in light of the Recombination.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28, 2025, in connection with our conversion from a Delaware corporation to a Nevada corporation, we entered into the sixth amended and restated investors’ rights agreement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“About this Prospectus” and “Prospectus Summary—Organizational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17" w:right="339" w:bottom="1440" w:gutter="0" w:footer="0" w:header="0"/>
        </w:sectPr>
      </w:pPr>
    </w:p>
    <w:bookmarkStart w:id="192" w:name="page193"/>
    <w:bookmarkEnd w:id="192"/>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Notes Issued By Mr. Cagney</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22, 2022, FL LLC entered into a non-interest bearing term note with Mr. Cagney (the “2022 Term Note”), pursuant to which FL LLC borrowed the principal amount of $10.0 million from Mr. Cagney. The 2022 Term Note matured on December 23, 2022, and bore a non-refundable loan fee of $25,000 payable to Mr. Cagney by FL LLC. The principal amount and loan fee were paid in full on the maturity date. Similarly, on June 7, 2023, FL LLC entered into a non-interest bearing term note with Mr. Cagney (the “2023 Term Note”), pursuant to which FL LLC borrowed the principal amount of $10.0 million from Mr. Cagney. The 2023 Term Note matured on June 8, 2023, and bore a non-refundable loan fee of $25,000 payable to Mr. Cagney by FL LLC. The principal amount and loan fee were repaid in full on the maturity date. Prior to the Separation and at the time such notes were issued, FL LLC was a wholly-owned subsidiary of FLC, a wholly-owned subsidiary of FT, of which Mr. Cagney served as Chief Executive Officer and Chairman of the Board.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Awards Granted to Mr. Cagney under the 2018 Plan</w:t>
      </w:r>
    </w:p>
    <w:p>
      <w:pPr>
        <w:spacing w:after="0" w:line="16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8"/>
          <w:szCs w:val="18"/>
          <w:color w:val="auto"/>
        </w:rPr>
        <w:t>On March 20, 2024, we granted option awards to Mr. Cagney covering 4,559,904 shares of our Class B common stock under the 2018 Plan in connection with ongoing transition services Mr. Cagney agreed to provide us following the Separation. The options granted to Mr. Cagney in 2024 have an exercise price of $4.82 per share.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options vest on the first anniversary of the vesting commencement date,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shares subject to the options vest monthly thereafter. The options expire on March 19, 2034.</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Travel Arrangements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years ended December 31, 2024 and 2023, we incurred $ 2 million and $1 million, respectively, in costs to arrange travel for certain of our executive officers and directors, including Mr. Cagney, for business purposes. We did not incur any costs during the years ended December 31, 2023 and 2022 to arrange travel for our executive officers and directors.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adopt a formal, written policy regarding related person transactions, which will become effective upon the effectiveness of the registration statement of which this prospectus forms a part.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will also provide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will have the primary responsibility for reviewing and approving or disapproving related person transactions. In addition to our policy, our audit committee charter that will be in effect upon the effectiveness of the registration statement of which this prospectus forms a part will provide that our audit committee shall review and approve or disapprove any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3" w:name="page194"/>
    <w:bookmarkEnd w:id="193"/>
    <w:p>
      <w:pPr>
        <w:ind w:firstLine="324"/>
        <w:spacing w:after="0" w:line="287" w:lineRule="auto"/>
        <w:rPr>
          <w:sz w:val="20"/>
          <w:szCs w:val="20"/>
          <w:color w:val="auto"/>
        </w:rPr>
      </w:pPr>
      <w:r>
        <w:rPr>
          <w:rFonts w:ascii="Arial" w:cs="Arial" w:eastAsia="Arial" w:hAnsi="Arial"/>
          <w:sz w:val="18"/>
          <w:szCs w:val="18"/>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17" w:right="359" w:bottom="1440" w:gutter="0" w:footer="0" w:header="0"/>
        </w:sectPr>
      </w:pPr>
    </w:p>
    <w:bookmarkStart w:id="194" w:name="page195"/>
    <w:bookmarkEnd w:id="194"/>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r>
              <w:rPr>
                <w:rFonts w:ascii="Arial" w:cs="Arial" w:eastAsia="Arial" w:hAnsi="Arial"/>
                <w:sz w:val="18"/>
                <w:szCs w:val="18"/>
                <w:color w:val="auto"/>
              </w:rPr>
              <w:t>The following table sets forth the beneficial ownership of our capital stock as of</w:t>
            </w:r>
          </w:p>
        </w:tc>
        <w:tc>
          <w:tcPr>
            <w:tcW w:w="1340" w:type="dxa"/>
            <w:vAlign w:val="bottom"/>
          </w:tcPr>
          <w:p>
            <w:pPr>
              <w:ind w:left="560"/>
              <w:spacing w:after="0"/>
              <w:rPr>
                <w:sz w:val="20"/>
                <w:szCs w:val="20"/>
                <w:color w:val="auto"/>
              </w:rPr>
            </w:pPr>
            <w:r>
              <w:rPr>
                <w:rFonts w:ascii="Arial" w:cs="Arial" w:eastAsia="Arial" w:hAnsi="Arial"/>
                <w:sz w:val="18"/>
                <w:szCs w:val="18"/>
                <w:color w:val="auto"/>
                <w:w w:val="96"/>
              </w:rPr>
              <w:t>, 2025 by:</w:t>
            </w:r>
          </w:p>
        </w:tc>
      </w:tr>
    </w:tbl>
    <w:p>
      <w:pPr>
        <w:spacing w:after="0" w:line="139"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ectPr>
          <w:pgSz w:w="11900" w:h="16838" w:orient="portrait"/>
          <w:cols w:equalWidth="0" w:num="1">
            <w:col w:w="11240"/>
          </w:cols>
          <w:pgMar w:left="320" w:top="1440" w:right="339" w:bottom="1440" w:gutter="0" w:footer="0" w:header="0"/>
        </w:sectPr>
      </w:pPr>
    </w:p>
    <w:p>
      <w:pPr>
        <w:spacing w:after="0" w:line="12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have based our calculation of the percentage of beneficial ownership prior to this offering on common stock outstanding and shares of our Class B common stock outstanding as of Capital Stock Conversion, the Reclassification, and the Class B Stock Exchange.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firstLine="692"/>
        <w:spacing w:after="0" w:line="318" w:lineRule="auto"/>
        <w:rPr>
          <w:sz w:val="20"/>
          <w:szCs w:val="20"/>
          <w:color w:val="auto"/>
        </w:rPr>
      </w:pPr>
      <w:r>
        <w:rPr>
          <w:rFonts w:ascii="Arial" w:cs="Arial" w:eastAsia="Arial" w:hAnsi="Arial"/>
          <w:sz w:val="17"/>
          <w:szCs w:val="17"/>
          <w:color w:val="auto"/>
        </w:rPr>
        <w:t>shares of our Class A , 2025, after giving effect to the</w:t>
      </w:r>
    </w:p>
    <w:p>
      <w:pPr>
        <w:spacing w:after="0" w:line="292" w:lineRule="exact"/>
        <w:rPr>
          <w:sz w:val="20"/>
          <w:szCs w:val="20"/>
          <w:color w:val="auto"/>
        </w:rPr>
      </w:pPr>
    </w:p>
    <w:p>
      <w:pPr>
        <w:sectPr>
          <w:pgSz w:w="11900" w:h="16838" w:orient="portrait"/>
          <w:cols w:equalWidth="0" w:num="2">
            <w:col w:w="8200" w:space="560"/>
            <w:col w:w="24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We have deemed shares of our Class A common stock subject to stock options that are currently exercisable or exercisable within 60</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days of ,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2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Unless otherwise indicated, the address for each person or entity listed in the table is c/o FT Intermediate, Inc., 5 Bryant Park, 34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New York, NY 10018.</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860" w:type="dxa"/>
            <w:vAlign w:val="bottom"/>
          </w:tcPr>
          <w:p>
            <w:pPr>
              <w:spacing w:after="0"/>
              <w:rPr>
                <w:sz w:val="13"/>
                <w:szCs w:val="13"/>
                <w:color w:val="auto"/>
              </w:rPr>
            </w:pPr>
          </w:p>
        </w:tc>
        <w:tc>
          <w:tcPr>
            <w:tcW w:w="3060" w:type="dxa"/>
            <w:vAlign w:val="bottom"/>
            <w:tcBorders>
              <w:bottom w:val="single" w:sz="8" w:color="auto"/>
            </w:tcBorders>
            <w:gridSpan w:val="4"/>
          </w:tcPr>
          <w:p>
            <w:pPr>
              <w:ind w:left="560"/>
              <w:spacing w:after="0"/>
              <w:rPr>
                <w:sz w:val="20"/>
                <w:szCs w:val="20"/>
                <w:color w:val="auto"/>
              </w:rPr>
            </w:pPr>
            <w:r>
              <w:rPr>
                <w:rFonts w:ascii="Arial" w:cs="Arial" w:eastAsia="Arial" w:hAnsi="Arial"/>
                <w:sz w:val="11"/>
                <w:szCs w:val="11"/>
                <w:b w:val="1"/>
                <w:bCs w:val="1"/>
                <w:color w:val="auto"/>
                <w:w w:val="99"/>
              </w:rPr>
              <w:t>Shares Beneficially Owned Prior to the Offering</w:t>
            </w:r>
          </w:p>
        </w:tc>
        <w:tc>
          <w:tcPr>
            <w:tcW w:w="500" w:type="dxa"/>
            <w:vAlign w:val="bottom"/>
            <w:tcBorders>
              <w:bottom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Shares Beneficially Owned After the Offering</w:t>
            </w:r>
          </w:p>
        </w:tc>
        <w:tc>
          <w:tcPr>
            <w:tcW w:w="54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820" w:type="dxa"/>
            <w:vAlign w:val="bottom"/>
            <w:gridSpan w:val="3"/>
          </w:tcPr>
          <w:p>
            <w:pPr>
              <w:ind w:left="240"/>
              <w:spacing w:after="0"/>
              <w:rPr>
                <w:sz w:val="20"/>
                <w:szCs w:val="20"/>
                <w:color w:val="auto"/>
              </w:rPr>
            </w:pPr>
            <w:r>
              <w:rPr>
                <w:rFonts w:ascii="Arial" w:cs="Arial" w:eastAsia="Arial" w:hAnsi="Arial"/>
                <w:sz w:val="11"/>
                <w:szCs w:val="11"/>
                <w:b w:val="1"/>
                <w:bCs w:val="1"/>
                <w:color w:val="auto"/>
              </w:rPr>
              <w:t>Class A Common Stock</w:t>
            </w:r>
          </w:p>
        </w:tc>
        <w:tc>
          <w:tcPr>
            <w:tcW w:w="174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Class B Common Stock</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8"/>
              </w:rPr>
              <w:t>Percentage of</w:t>
            </w:r>
          </w:p>
        </w:tc>
        <w:tc>
          <w:tcPr>
            <w:tcW w:w="1860" w:type="dxa"/>
            <w:vAlign w:val="bottom"/>
            <w:gridSpan w:val="3"/>
          </w:tcPr>
          <w:p>
            <w:pPr>
              <w:ind w:left="280"/>
              <w:spacing w:after="0"/>
              <w:rPr>
                <w:sz w:val="20"/>
                <w:szCs w:val="20"/>
                <w:color w:val="auto"/>
              </w:rPr>
            </w:pPr>
            <w:r>
              <w:rPr>
                <w:rFonts w:ascii="Arial" w:cs="Arial" w:eastAsia="Arial" w:hAnsi="Arial"/>
                <w:sz w:val="11"/>
                <w:szCs w:val="11"/>
                <w:b w:val="1"/>
                <w:bCs w:val="1"/>
                <w:color w:val="auto"/>
              </w:rPr>
              <w:t>Class A Common Stock</w:t>
            </w:r>
          </w:p>
        </w:tc>
        <w:tc>
          <w:tcPr>
            <w:tcW w:w="1740" w:type="dxa"/>
            <w:vAlign w:val="bottom"/>
            <w:gridSpan w:val="2"/>
          </w:tcPr>
          <w:p>
            <w:pPr>
              <w:jc w:val="right"/>
              <w:ind w:right="206"/>
              <w:spacing w:after="0"/>
              <w:rPr>
                <w:sz w:val="20"/>
                <w:szCs w:val="20"/>
                <w:color w:val="auto"/>
              </w:rPr>
            </w:pPr>
            <w:r>
              <w:rPr>
                <w:rFonts w:ascii="Arial" w:cs="Arial" w:eastAsia="Arial" w:hAnsi="Arial"/>
                <w:sz w:val="11"/>
                <w:szCs w:val="11"/>
                <w:b w:val="1"/>
                <w:bCs w:val="1"/>
                <w:color w:val="auto"/>
              </w:rPr>
              <w:t>Class B Common Stock</w:t>
            </w:r>
          </w:p>
        </w:tc>
        <w:tc>
          <w:tcPr>
            <w:tcW w:w="980" w:type="dxa"/>
            <w:vAlign w:val="bottom"/>
          </w:tcPr>
          <w:p>
            <w:pPr>
              <w:jc w:val="center"/>
              <w:ind w:left="127"/>
              <w:spacing w:after="0"/>
              <w:rPr>
                <w:sz w:val="20"/>
                <w:szCs w:val="20"/>
                <w:color w:val="auto"/>
              </w:rPr>
            </w:pPr>
            <w:r>
              <w:rPr>
                <w:rFonts w:ascii="Arial" w:cs="Arial" w:eastAsia="Arial" w:hAnsi="Arial"/>
                <w:sz w:val="11"/>
                <w:szCs w:val="11"/>
                <w:b w:val="1"/>
                <w:bCs w:val="1"/>
                <w:color w:val="auto"/>
                <w:w w:val="98"/>
              </w:rPr>
              <w:t>Percentage of</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4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Total Voting</w:t>
            </w:r>
          </w:p>
        </w:tc>
        <w:tc>
          <w:tcPr>
            <w:tcW w:w="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vMerge w:val="restart"/>
          </w:tcPr>
          <w:p>
            <w:pPr>
              <w:jc w:val="center"/>
              <w:ind w:left="127"/>
              <w:spacing w:after="0" w:line="95" w:lineRule="exact"/>
              <w:rPr>
                <w:sz w:val="20"/>
                <w:szCs w:val="20"/>
                <w:color w:val="auto"/>
              </w:rPr>
            </w:pPr>
            <w:r>
              <w:rPr>
                <w:rFonts w:ascii="Arial" w:cs="Arial" w:eastAsia="Arial" w:hAnsi="Arial"/>
                <w:sz w:val="10"/>
                <w:szCs w:val="10"/>
                <w:b w:val="1"/>
                <w:bCs w:val="1"/>
                <w:color w:val="auto"/>
              </w:rPr>
              <w:t>Total Voting</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9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8"/>
              </w:rPr>
              <w:t>Number of</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vMerge w:val="restart"/>
          </w:tcPr>
          <w:p>
            <w:pPr>
              <w:jc w:val="center"/>
              <w:ind w:right="366"/>
              <w:spacing w:after="0"/>
              <w:rPr>
                <w:sz w:val="20"/>
                <w:szCs w:val="20"/>
                <w:color w:val="auto"/>
              </w:rPr>
            </w:pPr>
            <w:r>
              <w:rPr>
                <w:rFonts w:ascii="Arial" w:cs="Arial" w:eastAsia="Arial" w:hAnsi="Arial"/>
                <w:sz w:val="11"/>
                <w:szCs w:val="11"/>
                <w:b w:val="1"/>
                <w:bCs w:val="1"/>
                <w:color w:val="auto"/>
                <w:w w:val="98"/>
              </w:rPr>
              <w:t>Number of</w:t>
            </w:r>
          </w:p>
        </w:tc>
        <w:tc>
          <w:tcPr>
            <w:tcW w:w="50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60" w:type="dxa"/>
            <w:vAlign w:val="bottom"/>
            <w:gridSpan w:val="3"/>
            <w:vMerge w:val="restart"/>
          </w:tcPr>
          <w:p>
            <w:pPr>
              <w:jc w:val="center"/>
              <w:ind w:right="1000"/>
              <w:spacing w:after="0"/>
              <w:rPr>
                <w:sz w:val="20"/>
                <w:szCs w:val="20"/>
                <w:color w:val="auto"/>
              </w:rPr>
            </w:pPr>
            <w:r>
              <w:rPr>
                <w:rFonts w:ascii="Arial" w:cs="Arial" w:eastAsia="Arial" w:hAnsi="Arial"/>
                <w:sz w:val="11"/>
                <w:szCs w:val="11"/>
                <w:b w:val="1"/>
                <w:bCs w:val="1"/>
                <w:color w:val="auto"/>
                <w:w w:val="98"/>
              </w:rPr>
              <w:t>Number of</w:t>
            </w:r>
          </w:p>
        </w:tc>
        <w:tc>
          <w:tcPr>
            <w:tcW w:w="1200" w:type="dxa"/>
            <w:vAlign w:val="bottom"/>
            <w:vMerge w:val="restart"/>
          </w:tcPr>
          <w:p>
            <w:pPr>
              <w:jc w:val="center"/>
              <w:ind w:right="326"/>
              <w:spacing w:after="0"/>
              <w:rPr>
                <w:sz w:val="20"/>
                <w:szCs w:val="20"/>
                <w:color w:val="auto"/>
              </w:rPr>
            </w:pPr>
            <w:r>
              <w:rPr>
                <w:rFonts w:ascii="Arial" w:cs="Arial" w:eastAsia="Arial" w:hAnsi="Arial"/>
                <w:sz w:val="11"/>
                <w:szCs w:val="11"/>
                <w:b w:val="1"/>
                <w:bCs w:val="1"/>
                <w:color w:val="auto"/>
                <w:w w:val="98"/>
              </w:rPr>
              <w:t>Number of</w:t>
            </w:r>
          </w:p>
        </w:tc>
        <w:tc>
          <w:tcPr>
            <w:tcW w:w="5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1"/>
                <w:szCs w:val="11"/>
                <w:b w:val="1"/>
                <w:bCs w:val="1"/>
                <w:color w:val="auto"/>
              </w:rPr>
              <w:t>Name of Beneficial Owner</w:t>
            </w:r>
          </w:p>
        </w:tc>
        <w:tc>
          <w:tcPr>
            <w:tcW w:w="960" w:type="dxa"/>
            <w:vAlign w:val="bottom"/>
            <w:vMerge w:val="continue"/>
          </w:tcPr>
          <w:p>
            <w:pPr>
              <w:spacing w:after="0"/>
              <w:rPr>
                <w:sz w:val="9"/>
                <w:szCs w:val="9"/>
                <w:color w:val="auto"/>
              </w:rPr>
            </w:pPr>
          </w:p>
        </w:tc>
        <w:tc>
          <w:tcPr>
            <w:tcW w:w="76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50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Power Prior to</w:t>
            </w:r>
          </w:p>
        </w:tc>
        <w:tc>
          <w:tcPr>
            <w:tcW w:w="186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4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w:t>
            </w:r>
          </w:p>
        </w:tc>
        <w:tc>
          <w:tcPr>
            <w:tcW w:w="980" w:type="dxa"/>
            <w:vAlign w:val="bottom"/>
          </w:tcPr>
          <w:p>
            <w:pPr>
              <w:jc w:val="center"/>
              <w:ind w:left="127"/>
              <w:spacing w:after="0" w:line="108" w:lineRule="exact"/>
              <w:rPr>
                <w:sz w:val="20"/>
                <w:szCs w:val="20"/>
                <w:color w:val="auto"/>
              </w:rPr>
            </w:pPr>
            <w:r>
              <w:rPr>
                <w:rFonts w:ascii="Arial" w:cs="Arial" w:eastAsia="Arial" w:hAnsi="Arial"/>
                <w:sz w:val="11"/>
                <w:szCs w:val="11"/>
                <w:b w:val="1"/>
                <w:bCs w:val="1"/>
                <w:color w:val="auto"/>
                <w:w w:val="98"/>
              </w:rPr>
              <w:t>Power After the</w:t>
            </w:r>
          </w:p>
        </w:tc>
        <w:tc>
          <w:tcPr>
            <w:tcW w:w="0" w:type="dxa"/>
            <w:vAlign w:val="bottom"/>
          </w:tcPr>
          <w:p>
            <w:pPr>
              <w:spacing w:after="0"/>
              <w:rPr>
                <w:sz w:val="1"/>
                <w:szCs w:val="1"/>
                <w:color w:val="auto"/>
              </w:rPr>
            </w:pPr>
          </w:p>
        </w:tc>
      </w:tr>
      <w:tr>
        <w:trPr>
          <w:trHeight w:val="191"/>
        </w:trPr>
        <w:tc>
          <w:tcPr>
            <w:tcW w:w="1860" w:type="dxa"/>
            <w:vAlign w:val="bottom"/>
            <w:vMerge w:val="continue"/>
          </w:tcPr>
          <w:p>
            <w:pPr>
              <w:spacing w:after="0"/>
              <w:rPr>
                <w:sz w:val="16"/>
                <w:szCs w:val="16"/>
                <w:color w:val="auto"/>
              </w:rPr>
            </w:pPr>
          </w:p>
        </w:tc>
        <w:tc>
          <w:tcPr>
            <w:tcW w:w="96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Shares</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346"/>
              <w:spacing w:after="0"/>
              <w:rPr>
                <w:sz w:val="20"/>
                <w:szCs w:val="20"/>
                <w:color w:val="auto"/>
              </w:rPr>
            </w:pPr>
            <w:r>
              <w:rPr>
                <w:rFonts w:ascii="Arial" w:cs="Arial" w:eastAsia="Arial" w:hAnsi="Arial"/>
                <w:sz w:val="11"/>
                <w:szCs w:val="11"/>
                <w:b w:val="1"/>
                <w:bCs w:val="1"/>
                <w:color w:val="auto"/>
                <w:w w:val="97"/>
              </w:rPr>
              <w:t>Shares</w:t>
            </w:r>
          </w:p>
        </w:tc>
        <w:tc>
          <w:tcPr>
            <w:tcW w:w="50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4"/>
              </w:rPr>
              <w:t>the Offering</w:t>
            </w:r>
            <w:r>
              <w:rPr>
                <w:rFonts w:ascii="Arial" w:cs="Arial" w:eastAsia="Arial" w:hAnsi="Arial"/>
                <w:sz w:val="14"/>
                <w:szCs w:val="14"/>
                <w:b w:val="1"/>
                <w:bCs w:val="1"/>
                <w:color w:val="auto"/>
                <w:w w:val="94"/>
                <w:vertAlign w:val="superscript"/>
              </w:rPr>
              <w:t>(1)</w:t>
            </w:r>
          </w:p>
        </w:tc>
        <w:tc>
          <w:tcPr>
            <w:tcW w:w="620" w:type="dxa"/>
            <w:vAlign w:val="bottom"/>
          </w:tcPr>
          <w:p>
            <w:pPr>
              <w:jc w:val="center"/>
              <w:ind w:left="166"/>
              <w:spacing w:after="0"/>
              <w:rPr>
                <w:sz w:val="20"/>
                <w:szCs w:val="20"/>
                <w:color w:val="auto"/>
              </w:rPr>
            </w:pPr>
            <w:r>
              <w:rPr>
                <w:rFonts w:ascii="Arial" w:cs="Arial" w:eastAsia="Arial" w:hAnsi="Arial"/>
                <w:sz w:val="11"/>
                <w:szCs w:val="11"/>
                <w:b w:val="1"/>
                <w:bCs w:val="1"/>
                <w:color w:val="auto"/>
                <w:w w:val="97"/>
              </w:rPr>
              <w:t>Shares</w:t>
            </w:r>
          </w:p>
        </w:tc>
        <w:tc>
          <w:tcPr>
            <w:tcW w:w="1140" w:type="dxa"/>
            <w:vAlign w:val="bottom"/>
          </w:tcPr>
          <w:p>
            <w:pPr>
              <w:jc w:val="right"/>
              <w:ind w:right="306"/>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6"/>
                <w:szCs w:val="16"/>
                <w:color w:val="auto"/>
              </w:rPr>
            </w:pPr>
          </w:p>
        </w:tc>
        <w:tc>
          <w:tcPr>
            <w:tcW w:w="1200" w:type="dxa"/>
            <w:vAlign w:val="bottom"/>
          </w:tcPr>
          <w:p>
            <w:pPr>
              <w:jc w:val="center"/>
              <w:ind w:right="306"/>
              <w:spacing w:after="0"/>
              <w:rPr>
                <w:sz w:val="20"/>
                <w:szCs w:val="20"/>
                <w:color w:val="auto"/>
              </w:rPr>
            </w:pPr>
            <w:r>
              <w:rPr>
                <w:rFonts w:ascii="Arial" w:cs="Arial" w:eastAsia="Arial" w:hAnsi="Arial"/>
                <w:sz w:val="11"/>
                <w:szCs w:val="11"/>
                <w:b w:val="1"/>
                <w:bCs w:val="1"/>
                <w:color w:val="auto"/>
                <w:w w:val="97"/>
              </w:rPr>
              <w:t>Shares</w:t>
            </w:r>
          </w:p>
        </w:tc>
        <w:tc>
          <w:tcPr>
            <w:tcW w:w="540" w:type="dxa"/>
            <w:vAlign w:val="bottom"/>
            <w:vMerge w:val="continue"/>
          </w:tcPr>
          <w:p>
            <w:pPr>
              <w:spacing w:after="0"/>
              <w:rPr>
                <w:sz w:val="16"/>
                <w:szCs w:val="16"/>
                <w:color w:val="auto"/>
              </w:rPr>
            </w:pPr>
          </w:p>
        </w:tc>
        <w:tc>
          <w:tcPr>
            <w:tcW w:w="980" w:type="dxa"/>
            <w:vAlign w:val="bottom"/>
          </w:tcPr>
          <w:p>
            <w:pPr>
              <w:jc w:val="center"/>
              <w:ind w:left="127"/>
              <w:spacing w:after="0"/>
              <w:rPr>
                <w:sz w:val="20"/>
                <w:szCs w:val="20"/>
                <w:color w:val="auto"/>
              </w:rPr>
            </w:pPr>
            <w:r>
              <w:rPr>
                <w:rFonts w:ascii="Arial" w:cs="Arial" w:eastAsia="Arial" w:hAnsi="Arial"/>
                <w:sz w:val="11"/>
                <w:szCs w:val="11"/>
                <w:b w:val="1"/>
                <w:bCs w:val="1"/>
                <w:color w:val="auto"/>
                <w:w w:val="95"/>
              </w:rPr>
              <w:t>Offering</w:t>
            </w:r>
            <w:r>
              <w:rPr>
                <w:rFonts w:ascii="Arial" w:cs="Arial" w:eastAsia="Arial" w:hAnsi="Arial"/>
                <w:sz w:val="14"/>
                <w:szCs w:val="14"/>
                <w:b w:val="1"/>
                <w:bCs w:val="1"/>
                <w:color w:val="auto"/>
                <w:w w:val="95"/>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jc w:val="right"/>
        <w:ind w:right="10160"/>
        <w:spacing w:after="0" w:line="225" w:lineRule="auto"/>
        <w:rPr>
          <w:sz w:val="20"/>
          <w:szCs w:val="20"/>
          <w:color w:val="auto"/>
        </w:rPr>
      </w:pPr>
      <w:r>
        <w:rPr>
          <w:rFonts w:ascii="Arial" w:cs="Arial" w:eastAsia="Arial" w:hAnsi="Arial"/>
          <w:sz w:val="14"/>
          <w:szCs w:val="14"/>
          <w:color w:val="auto"/>
        </w:rPr>
        <w:t>Greater than 5%</w:t>
      </w:r>
    </w:p>
    <w:p>
      <w:pPr>
        <w:spacing w:after="0" w:line="1" w:lineRule="exact"/>
        <w:rPr>
          <w:sz w:val="20"/>
          <w:szCs w:val="20"/>
          <w:color w:val="auto"/>
        </w:rPr>
      </w:pPr>
    </w:p>
    <w:p>
      <w:pPr>
        <w:jc w:val="right"/>
        <w:ind w:right="10180"/>
        <w:spacing w:after="0"/>
        <w:rPr>
          <w:sz w:val="20"/>
          <w:szCs w:val="20"/>
          <w:color w:val="auto"/>
        </w:rPr>
      </w:pPr>
      <w:r>
        <w:rPr>
          <w:rFonts w:ascii="Arial" w:cs="Arial" w:eastAsia="Arial" w:hAnsi="Arial"/>
          <w:sz w:val="14"/>
          <w:szCs w:val="14"/>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Named Executive Officers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All directors and executive</w:t>
      </w:r>
    </w:p>
    <w:p>
      <w:pPr>
        <w:ind w:left="180"/>
        <w:spacing w:after="0" w:line="203" w:lineRule="auto"/>
        <w:rPr>
          <w:sz w:val="20"/>
          <w:szCs w:val="20"/>
          <w:color w:val="auto"/>
        </w:rPr>
      </w:pPr>
      <w:r>
        <w:rPr>
          <w:rFonts w:ascii="Arial" w:cs="Arial" w:eastAsia="Arial" w:hAnsi="Arial"/>
          <w:sz w:val="14"/>
          <w:szCs w:val="14"/>
          <w:color w:val="auto"/>
        </w:rPr>
        <w:t>officers as a group</w:t>
      </w:r>
    </w:p>
    <w:p>
      <w:pPr>
        <w:ind w:left="400" w:hanging="212"/>
        <w:spacing w:after="0"/>
        <w:tabs>
          <w:tab w:leader="none" w:pos="4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persons)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5" w:lineRule="exact"/>
        <w:rPr>
          <w:sz w:val="20"/>
          <w:szCs w:val="20"/>
          <w:color w:val="auto"/>
        </w:rPr>
      </w:pPr>
    </w:p>
    <w:p>
      <w:pPr>
        <w:ind w:left="340" w:hanging="332"/>
        <w:spacing w:after="0" w:line="283" w:lineRule="auto"/>
        <w:tabs>
          <w:tab w:leader="none" w:pos="3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Percentage total voting power represents voting power with respect to all shares of our Class A common stock and Class B common stock, as a single class. Each holder of Class B common stock shall be entitled to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type w:val="continuous"/>
        </w:sectPr>
      </w:pPr>
    </w:p>
    <w:bookmarkStart w:id="195" w:name="page196"/>
    <w:bookmarkEnd w:id="195"/>
    <w:p>
      <w:pPr>
        <w:jc w:val="both"/>
        <w:spacing w:after="0" w:line="275" w:lineRule="auto"/>
        <w:rPr>
          <w:sz w:val="20"/>
          <w:szCs w:val="20"/>
          <w:color w:val="auto"/>
        </w:rPr>
      </w:pPr>
      <w:r>
        <w:rPr>
          <w:rFonts w:ascii="Arial" w:cs="Arial" w:eastAsia="Arial" w:hAnsi="Arial"/>
          <w:sz w:val="16"/>
          <w:szCs w:val="16"/>
          <w:color w:val="auto"/>
        </w:rPr>
        <w:t>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900"/>
          </w:cols>
          <w:pgMar w:left="660" w:top="1422" w:right="339" w:bottom="1440" w:gutter="0" w:footer="0" w:header="0"/>
        </w:sectPr>
      </w:pPr>
    </w:p>
    <w:bookmarkStart w:id="196" w:name="page197"/>
    <w:bookmarkEnd w:id="196"/>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description summarizes certain important terms of our capital stock, as they are expected to be in effect immediately prior to the completion of this offering. We expect to adopt an amended and restated articles of incorporation that will become effective immediately prior to the completion of this offering, and amended and restated bylaws that will become effective as of the closing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articles of incorporation, bylaws, and the Investors’ Rights Agreement, which are included as exhibits to the registration statement of which this prospectus forms a part, and to the applicable provisions of Nevada law, all of which are incorporated into this summary by reference.</w:t>
      </w:r>
    </w:p>
    <w:p>
      <w:pPr>
        <w:sectPr>
          <w:pgSz w:w="11900" w:h="16838" w:orient="portrait"/>
          <w:cols w:equalWidth="0" w:num="1">
            <w:col w:w="11240"/>
          </w:cols>
          <w:pgMar w:left="320" w:top="1440" w:right="339" w:bottom="1440" w:gutter="0" w:footer="0" w:header="0"/>
        </w:sectPr>
      </w:pP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prior to the completion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capital stock,</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par</w:t>
      </w:r>
    </w:p>
    <w:p>
      <w:pPr>
        <w:spacing w:after="0" w:line="43" w:lineRule="exact"/>
        <w:rPr>
          <w:sz w:val="20"/>
          <w:szCs w:val="20"/>
          <w:color w:val="auto"/>
        </w:rPr>
      </w:pPr>
    </w:p>
    <w:p>
      <w:pPr>
        <w:sectPr>
          <w:pgSz w:w="11900" w:h="16838" w:orient="portrait"/>
          <w:cols w:equalWidth="0" w:num="3">
            <w:col w:w="7780" w:space="680"/>
            <w:col w:w="1840" w:space="660"/>
            <w:col w:w="2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value per share, of which:</w:t>
      </w:r>
    </w:p>
    <w:p>
      <w:pPr>
        <w:sectPr>
          <w:pgSz w:w="11900" w:h="16838" w:orient="portrait"/>
          <w:cols w:equalWidth="0" w:num="1">
            <w:col w:w="11240"/>
          </w:cols>
          <w:pgMar w:left="320" w:top="1440" w:right="339" w:bottom="1440" w:gutter="0" w:footer="0" w:header="0"/>
          <w:type w:val="continuous"/>
        </w:sectPr>
      </w:pP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shares are Class A common stock;</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Class B common stock; and</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are undesignated or “blank check” preferred stock.</w:t>
      </w:r>
    </w:p>
    <w:p>
      <w:pPr>
        <w:spacing w:after="0" w:line="183"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firstLine="324"/>
        <w:spacing w:after="0" w:line="268" w:lineRule="auto"/>
        <w:rPr>
          <w:sz w:val="20"/>
          <w:szCs w:val="20"/>
          <w:color w:val="auto"/>
        </w:rPr>
      </w:pPr>
      <w:r>
        <w:rPr>
          <w:rFonts w:ascii="Arial" w:cs="Arial" w:eastAsia="Arial" w:hAnsi="Arial"/>
          <w:sz w:val="18"/>
          <w:szCs w:val="18"/>
          <w:color w:val="auto"/>
        </w:rPr>
        <w:t>Assuming the Capital Stock Conversion, the Reclassification, and the Class B Stock Exchange each occurred on , 2025, there were shares of our Class A common stock outstanding, held by stockholders of record and shares of our Class B common stock outstanding, held by stockholders of record, and no shares of our preferred stock outstanding.</w:t>
      </w:r>
    </w:p>
    <w:p>
      <w:pPr>
        <w:sectPr>
          <w:pgSz w:w="11900" w:h="16838" w:orient="portrait"/>
          <w:cols w:equalWidth="0" w:num="1">
            <w:col w:w="11240"/>
          </w:cols>
          <w:pgMar w:left="320" w:top="1440"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to Dividends and Other Distributions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 For additional information, see the section titled “Dividend Policy.”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 Our Class A common stock is not subject to conversion provisions.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will generally vote together as a single class on all matters submitted to a vote of our stockholders, unless otherwise required by Nevada law or our articles of incorporation. Nevada law could require either holders of our Class A common stock or Class B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type w:val="continuous"/>
        </w:sectPr>
      </w:pPr>
    </w:p>
    <w:bookmarkStart w:id="197" w:name="page198"/>
    <w:bookmarkEnd w:id="197"/>
    <w:p>
      <w:pPr>
        <w:jc w:val="both"/>
        <w:spacing w:after="0" w:line="268" w:lineRule="auto"/>
        <w:rPr>
          <w:sz w:val="20"/>
          <w:szCs w:val="20"/>
          <w:color w:val="auto"/>
        </w:rPr>
      </w:pPr>
      <w:r>
        <w:rPr>
          <w:rFonts w:ascii="Arial" w:cs="Arial" w:eastAsia="Arial" w:hAnsi="Arial"/>
          <w:sz w:val="18"/>
          <w:szCs w:val="18"/>
          <w:color w:val="auto"/>
        </w:rPr>
        <w:t>stock to vote separately as a single class if we were to seek to amend our articles of incorporation in a manner that alters or changes the powers, preferences, or special rights of such class of common stock in a manner that affected such shares adversely but does not so affect the shares of the other class of common stock.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will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for certain transfers exempted by our articles of incorporation, including transfers for tax and estate planning purposes so long as the transferring holder of Class B common stock continues to hold exclusive voting and dispositive power with respect to the shares transferred. Once converted into a share of our Class A common stock, such share of our Class B common stock will not be reissued.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will have the authority, subject to limitations prescribed by Nevada law, to issue shares of our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240"/>
          </w:cols>
          <w:pgMar w:left="320" w:top="1417" w:right="339" w:bottom="1440" w:gutter="0" w:footer="0" w:header="0"/>
        </w:sectPr>
      </w:pP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 we had outstanding options to purchase an aggregate of average exercise price of $ per share, under our 2025 Plan.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with a weighted-</w:t>
      </w:r>
    </w:p>
    <w:p>
      <w:pPr>
        <w:spacing w:after="0" w:line="387" w:lineRule="exact"/>
        <w:rPr>
          <w:sz w:val="20"/>
          <w:szCs w:val="20"/>
          <w:color w:val="auto"/>
        </w:rPr>
      </w:pPr>
    </w:p>
    <w:p>
      <w:pPr>
        <w:sectPr>
          <w:pgSz w:w="11900" w:h="16838" w:orient="portrait"/>
          <w:cols w:equalWidth="0" w:num="2">
            <w:col w:w="6080" w:space="720"/>
            <w:col w:w="4440"/>
          </w:cols>
          <w:pgMar w:left="320" w:top="1417" w:right="339" w:bottom="1440" w:gutter="0" w:footer="0" w:header="0"/>
          <w:type w:val="continuous"/>
        </w:sectPr>
      </w:pPr>
    </w:p>
    <w:p>
      <w:pPr>
        <w:ind w:firstLine="324"/>
        <w:spacing w:after="0" w:line="287" w:lineRule="auto"/>
        <w:rPr>
          <w:sz w:val="20"/>
          <w:szCs w:val="20"/>
          <w:color w:val="auto"/>
        </w:rPr>
      </w:pPr>
      <w:r>
        <w:rPr>
          <w:rFonts w:ascii="Arial" w:cs="Arial" w:eastAsia="Arial" w:hAnsi="Arial"/>
          <w:sz w:val="18"/>
          <w:szCs w:val="18"/>
          <w:color w:val="auto"/>
        </w:rPr>
        <w:t>As of , there were outstanding options to purchase an aggregate of exercise price of $ per share, under the 2018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shares of common stock of FT, with a weighted-average</w:t>
      </w:r>
    </w:p>
    <w:p>
      <w:pPr>
        <w:spacing w:after="0" w:line="499" w:lineRule="exact"/>
        <w:rPr>
          <w:sz w:val="20"/>
          <w:szCs w:val="20"/>
          <w:color w:val="auto"/>
        </w:rPr>
      </w:pPr>
    </w:p>
    <w:p>
      <w:pPr>
        <w:sectPr>
          <w:pgSz w:w="11900" w:h="16838" w:orient="portrait"/>
          <w:cols w:equalWidth="0" w:num="2">
            <w:col w:w="6160" w:space="620"/>
            <w:col w:w="446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40"/>
          </w:cols>
          <w:pgMar w:left="320" w:top="1417" w:right="339" w:bottom="1440" w:gutter="0" w:footer="0" w:header="0"/>
          <w:type w:val="continuous"/>
        </w:sectPr>
      </w:pPr>
    </w:p>
    <w:bookmarkStart w:id="198" w:name="page199"/>
    <w:bookmarkEnd w:id="198"/>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28, 2025, in connection with our conversion from a Delaware corporation to a Nevada corporation,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12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Anti-Takeover Effects of Certain Provisions of Nevada Law, Our Amended and Restated Articles of Incorporation and Our Amended and Restated Bylaws</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provisions of Nevada law, our amended and restated articles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Nevada Law</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then-outstanding shares of the corporation. The definition of the term “combination” is sufficiently broad to cover most significant transactions between a corporation and an “interested stockholder.” Our original articles of incorporation provided, and our amended and restated articles of incorporation will provide, that these statutes do not apply to us.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if we were to have 200 or more stockholders of record (at least 100 of whom have addresses in Nevada appearing on our stock ledger)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199" w:name="page200"/>
    <w:bookmarkEnd w:id="199"/>
    <w:p>
      <w:pPr>
        <w:jc w:val="both"/>
        <w:spacing w:after="0" w:line="268" w:lineRule="auto"/>
        <w:rPr>
          <w:sz w:val="20"/>
          <w:szCs w:val="20"/>
          <w:color w:val="auto"/>
        </w:rPr>
      </w:pPr>
      <w:r>
        <w:rPr>
          <w:rFonts w:ascii="Arial" w:cs="Arial" w:eastAsia="Arial" w:hAnsi="Arial"/>
          <w:sz w:val="18"/>
          <w:szCs w:val="18"/>
          <w:color w:val="auto"/>
        </w:rPr>
        <w:t>person acquired or offered to acquire a controlling interest become “control shares” to which the voting restrictions described above apply. Our original articles of incorporation provided, and our amended and restated articles of incorporation will provide, that these statutes do not apply to us.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17" w:lineRule="exact"/>
        <w:rPr>
          <w:sz w:val="20"/>
          <w:szCs w:val="20"/>
          <w:color w:val="auto"/>
        </w:rPr>
      </w:pPr>
    </w:p>
    <w:p>
      <w:pPr>
        <w:ind w:left="340" w:right="680"/>
        <w:spacing w:after="0" w:line="438" w:lineRule="auto"/>
        <w:rPr>
          <w:sz w:val="20"/>
          <w:szCs w:val="20"/>
          <w:color w:val="auto"/>
        </w:rPr>
      </w:pPr>
      <w:r>
        <w:rPr>
          <w:rFonts w:ascii="Arial" w:cs="Arial" w:eastAsia="Arial" w:hAnsi="Arial"/>
          <w:sz w:val="18"/>
          <w:szCs w:val="18"/>
          <w:color w:val="auto"/>
        </w:rPr>
        <w:t xml:space="preserve">These provisions, if applicable to us, may have the effect of delaying, deferring, or preventing changes in control of our company. </w:t>
      </w:r>
      <w:r>
        <w:rPr>
          <w:rFonts w:ascii="Arial" w:cs="Arial" w:eastAsia="Arial" w:hAnsi="Arial"/>
          <w:sz w:val="18"/>
          <w:szCs w:val="18"/>
          <w:b w:val="1"/>
          <w:bCs w:val="1"/>
          <w:i w:val="1"/>
          <w:iCs w:val="1"/>
          <w:color w:val="auto"/>
        </w:rPr>
        <w:t>Amended and Restated Articles of Incorporation and Amended and Restated Bylaws Provisions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Provisions of our amended and restated articles of incorporation and amended and restated bylaws will include a number of provisions that could deter hostile takeovers or delay or prevent changes in control of our board of directors or management. Among other things, our articles of incorporation and bylaws will:</w:t>
      </w:r>
    </w:p>
    <w:p>
      <w:pPr>
        <w:spacing w:after="0" w:line="117"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for a dual-class common stock structure, with differing voting rights;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 our board of directors to issue shares of our preferred stock, with such powers, rights, preferences, and privileges as they may designate;</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a majority of the members of the our board of directors shall constitute a quorum; provided that, for as long as Mr. Cagney, our co-founder and member of our board of directors, beneficially owns more than 50% of the voting power of our capital stock, the chair of our board of directors must be present to constitute a quorum (unless such individual has recused themself from such board action);</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stockholders representing a majority of the voting power of our capital stock, represented in person or by proxy (regardless of whether the proxy has authority to vote on any matter), are necessary to constitute a quorum for the transaction of business at any meeting;</w:t>
      </w:r>
    </w:p>
    <w:p>
      <w:pPr>
        <w:spacing w:after="0" w:line="11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 provided that, for as long as Mr. Cagney, our co-founder and member of our board of directors, beneficially owns more than 50% of the voting power of our capital stock, the authorized number of directors may also be changed by resolution of the board of directors or by holders of at least a majority of the voting power of our capital stock;</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all vacancies and newly created directorships, except as otherwise required by law, our governing documents or resolution of our board of directors, and subject to the rights of holders of our preferred stock, may only be filled by the affirmative vote of a majority of directors then in office, even if less than a quorum, provided that, for as long as Mr. Cagney, our co-founder and member of our board of directors, beneficially owns more than 50% of the voting power of our capital stock, any vacancy may also be filled by holders of at least a majority of the voting power of our capital stock;</w:t>
      </w:r>
    </w:p>
    <w:p>
      <w:pPr>
        <w:spacing w:after="0" w:line="125"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that if, and for so long as, our board of directors is classified, and subject to the rights of holders of our preferred stock, a director may only be removed from the board of directors by the stockholders for cause;</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provided that, for as long as Mr. Cagney, our co-founder and member of our board of directors, beneficially owns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17" w:right="339" w:bottom="1440" w:gutter="0" w:footer="0" w:header="0"/>
        </w:sectPr>
      </w:pPr>
    </w:p>
    <w:bookmarkStart w:id="200" w:name="page201"/>
    <w:bookmarkEnd w:id="200"/>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 of the voting power of our capital stock, any action to be taken by our stockholders may also be taken by written consent;</w:t>
      </w:r>
    </w:p>
    <w:p>
      <w:pPr>
        <w:spacing w:after="0" w:line="171" w:lineRule="exact"/>
        <w:rPr>
          <w:sz w:val="20"/>
          <w:szCs w:val="20"/>
          <w:color w:val="auto"/>
        </w:rPr>
      </w:pPr>
    </w:p>
    <w:p>
      <w:pPr>
        <w:jc w:val="both"/>
        <w:ind w:left="660" w:hanging="328"/>
        <w:spacing w:after="0" w:line="268"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chairperson of the board of directors, our chief executive officer or president, provided that, for as long as Mr. Cagney, our co-founder and member of our board of directors, beneficially owns more than 50% of the voting power of our capital stock, special meetings of our stockholders may also be called by holders of at least a majority of the voting power of our capital stock; and</w:t>
      </w:r>
    </w:p>
    <w:p>
      <w:pPr>
        <w:spacing w:after="0" w:line="12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articles of incorporation and our bylaws only upon the approval of at least two-thirds of the voting power of our then outstanding capital stock entitled to vote, voting together as a single class, provided that, for as long as Mr. Cagney, our co-founder and member of our board of directors, beneficially owns more than 50% of the voting power of our capital stock, stockholders holding at least a majority of the voting power of our capital stock, voting together as a single class, will be permitted to amend our bylaws and approve amendments to certain provisions of our articles of incorporation.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amended and restated articles of incorporation and amended and restated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Although we believe these provisions benefit us by providing increased consistency in the application of Nevada law in the types of lawsuits to which they apply, the provisions may have the effect of discouraging lawsuits against our directors and officers.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registrar’s address is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The transfer agent and</w:t>
      </w:r>
    </w:p>
    <w:p>
      <w:pPr>
        <w:spacing w:after="0" w:line="387" w:lineRule="exact"/>
        <w:rPr>
          <w:sz w:val="20"/>
          <w:szCs w:val="20"/>
          <w:color w:val="auto"/>
        </w:rPr>
      </w:pPr>
    </w:p>
    <w:p>
      <w:pPr>
        <w:sectPr>
          <w:pgSz w:w="11900" w:h="16838" w:orient="portrait"/>
          <w:cols w:equalWidth="0" w:num="2">
            <w:col w:w="8500" w:space="720"/>
            <w:col w:w="20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240"/>
          </w:cols>
          <w:pgMar w:left="320" w:top="1440" w:right="339" w:bottom="1440" w:gutter="0" w:footer="0" w:header="0"/>
          <w:type w:val="continuous"/>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list our Class A common stock 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under the symbol “FIGR.”</w:t>
      </w:r>
    </w:p>
    <w:p>
      <w:pPr>
        <w:spacing w:after="0" w:line="200" w:lineRule="exact"/>
        <w:rPr>
          <w:sz w:val="20"/>
          <w:szCs w:val="20"/>
          <w:color w:val="auto"/>
        </w:rPr>
      </w:pPr>
    </w:p>
    <w:p>
      <w:pPr>
        <w:sectPr>
          <w:pgSz w:w="11900" w:h="16838" w:orient="portrait"/>
          <w:cols w:equalWidth="0" w:num="2">
            <w:col w:w="4800" w:space="720"/>
            <w:col w:w="57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240"/>
          </w:cols>
          <w:pgMar w:left="320" w:top="1440" w:right="339" w:bottom="1440" w:gutter="0" w:footer="0" w:header="0"/>
          <w:type w:val="continuous"/>
        </w:sectPr>
      </w:pPr>
    </w:p>
    <w:bookmarkStart w:id="202" w:name="page203"/>
    <w:bookmarkEnd w:id="202"/>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the completion of this offering, based on our shares of our capital stock outstanding as of , 2025, we will have a total of shares of our Class A common stock outstanding and shares of our Class B common stock outstanding (after giving effect to the Capital Stock Conversion, the Reclassification, and the Class B Stock Exchange). Of these outstanding shares, all shares of our</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2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remaining outstanding shares of our Class A common stock (including shares issuable upon conversion of our Class B common stock) will be, and shares subject to stock options will be upon issuance, deemed “restricted securities” as that term is defined under Rule</w:t>
      </w:r>
    </w:p>
    <w:p>
      <w:pPr>
        <w:spacing w:after="0" w:line="2" w:lineRule="exact"/>
        <w:rPr>
          <w:sz w:val="20"/>
          <w:szCs w:val="20"/>
          <w:color w:val="auto"/>
        </w:rPr>
      </w:pPr>
    </w:p>
    <w:p>
      <w:pPr>
        <w:jc w:val="both"/>
        <w:ind w:firstLine="8"/>
        <w:spacing w:after="0" w:line="255" w:lineRule="auto"/>
        <w:tabs>
          <w:tab w:leader="none" w:pos="4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subject to the provisions of Rules 144 or 701, shares of our Class A common stock will be available for sale in the public market as follows:</w:t>
      </w:r>
    </w:p>
    <w:p>
      <w:pPr>
        <w:sectPr>
          <w:pgSz w:w="11900" w:h="16838" w:orient="portrait"/>
          <w:cols w:equalWidth="0" w:num="1">
            <w:col w:w="11240"/>
          </w:cols>
          <w:pgMar w:left="320" w:top="1440" w:right="339" w:bottom="1440" w:gutter="0" w:footer="0" w:header="0"/>
        </w:sectPr>
      </w:pPr>
    </w:p>
    <w:p>
      <w:pPr>
        <w:spacing w:after="0" w:line="1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60" w:hanging="4"/>
        <w:spacing w:after="0" w:line="287" w:lineRule="auto"/>
        <w:rPr>
          <w:sz w:val="20"/>
          <w:szCs w:val="20"/>
          <w:color w:val="auto"/>
        </w:rPr>
      </w:pPr>
      <w:r>
        <w:rPr>
          <w:rFonts w:ascii="Arial" w:cs="Arial" w:eastAsia="Arial" w:hAnsi="Arial"/>
          <w:sz w:val="18"/>
          <w:szCs w:val="18"/>
          <w:color w:val="auto"/>
        </w:rPr>
        <w:t>beginning on the date of this prospectus, all available for sale in the public market; and</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sold in this offering will be immediately</w:t>
      </w:r>
    </w:p>
    <w:p>
      <w:pPr>
        <w:spacing w:after="0" w:line="387" w:lineRule="exact"/>
        <w:rPr>
          <w:sz w:val="20"/>
          <w:szCs w:val="20"/>
          <w:color w:val="auto"/>
        </w:rPr>
      </w:pPr>
    </w:p>
    <w:p>
      <w:pPr>
        <w:sectPr>
          <w:pgSz w:w="11900" w:h="16838" w:orient="portrait"/>
          <w:cols w:equalWidth="0" w:num="3">
            <w:col w:w="400" w:space="260"/>
            <w:col w:w="3620" w:space="720"/>
            <w:col w:w="6240"/>
          </w:cols>
          <w:pgMar w:left="320" w:top="1440" w:right="339" w:bottom="1440" w:gutter="0" w:footer="0" w:header="0"/>
          <w:type w:val="continuous"/>
        </w:sect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subject to the terms of the lock-up agreements described below, all remaining</w:t>
      </w:r>
    </w:p>
    <w:p>
      <w:pPr>
        <w:sectPr>
          <w:pgSz w:w="11900" w:h="16838" w:orient="portrait"/>
          <w:cols w:equalWidth="0" w:num="1">
            <w:col w:w="11240"/>
          </w:cols>
          <w:pgMar w:left="320" w:top="1440" w:right="339" w:bottom="1440" w:gutter="0" w:footer="0" w:header="0"/>
          <w:type w:val="continuous"/>
        </w:sectPr>
      </w:pPr>
    </w:p>
    <w:p>
      <w:pPr>
        <w:spacing w:after="0" w:line="3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shares will become eligible for sale in the public market, of which shares will be held by affiliates and subject to the volume and other restrictions of Rule 144, as described below.</w:t>
      </w:r>
    </w:p>
    <w:p>
      <w:pPr>
        <w:sectPr>
          <w:pgSz w:w="11900" w:h="16838" w:orient="portrait"/>
          <w:cols w:equalWidth="0" w:num="1">
            <w:col w:w="11240"/>
          </w:cols>
          <w:pgMar w:left="320" w:top="14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240"/>
          </w:cols>
          <w:pgMar w:left="320" w:top="1440" w:right="339" w:bottom="1440" w:gutter="0" w:footer="0" w:header="0"/>
          <w:type w:val="continuous"/>
        </w:sectPr>
      </w:pPr>
    </w:p>
    <w:p>
      <w:pPr>
        <w:spacing w:after="0" w:line="17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our directors and executive officers and substantially all of the holders of our equity securities have agreed or expect to agree, subject to certain exceptions, not to offer, sell or transfer any shares of our common stock or securities convertible into or exchangeable or</w:t>
      </w:r>
    </w:p>
    <w:p>
      <w:pPr>
        <w:spacing w:after="0" w:line="2" w:lineRule="exact"/>
        <w:rPr>
          <w:sz w:val="20"/>
          <w:szCs w:val="20"/>
          <w:color w:val="auto"/>
        </w:rPr>
      </w:pPr>
    </w:p>
    <w:p>
      <w:pPr>
        <w:jc w:val="both"/>
        <w:ind w:left="560" w:hanging="554"/>
        <w:spacing w:after="0" w:line="250" w:lineRule="auto"/>
        <w:rPr>
          <w:sz w:val="20"/>
          <w:szCs w:val="20"/>
          <w:color w:val="auto"/>
        </w:rPr>
      </w:pPr>
      <w:r>
        <w:rPr>
          <w:rFonts w:ascii="Arial" w:cs="Arial" w:eastAsia="Arial" w:hAnsi="Arial"/>
          <w:sz w:val="18"/>
          <w:szCs w:val="18"/>
          <w:color w:val="auto"/>
        </w:rPr>
        <w:t>exercisable for our common stock for</w:t>
      </w:r>
      <w:r>
        <w:rPr>
          <w:sz w:val="20"/>
          <w:szCs w:val="20"/>
          <w:color w:val="auto"/>
        </w:rPr>
        <w:t xml:space="preserve"> </w:t>
      </w:r>
      <w:r>
        <w:rPr>
          <w:rFonts w:ascii="Arial" w:cs="Arial" w:eastAsia="Arial" w:hAnsi="Arial"/>
          <w:sz w:val="18"/>
          <w:szCs w:val="18"/>
          <w:color w:val="auto"/>
        </w:rPr>
        <w:t>days after the date of this prospectus without first obtaining the written consent of and , as representatives of the several underwriters of this offering. and may, in their sole discretion, and subject to FINRA</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Rule 5131, release any of the securities subject to the lock-up agreements with the underwriters at any time. For additional information about the lock-up agreements see the section titled “Underwriting.”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color w:val="auto"/>
        </w:rPr>
        <w:t>manner of sale, volume limitation or notice provisions of Rule 144, subject to compliance with the public information requirements of Rule</w:t>
      </w:r>
    </w:p>
    <w:p>
      <w:pPr>
        <w:spacing w:after="0" w:line="27" w:lineRule="exact"/>
        <w:rPr>
          <w:sz w:val="20"/>
          <w:szCs w:val="20"/>
          <w:color w:val="auto"/>
        </w:rPr>
      </w:pPr>
    </w:p>
    <w:p>
      <w:pPr>
        <w:jc w:val="both"/>
        <w:ind w:firstLine="8"/>
        <w:spacing w:after="0" w:line="250" w:lineRule="auto"/>
        <w:tabs>
          <w:tab w:leader="none" w:pos="4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such a person has beneficially owned the shares proposed to be sold for at least one year, including the holding period of any prior owner other than our affiliates, then that person would be entitled to sell those shares without complying with any of the requirements of Rule</w:t>
      </w:r>
    </w:p>
    <w:p>
      <w:pPr>
        <w:spacing w:after="0"/>
        <w:tabs>
          <w:tab w:leader="none" w:pos="0" w:val="left"/>
        </w:tabs>
        <w:numPr>
          <w:ilvl w:val="0"/>
          <w:numId w:val="89"/>
        </w:numPr>
        <w:rPr>
          <w:rFonts w:ascii="Arial" w:cs="Arial" w:eastAsia="Arial" w:hAnsi="Arial"/>
          <w:sz w:val="18"/>
          <w:szCs w:val="18"/>
          <w:color w:val="auto"/>
        </w:rPr>
      </w:pPr>
    </w:p>
    <w:p>
      <w:pPr>
        <w:spacing w:after="0" w:line="1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general, under Rule 144, as currently in effect, our affiliates or persons selling shares of our Class A common stock on behalf of our affiliates are entitled to sell upon expiration of the lock-up agreements and market standoff provisions described above, within any three-month period, a number of shares that does not exceed the greater of:</w:t>
      </w:r>
    </w:p>
    <w:p>
      <w:pPr>
        <w:sectPr>
          <w:pgSz w:w="11900" w:h="16838" w:orient="portrait"/>
          <w:cols w:equalWidth="0" w:num="1">
            <w:col w:w="11240"/>
          </w:cols>
          <w:pgMar w:left="320" w:top="1417" w:right="339" w:bottom="1440" w:gutter="0" w:footer="0" w:header="0"/>
        </w:sectPr>
      </w:pP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80" w:hanging="4"/>
        <w:spacing w:after="0" w:line="28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immediately after this offering; 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shares</w:t>
      </w:r>
    </w:p>
    <w:p>
      <w:pPr>
        <w:spacing w:after="0" w:line="398" w:lineRule="exact"/>
        <w:rPr>
          <w:sz w:val="20"/>
          <w:szCs w:val="20"/>
          <w:color w:val="auto"/>
        </w:rPr>
      </w:pPr>
    </w:p>
    <w:p>
      <w:pPr>
        <w:sectPr>
          <w:pgSz w:w="11900" w:h="16838" w:orient="portrait"/>
          <w:cols w:equalWidth="0" w:num="3">
            <w:col w:w="400" w:space="260"/>
            <w:col w:w="9320" w:space="720"/>
            <w:col w:w="540"/>
          </w:cols>
          <w:pgMar w:left="320" w:top="1417" w:right="339" w:bottom="1440" w:gutter="0" w:footer="0" w:header="0"/>
          <w:type w:val="continuous"/>
        </w:sectPr>
      </w:pPr>
    </w:p>
    <w:p>
      <w:pPr>
        <w:ind w:left="660" w:hanging="328"/>
        <w:spacing w:after="0" w:line="28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date of filing of a notice on Form 144 with respect to the sale.</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28, 2025, in connection with our conversion from a Delaware corporation to a Nevada corporation,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intend to file a registration statement on Form S-8 under the Securities Act promptly after the completion of this offering to register shares of our common stock subject to options outstanding, as well as reserved for future issuance, under our equity compensation plans. The registration statement on Form S-8 is expected to become effective immediately upon filing, and shares covered by the registration statement will then become eligible for sale in the public market, subject to the Rule 144 limitations applicable to affiliates, vesting restrictions and any applicable market standoff provisions and lock-up agreements. See the sections titled “Executive Compensation—2025 Incentive Award Plan,” “—2018 Equity Incentive Plan,” and “—2025 Employee Stock Purchase Plan,”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17" w:right="339" w:bottom="1440" w:gutter="0" w:footer="0" w:header="0"/>
          <w:type w:val="continuous"/>
        </w:sectPr>
      </w:pPr>
    </w:p>
    <w:bookmarkStart w:id="204" w:name="page205"/>
    <w:bookmarkEnd w:id="204"/>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125"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partnerships holding our Class A common stock and the partners in such partnerships should consult their tax advisors regarding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consequences to them.</w:t>
      </w:r>
    </w:p>
    <w:p>
      <w:pPr>
        <w:spacing w:after="0" w:line="15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117"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17" w:right="339" w:bottom="1440" w:gutter="0" w:footer="0" w:header="0"/>
        </w:sectPr>
      </w:pPr>
    </w:p>
    <w:bookmarkStart w:id="206" w:name="page207"/>
    <w:bookmarkEnd w:id="206"/>
    <w:p>
      <w:pPr>
        <w:jc w:val="both"/>
        <w:spacing w:after="0" w:line="287" w:lineRule="auto"/>
        <w:rPr>
          <w:sz w:val="20"/>
          <w:szCs w:val="20"/>
          <w:color w:val="auto"/>
        </w:rPr>
      </w:pPr>
      <w:r>
        <w:rPr>
          <w:rFonts w:ascii="Arial" w:cs="Arial" w:eastAsia="Arial" w:hAnsi="Arial"/>
          <w:sz w:val="18"/>
          <w:szCs w:val="18"/>
          <w:color w:val="auto"/>
        </w:rPr>
        <w:t>Form W-8ECI, certifying that the dividends are effectively connected with the Non-U.S. Holder’s conduct of a trade or business within the United States.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171"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Subject to the discussion below under “—Additional Withholding Tax on Payments Made to Foreign Accounts,” a Non-U.S. Holder will not be subject to U.S. federal income tax on any gain realized upon the sale or other taxable disposition of our Class A common stock unless:</w:t>
      </w:r>
    </w:p>
    <w:p>
      <w:pPr>
        <w:spacing w:after="0" w:line="76" w:lineRule="exact"/>
        <w:rPr>
          <w:sz w:val="20"/>
          <w:szCs w:val="20"/>
          <w:color w:val="auto"/>
        </w:rPr>
      </w:pPr>
    </w:p>
    <w:p>
      <w:pPr>
        <w:jc w:val="both"/>
        <w:ind w:left="660" w:hanging="328"/>
        <w:spacing w:after="0" w:line="268"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(“USRPI”) by reason of our status as a U.S. real property holding corporation (“USRPHC”) for U.S. federal income tax purposes.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17" w:right="339" w:bottom="1440" w:gutter="0" w:footer="0" w:header="0"/>
        </w:sectPr>
      </w:pPr>
    </w:p>
    <w:bookmarkStart w:id="207" w:name="page208"/>
    <w:bookmarkEnd w:id="207"/>
    <w:p>
      <w:pPr>
        <w:jc w:val="both"/>
        <w:spacing w:after="0" w:line="255" w:lineRule="auto"/>
        <w:rPr>
          <w:sz w:val="20"/>
          <w:szCs w:val="20"/>
          <w:color w:val="auto"/>
        </w:rPr>
      </w:pPr>
      <w:r>
        <w:rPr>
          <w:rFonts w:ascii="Arial" w:cs="Arial" w:eastAsia="Arial" w:hAnsi="Arial"/>
          <w:sz w:val="18"/>
          <w:szCs w:val="18"/>
          <w:color w:val="auto"/>
        </w:rPr>
        <w:t>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3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17" w:right="339" w:bottom="1440" w:gutter="0" w:footer="0" w:header="0"/>
        </w:sectPr>
      </w:pPr>
    </w:p>
    <w:bookmarkStart w:id="208" w:name="page209"/>
    <w:bookmarkEnd w:id="208"/>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of Class A common stock indicated in the following table. Goldman Sachs &amp; Co. LLC, Jefferies LLC and BofA Securities, Inc. are the representatives of the underwriters.</w:t>
      </w:r>
    </w:p>
    <w:p>
      <w:pPr>
        <w:spacing w:after="0" w:line="167"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17780</wp:posOffset>
            </wp:positionV>
            <wp:extent cx="994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wp:posOffset>
            </wp:positionV>
            <wp:extent cx="994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26035</wp:posOffset>
            </wp:positionV>
            <wp:extent cx="994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We have granted the underwriters an option to buy up to an additional shares of Class A common stock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00" w:type="dxa"/>
            <w:vAlign w:val="bottom"/>
            <w:gridSpan w:val="2"/>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616"/>
              <w:spacing w:after="0"/>
              <w:rPr>
                <w:sz w:val="20"/>
                <w:szCs w:val="20"/>
                <w:color w:val="auto"/>
              </w:rPr>
            </w:pPr>
            <w:r>
              <w:rPr>
                <w:rFonts w:ascii="Arial" w:cs="Arial" w:eastAsia="Arial" w:hAnsi="Arial"/>
                <w:sz w:val="18"/>
                <w:szCs w:val="18"/>
                <w:color w:val="auto"/>
              </w:rPr>
              <w:t>additional shares.</w:t>
            </w:r>
          </w:p>
        </w:tc>
      </w:tr>
      <w:tr>
        <w:trPr>
          <w:trHeight w:val="409"/>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No Exercise</w:t>
            </w:r>
          </w:p>
        </w:tc>
        <w:tc>
          <w:tcPr>
            <w:tcW w:w="1560" w:type="dxa"/>
            <w:vAlign w:val="bottom"/>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page of this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this offering, there has been no public market for the shares of our Class A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5" w:lineRule="exact"/>
        <w:rPr>
          <w:sz w:val="20"/>
          <w:szCs w:val="20"/>
          <w:color w:val="auto"/>
        </w:rPr>
      </w:pPr>
    </w:p>
    <w:p>
      <w:pPr>
        <w:ind w:left="340"/>
        <w:spacing w:after="0"/>
        <w:tabs>
          <w:tab w:leader="none" w:pos="5500" w:val="left"/>
        </w:tabs>
        <w:rPr>
          <w:sz w:val="20"/>
          <w:szCs w:val="20"/>
          <w:color w:val="auto"/>
        </w:rPr>
      </w:pPr>
      <w:r>
        <w:rPr>
          <w:rFonts w:ascii="Arial" w:cs="Arial" w:eastAsia="Arial" w:hAnsi="Arial"/>
          <w:sz w:val="18"/>
          <w:szCs w:val="18"/>
          <w:color w:val="auto"/>
        </w:rPr>
        <w:t>We intend to apply to list our Class A common stock on</w:t>
      </w:r>
      <w:r>
        <w:rPr>
          <w:sz w:val="20"/>
          <w:szCs w:val="20"/>
          <w:color w:val="auto"/>
        </w:rPr>
        <w:tab/>
      </w:r>
      <w:r>
        <w:rPr>
          <w:rFonts w:ascii="Arial" w:cs="Arial" w:eastAsia="Arial" w:hAnsi="Arial"/>
          <w:sz w:val="18"/>
          <w:szCs w:val="18"/>
          <w:color w:val="auto"/>
        </w:rPr>
        <w:t>under the symbol “FIGR.”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09" w:name="page210"/>
    <w:bookmarkEnd w:id="209"/>
    <w:p>
      <w:pPr>
        <w:jc w:val="both"/>
        <w:spacing w:after="0" w:line="255" w:lineRule="auto"/>
        <w:rPr>
          <w:sz w:val="20"/>
          <w:szCs w:val="20"/>
          <w:color w:val="auto"/>
        </w:rPr>
      </w:pPr>
      <w:r>
        <w:rPr>
          <w:rFonts w:ascii="Arial" w:cs="Arial" w:eastAsia="Arial" w:hAnsi="Arial"/>
          <w:sz w:val="18"/>
          <w:szCs w:val="18"/>
          <w:color w:val="auto"/>
        </w:rPr>
        <w:t>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completion of this offering.</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these activities and may end any of these activities at any time. These transactions may be effected on , in the over-the-counter market or otherwise.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 that our share of the total expenses of this offering, excluding underwriting discounts and commissions, will be</w:t>
      </w:r>
    </w:p>
    <w:p>
      <w:pPr>
        <w:spacing w:after="0" w:line="2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approximately $ . We have also agreed to reimburse the underwriters for certain expenses, including those related to FINRA, incurred by them in connection with this offering in an amount not to exceed $ .</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agreed with the underwriters, subject to certain exceptions detailed below, that, for a period of days after the date of this prospectus (the “restricted period”), we will not: (i) offer, sell, pledge, grant any option to purchase, make any short sale or otherwise transfer or dispose of, directly or indirectly, or publicly file with the SEC a registration statement under the Securities Act relating to, any securities of the company that are substantially similar to the shares of Class A common stock or Class B common stock, including but not limited to any options or warrants to purchase shares of such common stock or any securities that are convertible into or exchangeable for, or that represent the right to receive, shares of such common stock or any such substantially similar securities, or (ii) enter into any swap or other agreement that transfers, in whole or in part, any of the economic consequences of ownership of shares of Class A common stock, Class B common stock, or any such other securities, or (iii) otherwise publicly announce any intention to engage in any of the foregoing, whether any such transaction described in clause (i) or (ii) above is to be settled by delivery of our Class A common stock, Class B common stock, or such other securities, in cash or otherwise (other than the shares being offered or pursuant to employee stock option plans existing on, or upon the conversion or exchange of convertible or exchangeable securities outstanding as of, the date of this prospectus), without the</w:t>
      </w:r>
    </w:p>
    <w:p>
      <w:pPr>
        <w:spacing w:after="0" w:line="3"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prior written consent of</w:t>
      </w:r>
      <w:r>
        <w:rPr>
          <w:sz w:val="20"/>
          <w:szCs w:val="20"/>
          <w:color w:val="auto"/>
        </w:rPr>
        <w:tab/>
      </w:r>
      <w:r>
        <w:rPr>
          <w:rFonts w:ascii="Arial" w:cs="Arial" w:eastAsia="Arial" w:hAnsi="Arial"/>
          <w:sz w:val="13"/>
          <w:szCs w:val="13"/>
          <w:color w:val="auto"/>
        </w:rPr>
        <w:t>.</w:t>
      </w:r>
    </w:p>
    <w:p>
      <w:pPr>
        <w:sectPr>
          <w:pgSz w:w="11900" w:h="16838" w:orient="portrait"/>
          <w:cols w:equalWidth="0" w:num="1">
            <w:col w:w="11240"/>
          </w:cols>
          <w:pgMar w:left="320" w:top="1417" w:right="339" w:bottom="1440" w:gutter="0" w:footer="0" w:header="0"/>
        </w:sectPr>
      </w:pPr>
    </w:p>
    <w:p>
      <w:pPr>
        <w:spacing w:after="0" w:line="1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restrictions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described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preceding</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paragraphs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applicable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subject</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specified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exceptions,</w:t>
      </w:r>
    </w:p>
    <w:p>
      <w:pPr>
        <w:spacing w:after="0" w:line="32" w:lineRule="exact"/>
        <w:rPr>
          <w:sz w:val="20"/>
          <w:szCs w:val="20"/>
          <w:color w:val="auto"/>
        </w:rPr>
      </w:pPr>
    </w:p>
    <w:p>
      <w:pPr>
        <w:sectPr>
          <w:pgSz w:w="11900" w:h="16838" w:orient="portrait"/>
          <w:cols w:equalWidth="0" w:num="15">
            <w:col w:w="640" w:space="220"/>
            <w:col w:w="880" w:space="220"/>
            <w:col w:w="780" w:space="220"/>
            <w:col w:w="140" w:space="220"/>
            <w:col w:w="240" w:space="240"/>
            <w:col w:w="780" w:space="220"/>
            <w:col w:w="920" w:space="220"/>
            <w:col w:w="800" w:space="220"/>
            <w:col w:w="160" w:space="220"/>
            <w:col w:w="180" w:space="220"/>
            <w:col w:w="260" w:space="240"/>
            <w:col w:w="560" w:space="220"/>
            <w:col w:w="160" w:space="220"/>
            <w:col w:w="700" w:space="220"/>
            <w:col w:w="920"/>
          </w:cols>
          <w:pgMar w:left="320" w:top="1417" w:right="339" w:bottom="1440" w:gutter="0" w:footer="0" w:header="0"/>
          <w:type w:val="continuous"/>
        </w:sectPr>
      </w:pPr>
    </w:p>
    <w:p>
      <w:pPr>
        <w:spacing w:after="0"/>
        <w:rPr>
          <w:sz w:val="20"/>
          <w:szCs w:val="20"/>
          <w:color w:val="auto"/>
        </w:rPr>
      </w:pPr>
      <w:r>
        <w:rPr>
          <w:rFonts w:ascii="Arial" w:cs="Arial" w:eastAsia="Arial" w:hAnsi="Arial"/>
          <w:sz w:val="17"/>
          <w:szCs w:val="17"/>
          <w:color w:val="auto"/>
        </w:rPr>
        <w:t>including: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05" w:lineRule="exact"/>
        <w:rPr>
          <w:sz w:val="20"/>
          <w:szCs w:val="20"/>
          <w:color w:val="auto"/>
        </w:rPr>
      </w:pPr>
    </w:p>
    <w:p>
      <w:pPr>
        <w:sectPr>
          <w:pgSz w:w="11900" w:h="16838" w:orient="portrait"/>
          <w:cols w:equalWidth="0" w:num="2">
            <w:col w:w="1800" w:space="720"/>
            <w:col w:w="8720"/>
          </w:cols>
          <w:pgMar w:left="320" w:top="1417" w:right="339" w:bottom="1440" w:gutter="0" w:footer="0" w:header="0"/>
          <w:type w:val="continuous"/>
        </w:sectPr>
      </w:pPr>
    </w:p>
    <w:p>
      <w:pPr>
        <w:ind w:firstLine="324"/>
        <w:spacing w:after="0" w:line="287" w:lineRule="auto"/>
        <w:rPr>
          <w:sz w:val="20"/>
          <w:szCs w:val="20"/>
          <w:color w:val="auto"/>
        </w:rPr>
      </w:pPr>
      <w:r>
        <w:rPr>
          <w:rFonts w:ascii="Arial" w:cs="Arial" w:eastAsia="Arial" w:hAnsi="Arial"/>
          <w:sz w:val="18"/>
          <w:szCs w:val="18"/>
          <w:color w:val="auto"/>
        </w:rPr>
        <w:t>Our executive officers and directors and holders of substantially all of our Class A common stock (such persons, the “lock-up parties”) have entered into lock-up agreements with the underwriters,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17" w:right="339" w:bottom="1440" w:gutter="0" w:footer="0" w:header="0"/>
          <w:type w:val="continuous"/>
        </w:sectPr>
      </w:pPr>
    </w:p>
    <w:bookmarkStart w:id="210" w:name="page211"/>
    <w:bookmarkEnd w:id="210"/>
    <w:p>
      <w:pPr>
        <w:spacing w:after="0"/>
        <w:rPr>
          <w:sz w:val="20"/>
          <w:szCs w:val="20"/>
          <w:color w:val="auto"/>
        </w:rPr>
      </w:pPr>
      <w:r>
        <w:rPr>
          <w:rFonts w:ascii="Arial" w:cs="Arial" w:eastAsia="Arial" w:hAnsi="Arial"/>
          <w:sz w:val="18"/>
          <w:szCs w:val="18"/>
          <w:color w:val="auto"/>
        </w:rPr>
        <w:t>to certain exceptions, pursuant to which each lock-up party, for the duration of the restricted period, may not (and may not cause any of their</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direct or indirect affiliates to), without the prior written consent of : (i) offer, sell, contract to sell, pledge, grant any option to purchase, lend or otherwise dispose of any shares of Class A common stock Class B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Class A common stock or derivative instruments, whether any such transaction or arrangement (or instrument provided for thereunder) would be settled by delivery of such Class A common stock or other securities, in cash or otherwise or (iii) otherwise publicly announce any intention to engage in or cause any action or activity described in clause (i) above or transaction or arrangement described in clause (ii) above.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restrictions described in the preceding paragraphs applicable to us are subject to specified exceptions, including: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titled “Shares Eligible for Future Sale” for a discussion of certain transfer restrictions.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example, certain of the underwriters and their affiliates have engaged, and may in the future engage, in investment banking, commercial banking and other financial advisory and commercial dealings with us and our affiliates. They have received, or may in the future receive, customary fees and commissions for these transactions. Goldman Sachs Bank USA, which is an affiliate of Goldman Sachs &amp; Co. LLC, serves as repo agent and buyer under our master repurchase agreement, dated as of February 27, 2023, by and between Goldman Sachs Bank USA, as repo agent and buyer, and Figure Lending Borrower I, LLC, as seller, as amended from time to time. Further, Jefferies Funding LLC, which is an affiliate of Jefferies LLC, serves as the buyer under our master repurchase agreement, dated as of November 22, 2022, by and between Jefferies Funding LLC, as buyer, and FL LLC, as seller, as amended from time to time. Additionally, Goldman Sachs &amp; Co. LLC and Jefferies LLC have acted, and may continue to act, as joint bookrunners in the offerings of asset-backed securities issued by our securitization VIEs from time to time.</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17" w:right="339" w:bottom="1440" w:gutter="0" w:footer="0" w:header="0"/>
        </w:sectPr>
      </w:pPr>
    </w:p>
    <w:bookmarkStart w:id="211" w:name="page212"/>
    <w:bookmarkEnd w:id="211"/>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125"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the purposes of this provision, the expression an “offer of shares”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shares of Class A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12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(“FSMA”);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2" w:name="page213"/>
    <w:bookmarkEnd w:id="212"/>
    <w:p>
      <w:pPr>
        <w:jc w:val="both"/>
        <w:ind w:firstLine="324"/>
        <w:spacing w:after="0" w:line="287"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section 85 of the FSMA or supplement a prospectus pursuant to Article 23 of the UK Prospectus Regulation.</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Israel</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registration statement is being distributed only to, and is directed only at, and any offer of the shares of Class A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17" w:right="339" w:bottom="1440" w:gutter="0" w:footer="0" w:header="0"/>
        </w:sectPr>
      </w:pPr>
    </w:p>
    <w:bookmarkStart w:id="213" w:name="page214"/>
    <w:bookmarkEnd w:id="213"/>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include the information required of a disclosure document for the purposes of the Corporations Act; and</w:t>
      </w:r>
    </w:p>
    <w:p>
      <w:pPr>
        <w:spacing w:after="0" w:line="171" w:lineRule="exact"/>
        <w:rPr>
          <w:sz w:val="20"/>
          <w:szCs w:val="20"/>
          <w:color w:val="auto"/>
        </w:rPr>
      </w:pPr>
    </w:p>
    <w:p>
      <w:pPr>
        <w:ind w:left="660" w:right="20" w:hanging="328"/>
        <w:spacing w:after="0" w:line="28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any offer of shares of Class A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Brazil</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No.160, dated July 13, 2022, as amended (the "CVM Resolution") or an unauthorized distribution under Brazilian laws and regulations. The shares of Class A common stock may only be offered to Brazilian "professional investors" (as defined by applicable CVM regulation), who may only acquire the shares of Class A common stock through a non-Brazilian account, with settlement outside Brazil in non-Brazilian currency. The trading of the shares of Class A common stock on regulated securities markets in Brazil is prohibited.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details of these rights or consult with a legal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4" w:name="page215"/>
    <w:bookmarkEnd w:id="214"/>
    <w:p>
      <w:pPr>
        <w:jc w:val="both"/>
        <w:ind w:firstLine="324"/>
        <w:spacing w:after="0" w:line="28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or subject to restrictions on their resale. Prospective purchasers of the shares offered should conduct their own due diligence on the shares. If you do not understand the contents of this prospectus, then you should consult an authorized financial advisor.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 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For Qualified Institutional Investors (“QII”)</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17" w:right="339" w:bottom="1440" w:gutter="0" w:footer="0" w:header="0"/>
        </w:sectPr>
      </w:pPr>
    </w:p>
    <w:bookmarkStart w:id="215" w:name="page216"/>
    <w:bookmarkEnd w:id="215"/>
    <w:p>
      <w:pPr>
        <w:ind w:left="340"/>
        <w:spacing w:after="0"/>
        <w:rPr>
          <w:sz w:val="20"/>
          <w:szCs w:val="20"/>
          <w:color w:val="auto"/>
        </w:rPr>
      </w:pPr>
      <w:r>
        <w:rPr>
          <w:rFonts w:ascii="Arial" w:cs="Arial" w:eastAsia="Arial" w:hAnsi="Arial"/>
          <w:sz w:val="18"/>
          <w:szCs w:val="18"/>
          <w:u w:val="single" w:color="auto"/>
          <w:color w:val="auto"/>
        </w:rPr>
        <w:t>For Non-QII Investors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Singapore SFA Product Classification – In connection with Section 309B of the SFA and the Securities and Future (Capital Markets Products) Regulations 2018 (the “CMP Regulations”), we have determined, and hereby notify all relevant persons (as defined in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17" w:right="339" w:bottom="1440" w:gutter="0" w:footer="0" w:header="0"/>
        </w:sectPr>
      </w:pPr>
    </w:p>
    <w:bookmarkStart w:id="216" w:name="page217"/>
    <w:bookmarkEnd w:id="216"/>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prospectus is not intended to constitute an offer or solicitation to purchase or invest in the shares of Class A common stock. The shares of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constitutes a prospectus pursuant to the FinSA, and neither this document nor any other offering or marketing material relating to the shares of Class A common stock or this offering may be publicly distributed or otherwise made publicly available in Switzerland.</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validity of the shares of Class A common stock offered hereby will be passed upon for us by Brownstein Hyatt Farber Schreck, LLP, Las Vegas, Nevada. Certain matters of U.S. federal and New York State law will be passed upon for us by Latham &amp; Watkins LLP, and for the underwriters by Davis Polk &amp; Wardwell LLP, New York, New York.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consolidated financial statements included in this prospectus have been audited by KPMG LLP, an independent registered public accounting firm, as stated in their reports appearing herein. Such consolidated financial statements as of December 31, 2024 and 2023 and for each year in the two-year period ended December 31, 2024 are included in reliance upon the reports of such firm upon their authority as experts in accounting and auditing.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about issuers, like us, that file electronically with the SEC.</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We also maintain a website at https://www.figure.com/.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COMBINED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3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tc>
        <w:tc>
          <w:tcPr>
            <w:tcW w:w="8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0360" w:type="dxa"/>
            <w:vAlign w:val="bottom"/>
            <w:gridSpan w:val="17"/>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360" w:type="dxa"/>
            <w:vAlign w:val="bottom"/>
            <w:gridSpan w:val="17"/>
          </w:tcPr>
          <w:p>
            <w:pPr>
              <w:spacing w:after="0" w:line="195" w:lineRule="exact"/>
              <w:rPr>
                <w:sz w:val="20"/>
                <w:szCs w:val="20"/>
                <w:color w:val="auto"/>
              </w:rPr>
            </w:pPr>
            <w:r>
              <w:rPr>
                <w:rFonts w:ascii="Arial" w:cs="Arial" w:eastAsia="Arial" w:hAnsi="Arial"/>
                <w:sz w:val="18"/>
                <w:szCs w:val="18"/>
                <w:color w:val="0000FF"/>
              </w:rPr>
              <w:t>Report of Independent Registered Public Accounting Firm</w:t>
            </w:r>
          </w:p>
        </w:tc>
        <w:tc>
          <w:tcPr>
            <w:tcW w:w="480" w:type="dxa"/>
            <w:vAlign w:val="bottom"/>
          </w:tcPr>
          <w:p>
            <w:pPr>
              <w:spacing w:after="0"/>
              <w:rPr>
                <w:sz w:val="16"/>
                <w:szCs w:val="16"/>
                <w:color w:val="auto"/>
              </w:rPr>
            </w:pPr>
          </w:p>
        </w:tc>
        <w:tc>
          <w:tcPr>
            <w:tcW w:w="38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rPr>
              <w:t>F-2</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10"/>
          </w:tcPr>
          <w:p>
            <w:pPr>
              <w:spacing w:after="0"/>
              <w:rPr>
                <w:sz w:val="20"/>
                <w:szCs w:val="20"/>
                <w:color w:val="auto"/>
              </w:rPr>
            </w:pPr>
            <w:r>
              <w:rPr>
                <w:rFonts w:ascii="Arial" w:cs="Arial" w:eastAsia="Arial" w:hAnsi="Arial"/>
                <w:sz w:val="18"/>
                <w:szCs w:val="18"/>
                <w:color w:val="0000FF"/>
                <w:w w:val="98"/>
              </w:rPr>
              <w:t>Combined Consolidated Balance Sheets</w:t>
            </w:r>
          </w:p>
        </w:tc>
        <w:tc>
          <w:tcPr>
            <w:tcW w:w="1380" w:type="dxa"/>
            <w:vAlign w:val="bottom"/>
            <w:gridSpan w:val="5"/>
          </w:tcPr>
          <w:p>
            <w:pPr>
              <w:spacing w:after="0"/>
              <w:rPr>
                <w:sz w:val="18"/>
                <w:szCs w:val="18"/>
                <w:color w:val="auto"/>
              </w:rPr>
            </w:pPr>
          </w:p>
        </w:tc>
        <w:tc>
          <w:tcPr>
            <w:tcW w:w="57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F-3</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gridSpan w:val="12"/>
          </w:tcPr>
          <w:p>
            <w:pPr>
              <w:spacing w:after="0"/>
              <w:rPr>
                <w:sz w:val="20"/>
                <w:szCs w:val="20"/>
                <w:color w:val="auto"/>
              </w:rPr>
            </w:pPr>
            <w:r>
              <w:rPr>
                <w:rFonts w:ascii="Arial" w:cs="Arial" w:eastAsia="Arial" w:hAnsi="Arial"/>
                <w:sz w:val="18"/>
                <w:szCs w:val="18"/>
                <w:color w:val="0000FF"/>
                <w:w w:val="99"/>
              </w:rPr>
              <w:t>Combined Consolidated Statements of Operations</w:t>
            </w:r>
          </w:p>
        </w:tc>
        <w:tc>
          <w:tcPr>
            <w:tcW w:w="634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F-5</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Arial" w:cs="Arial" w:eastAsia="Arial" w:hAnsi="Arial"/>
                <w:sz w:val="18"/>
                <w:szCs w:val="18"/>
                <w:color w:val="0000FF"/>
              </w:rPr>
              <w:t>Combined Consolidated Statements of Stockholders' Equity</w:t>
            </w: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F-6</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13"/>
          </w:tcPr>
          <w:p>
            <w:pPr>
              <w:spacing w:after="0"/>
              <w:rPr>
                <w:sz w:val="20"/>
                <w:szCs w:val="20"/>
                <w:color w:val="auto"/>
              </w:rPr>
            </w:pPr>
            <w:r>
              <w:rPr>
                <w:rFonts w:ascii="Arial" w:cs="Arial" w:eastAsia="Arial" w:hAnsi="Arial"/>
                <w:sz w:val="18"/>
                <w:szCs w:val="18"/>
                <w:color w:val="0000FF"/>
                <w:w w:val="99"/>
              </w:rPr>
              <w:t>Combined Consolidated Statements of Cash Flows</w:t>
            </w:r>
          </w:p>
        </w:tc>
        <w:tc>
          <w:tcPr>
            <w:tcW w:w="680" w:type="dxa"/>
            <w:vAlign w:val="bottom"/>
            <w:gridSpan w:val="3"/>
          </w:tcPr>
          <w:p>
            <w:pPr>
              <w:spacing w:after="0"/>
              <w:rPr>
                <w:sz w:val="18"/>
                <w:szCs w:val="18"/>
                <w:color w:val="auto"/>
              </w:rPr>
            </w:pPr>
          </w:p>
        </w:tc>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F-7</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14"/>
          </w:tcPr>
          <w:p>
            <w:pPr>
              <w:spacing w:after="0"/>
              <w:rPr>
                <w:sz w:val="20"/>
                <w:szCs w:val="20"/>
                <w:color w:val="auto"/>
              </w:rPr>
            </w:pPr>
            <w:r>
              <w:rPr>
                <w:rFonts w:ascii="Arial" w:cs="Arial" w:eastAsia="Arial" w:hAnsi="Arial"/>
                <w:sz w:val="18"/>
                <w:szCs w:val="18"/>
                <w:color w:val="0000FF"/>
                <w:w w:val="99"/>
              </w:rPr>
              <w:t>Notes to Combined Consolidated Financial Statements</w:t>
            </w:r>
          </w:p>
        </w:tc>
        <w:tc>
          <w:tcPr>
            <w:tcW w:w="598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F-9</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60" w:type="dxa"/>
            <w:vAlign w:val="bottom"/>
            <w:gridSpan w:val="13"/>
          </w:tcPr>
          <w:p>
            <w:pPr>
              <w:spacing w:after="0"/>
              <w:rPr>
                <w:sz w:val="20"/>
                <w:szCs w:val="20"/>
                <w:color w:val="auto"/>
              </w:rPr>
            </w:pPr>
            <w:r>
              <w:rPr>
                <w:rFonts w:ascii="Arial" w:cs="Arial" w:eastAsia="Arial" w:hAnsi="Arial"/>
                <w:sz w:val="18"/>
                <w:szCs w:val="18"/>
                <w:color w:val="0000FF"/>
              </w:rPr>
              <w:t>Note 1 – Business and Organization</w:t>
            </w:r>
          </w:p>
        </w:tc>
        <w:tc>
          <w:tcPr>
            <w:tcW w:w="598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160" w:type="dxa"/>
            <w:vAlign w:val="bottom"/>
            <w:gridSpan w:val="13"/>
          </w:tcPr>
          <w:p>
            <w:pPr>
              <w:spacing w:after="0"/>
              <w:rPr>
                <w:sz w:val="20"/>
                <w:szCs w:val="20"/>
                <w:color w:val="auto"/>
              </w:rPr>
            </w:pPr>
            <w:r>
              <w:rPr>
                <w:rFonts w:ascii="Arial" w:cs="Arial" w:eastAsia="Arial" w:hAnsi="Arial"/>
                <w:sz w:val="18"/>
                <w:szCs w:val="18"/>
                <w:color w:val="0000FF"/>
                <w:w w:val="98"/>
              </w:rPr>
              <w:t>Note 2 – Summary of Significant Accounting Policies</w:t>
            </w:r>
          </w:p>
        </w:tc>
        <w:tc>
          <w:tcPr>
            <w:tcW w:w="598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0000FF"/>
              </w:rPr>
              <w:t>F-9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4160" w:type="dxa"/>
            <w:vAlign w:val="bottom"/>
            <w:gridSpan w:val="13"/>
          </w:tcPr>
          <w:p>
            <w:pPr>
              <w:spacing w:after="0"/>
              <w:rPr>
                <w:sz w:val="20"/>
                <w:szCs w:val="20"/>
                <w:color w:val="auto"/>
              </w:rPr>
            </w:pPr>
            <w:r>
              <w:rPr>
                <w:rFonts w:ascii="Arial" w:cs="Arial" w:eastAsia="Arial" w:hAnsi="Arial"/>
                <w:sz w:val="18"/>
                <w:szCs w:val="18"/>
                <w:color w:val="0000FF"/>
              </w:rPr>
              <w:t>Note 3 – Investments</w:t>
            </w:r>
          </w:p>
        </w:tc>
        <w:tc>
          <w:tcPr>
            <w:tcW w:w="5980" w:type="dxa"/>
            <w:vAlign w:val="bottom"/>
            <w:gridSpan w:val="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0000FF"/>
                <w:w w:val="99"/>
              </w:rPr>
              <w:t>Note 4 – Servicing</w:t>
            </w:r>
          </w:p>
        </w:tc>
        <w:tc>
          <w:tcPr>
            <w:tcW w:w="220" w:type="dxa"/>
            <w:vAlign w:val="bottom"/>
          </w:tcPr>
          <w:p>
            <w:pPr>
              <w:spacing w:after="0"/>
              <w:rPr>
                <w:sz w:val="18"/>
                <w:szCs w:val="18"/>
                <w:color w:val="auto"/>
              </w:rPr>
            </w:pPr>
          </w:p>
        </w:tc>
        <w:tc>
          <w:tcPr>
            <w:tcW w:w="844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0000FF"/>
              </w:rPr>
              <w:t>Note 5 – Loans</w:t>
            </w:r>
          </w:p>
        </w:tc>
        <w:tc>
          <w:tcPr>
            <w:tcW w:w="866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0000FF"/>
                <w:w w:val="99"/>
              </w:rPr>
              <w:t>Note 6 – Debt</w:t>
            </w:r>
          </w:p>
        </w:tc>
        <w:tc>
          <w:tcPr>
            <w:tcW w:w="100" w:type="dxa"/>
            <w:vAlign w:val="bottom"/>
          </w:tcPr>
          <w:p>
            <w:pPr>
              <w:spacing w:after="0"/>
              <w:rPr>
                <w:sz w:val="18"/>
                <w:szCs w:val="18"/>
                <w:color w:val="auto"/>
              </w:rPr>
            </w:pPr>
          </w:p>
        </w:tc>
        <w:tc>
          <w:tcPr>
            <w:tcW w:w="892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0000FF"/>
                <w:w w:val="95"/>
              </w:rPr>
              <w:t>Note 7 – Equity</w:t>
            </w:r>
          </w:p>
        </w:tc>
        <w:tc>
          <w:tcPr>
            <w:tcW w:w="892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0000FF"/>
              </w:rPr>
              <w:t>Note 8 – Variable Interest Entities</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0000FF"/>
              </w:rPr>
              <w:t>Note 9 – Commitments and Contingencies</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F-46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0" w:type="dxa"/>
            <w:vAlign w:val="bottom"/>
            <w:gridSpan w:val="9"/>
          </w:tcPr>
          <w:p>
            <w:pPr>
              <w:spacing w:after="0"/>
              <w:rPr>
                <w:sz w:val="20"/>
                <w:szCs w:val="20"/>
                <w:color w:val="auto"/>
              </w:rPr>
            </w:pPr>
            <w:r>
              <w:rPr>
                <w:rFonts w:ascii="Arial" w:cs="Arial" w:eastAsia="Arial" w:hAnsi="Arial"/>
                <w:sz w:val="18"/>
                <w:szCs w:val="18"/>
                <w:color w:val="0000FF"/>
                <w:w w:val="98"/>
              </w:rPr>
              <w:t>Note 10 – Related Party Transactions</w:t>
            </w:r>
          </w:p>
        </w:tc>
        <w:tc>
          <w:tcPr>
            <w:tcW w:w="380" w:type="dxa"/>
            <w:vAlign w:val="bottom"/>
          </w:tcPr>
          <w:p>
            <w:pPr>
              <w:spacing w:after="0"/>
              <w:rPr>
                <w:sz w:val="18"/>
                <w:szCs w:val="18"/>
                <w:color w:val="auto"/>
              </w:rPr>
            </w:pPr>
          </w:p>
        </w:tc>
        <w:tc>
          <w:tcPr>
            <w:tcW w:w="67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0" w:type="dxa"/>
            <w:vAlign w:val="bottom"/>
            <w:gridSpan w:val="9"/>
          </w:tcPr>
          <w:p>
            <w:pPr>
              <w:spacing w:after="0"/>
              <w:rPr>
                <w:sz w:val="20"/>
                <w:szCs w:val="20"/>
                <w:color w:val="auto"/>
              </w:rPr>
            </w:pPr>
            <w:r>
              <w:rPr>
                <w:rFonts w:ascii="Arial" w:cs="Arial" w:eastAsia="Arial" w:hAnsi="Arial"/>
                <w:sz w:val="18"/>
                <w:szCs w:val="18"/>
                <w:color w:val="0000FF"/>
              </w:rPr>
              <w:t>Note 11 – Fair Value Measurements</w:t>
            </w:r>
          </w:p>
        </w:tc>
        <w:tc>
          <w:tcPr>
            <w:tcW w:w="714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Note 12 – Income Taxes</w:t>
            </w:r>
          </w:p>
        </w:tc>
        <w:tc>
          <w:tcPr>
            <w:tcW w:w="728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F-54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400" w:type="dxa"/>
            <w:vAlign w:val="bottom"/>
            <w:gridSpan w:val="6"/>
          </w:tcPr>
          <w:p>
            <w:pPr>
              <w:spacing w:after="0"/>
              <w:rPr>
                <w:sz w:val="20"/>
                <w:szCs w:val="20"/>
                <w:color w:val="auto"/>
              </w:rPr>
            </w:pPr>
            <w:r>
              <w:rPr>
                <w:rFonts w:ascii="Arial" w:cs="Arial" w:eastAsia="Arial" w:hAnsi="Arial"/>
                <w:sz w:val="18"/>
                <w:szCs w:val="18"/>
                <w:color w:val="0000FF"/>
                <w:w w:val="99"/>
              </w:rPr>
              <w:t>Note 13 – Subsequent Events</w:t>
            </w:r>
          </w:p>
        </w:tc>
        <w:tc>
          <w:tcPr>
            <w:tcW w:w="774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0000FF"/>
              </w:rPr>
              <w:t>F-57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219" w:name="page220"/>
    <w:bookmarkEnd w:id="219"/>
    <w:p>
      <w:pPr>
        <w:ind w:left="3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174625</wp:posOffset>
            </wp:positionV>
            <wp:extent cx="68580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74320"/>
                    </a:xfrm>
                    <a:prstGeom prst="rect">
                      <a:avLst/>
                    </a:prstGeom>
                    <a:noFill/>
                  </pic:spPr>
                </pic:pic>
              </a:graphicData>
            </a:graphic>
          </wp:anchor>
        </w:drawing>
        <w:t>KPMG LLP</w:t>
      </w:r>
    </w:p>
    <w:p>
      <w:pPr>
        <w:spacing w:after="0" w:line="6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Suite 1400</w:t>
      </w:r>
    </w:p>
    <w:p>
      <w:pPr>
        <w:spacing w:after="0" w:line="3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55 Second Street</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San Francisco, CA 94105</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FT Intermediate, Inc. and Figure Markets Holdings, Inc. and their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Consolidated Financial Statements</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combined consolidated balance sheets of FT Intermediate, Inc. and Figure Markets Holdings, Inc. and their Subsidiaries (the Company) as of December 31, 2024 and Figure Technologies, Inc. as of December 31, 2023, the related combined consolidated statements of operations, stockholders’ equity, and cash flows for each of the years in the two-year period ended December 31, 2024, and the related notes (collectively, the combined consolidated financial statements). In our opinion, the combined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combined consolidated financial statements are the responsibility of the Company’s management. Our responsibility is to express an opinion on these combined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consolidated financial statements are free of material misstatement, whether due to error or fraud. Our audits included performing procedures to assess the risks of material misstatement of the combined consolidated financial statements, whether due to error or fraud, and performing procedures that respond to those risks. Such procedures included examining, on a test basis, evidence regarding the amounts and disclosures in the combined consolidated financial statements. Our audits also included evaluating the accounting principles used and significant estimates made by management, as well as evaluating the overall presentation of the combined consolidated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296" w:right="37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COMBINED CONSOLIDATED BALANCE SHEETS</w:t>
      </w: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116,548</w:t>
            </w:r>
          </w:p>
        </w:tc>
        <w:tc>
          <w:tcPr>
            <w:tcW w:w="0" w:type="dxa"/>
            <w:vAlign w:val="bottom"/>
          </w:tcPr>
          <w:p>
            <w:pPr>
              <w:spacing w:after="0"/>
              <w:rPr>
                <w:sz w:val="1"/>
                <w:szCs w:val="1"/>
                <w:color w:val="auto"/>
              </w:rPr>
            </w:pP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Loans held for sale, at fair value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255,516</w:t>
            </w:r>
          </w:p>
        </w:tc>
        <w:tc>
          <w:tcPr>
            <w:tcW w:w="0" w:type="dxa"/>
            <w:vAlign w:val="bottom"/>
          </w:tcPr>
          <w:p>
            <w:pPr>
              <w:spacing w:after="0"/>
              <w:rPr>
                <w:sz w:val="1"/>
                <w:szCs w:val="1"/>
                <w:color w:val="auto"/>
              </w:rPr>
            </w:pP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Digital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77,862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458,280</w:t>
            </w:r>
          </w:p>
        </w:tc>
        <w:tc>
          <w:tcPr>
            <w:tcW w:w="0" w:type="dxa"/>
            <w:vAlign w:val="bottom"/>
          </w:tcPr>
          <w:p>
            <w:pPr>
              <w:spacing w:after="0"/>
              <w:rPr>
                <w:sz w:val="1"/>
                <w:szCs w:val="1"/>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Loan servicing asset, at fair value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held for investment, at fair value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0" w:type="dxa"/>
            <w:vAlign w:val="bottom"/>
          </w:tcPr>
          <w:p>
            <w:pPr>
              <w:spacing w:after="0"/>
              <w:rPr>
                <w:sz w:val="1"/>
                <w:szCs w:val="1"/>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Marketable securities, at fair value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Digital assets,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Loan to related parties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39,610</w:t>
            </w:r>
          </w:p>
        </w:tc>
        <w:tc>
          <w:tcPr>
            <w:tcW w:w="0" w:type="dxa"/>
            <w:vAlign w:val="bottom"/>
          </w:tcPr>
          <w:p>
            <w:pPr>
              <w:spacing w:after="0"/>
              <w:rPr>
                <w:sz w:val="1"/>
                <w:szCs w:val="1"/>
                <w:color w:val="auto"/>
              </w:rPr>
            </w:pP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660,068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37,217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third-party loan owners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120,075</w:t>
            </w:r>
          </w:p>
        </w:tc>
        <w:tc>
          <w:tcPr>
            <w:tcW w:w="0" w:type="dxa"/>
            <w:vAlign w:val="bottom"/>
          </w:tcPr>
          <w:p>
            <w:pPr>
              <w:spacing w:after="0"/>
              <w:rPr>
                <w:sz w:val="1"/>
                <w:szCs w:val="1"/>
                <w:color w:val="auto"/>
              </w:rPr>
            </w:pPr>
          </w:p>
        </w:tc>
      </w:tr>
      <w:tr>
        <w:trPr>
          <w:trHeight w:val="230"/>
        </w:trPr>
        <w:tc>
          <w:tcPr>
            <w:tcW w:w="7980" w:type="dxa"/>
            <w:vAlign w:val="bottom"/>
          </w:tcPr>
          <w:p>
            <w:pPr>
              <w:ind w:left="680"/>
              <w:spacing w:after="0"/>
              <w:rPr>
                <w:sz w:val="20"/>
                <w:szCs w:val="20"/>
                <w:color w:val="auto"/>
              </w:rPr>
            </w:pPr>
            <w:r>
              <w:rPr>
                <w:rFonts w:ascii="Arial" w:cs="Arial" w:eastAsia="Arial" w:hAnsi="Arial"/>
                <w:sz w:val="18"/>
                <w:szCs w:val="18"/>
                <w:color w:val="auto"/>
              </w:rPr>
              <w:t>Debt, current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305,294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264,143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625,531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406,876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non-current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796,203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437,645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Convertible Preferred stock — FTI, $.00001 par value per share: 104,575,110 shares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tcPr>
          <w:p>
            <w:pPr>
              <w:ind w:left="620"/>
              <w:spacing w:after="0" w:line="183" w:lineRule="exact"/>
              <w:rPr>
                <w:sz w:val="20"/>
                <w:szCs w:val="20"/>
                <w:color w:val="auto"/>
              </w:rPr>
            </w:pPr>
            <w:r>
              <w:rPr>
                <w:rFonts w:ascii="Arial" w:cs="Arial" w:eastAsia="Arial" w:hAnsi="Arial"/>
                <w:sz w:val="18"/>
                <w:szCs w:val="18"/>
                <w:color w:val="auto"/>
              </w:rPr>
              <w:t>authorized, shares issued and outstanding at December 31, 2024, liquidation preference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tcPr>
          <w:p>
            <w:pPr>
              <w:ind w:left="620"/>
              <w:spacing w:after="0" w:line="181" w:lineRule="exact"/>
              <w:rPr>
                <w:sz w:val="20"/>
                <w:szCs w:val="20"/>
                <w:color w:val="auto"/>
              </w:rPr>
            </w:pPr>
            <w:r>
              <w:rPr>
                <w:rFonts w:ascii="Arial" w:cs="Arial" w:eastAsia="Arial" w:hAnsi="Arial"/>
                <w:sz w:val="18"/>
                <w:szCs w:val="18"/>
                <w:color w:val="auto"/>
              </w:rPr>
              <w:t>$455,274,801; 106,615,302 shares authorized, 104,575,110 issued and outstanding at</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980" w:type="dxa"/>
            <w:vAlign w:val="bottom"/>
          </w:tcPr>
          <w:p>
            <w:pPr>
              <w:ind w:left="620"/>
              <w:spacing w:after="0"/>
              <w:rPr>
                <w:sz w:val="20"/>
                <w:szCs w:val="20"/>
                <w:color w:val="auto"/>
              </w:rPr>
            </w:pPr>
            <w:r>
              <w:rPr>
                <w:rFonts w:ascii="Arial" w:cs="Arial" w:eastAsia="Arial" w:hAnsi="Arial"/>
                <w:sz w:val="18"/>
                <w:szCs w:val="18"/>
                <w:color w:val="auto"/>
              </w:rPr>
              <w:t>December 31, 2023, liquidation preference $455,274,801</w:t>
            </w:r>
          </w:p>
        </w:tc>
        <w:tc>
          <w:tcPr>
            <w:tcW w:w="3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Convertible Preferred stock — Markets, $.00001 par value per share: 56,573,362 shares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620"/>
              <w:spacing w:after="0" w:line="183" w:lineRule="exact"/>
              <w:rPr>
                <w:sz w:val="20"/>
                <w:szCs w:val="20"/>
                <w:color w:val="auto"/>
              </w:rPr>
            </w:pPr>
            <w:r>
              <w:rPr>
                <w:rFonts w:ascii="Arial" w:cs="Arial" w:eastAsia="Arial" w:hAnsi="Arial"/>
                <w:sz w:val="18"/>
                <w:szCs w:val="18"/>
                <w:color w:val="auto"/>
              </w:rPr>
              <w:t>authorized, 36,326,136 shares issued and outstanding at December 31, 2024, liquidation</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620"/>
              <w:spacing w:after="0" w:line="181" w:lineRule="exact"/>
              <w:rPr>
                <w:sz w:val="20"/>
                <w:szCs w:val="20"/>
                <w:color w:val="auto"/>
              </w:rPr>
            </w:pPr>
            <w:r>
              <w:rPr>
                <w:rFonts w:ascii="Arial" w:cs="Arial" w:eastAsia="Arial" w:hAnsi="Arial"/>
                <w:sz w:val="18"/>
                <w:szCs w:val="18"/>
                <w:color w:val="auto"/>
              </w:rPr>
              <w:t>preference $73,291,612; 0 shares authorized, issued and outstanding at December 31,</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2023</w:t>
            </w:r>
          </w:p>
        </w:tc>
        <w:tc>
          <w:tcPr>
            <w:tcW w:w="3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460"/>
              <w:spacing w:after="0" w:line="176" w:lineRule="exact"/>
              <w:rPr>
                <w:sz w:val="20"/>
                <w:szCs w:val="20"/>
                <w:color w:val="auto"/>
              </w:rPr>
            </w:pPr>
            <w:r>
              <w:rPr>
                <w:rFonts w:ascii="Arial" w:cs="Arial" w:eastAsia="Arial" w:hAnsi="Arial"/>
                <w:sz w:val="18"/>
                <w:szCs w:val="18"/>
                <w:color w:val="auto"/>
              </w:rPr>
              <w:t>Common stock — FTI, $.00001 par value per share: 202,800,000 shares authorized,</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tcPr>
          <w:p>
            <w:pPr>
              <w:ind w:left="620"/>
              <w:spacing w:after="0" w:line="183" w:lineRule="exact"/>
              <w:rPr>
                <w:sz w:val="20"/>
                <w:szCs w:val="20"/>
                <w:color w:val="auto"/>
              </w:rPr>
            </w:pPr>
            <w:r>
              <w:rPr>
                <w:rFonts w:ascii="Arial" w:cs="Arial" w:eastAsia="Arial" w:hAnsi="Arial"/>
                <w:sz w:val="18"/>
                <w:szCs w:val="18"/>
                <w:color w:val="auto"/>
              </w:rPr>
              <w:t>48,918,728 shares issued and outstanding at December 31, 2024; 197,100,000 shares</w:t>
            </w: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7980" w:type="dxa"/>
            <w:vAlign w:val="bottom"/>
          </w:tcPr>
          <w:p>
            <w:pPr>
              <w:ind w:left="620"/>
              <w:spacing w:after="0"/>
              <w:rPr>
                <w:sz w:val="20"/>
                <w:szCs w:val="20"/>
                <w:color w:val="auto"/>
              </w:rPr>
            </w:pPr>
            <w:r>
              <w:rPr>
                <w:rFonts w:ascii="Arial" w:cs="Arial" w:eastAsia="Arial" w:hAnsi="Arial"/>
                <w:sz w:val="18"/>
                <w:szCs w:val="18"/>
                <w:color w:val="auto"/>
              </w:rPr>
              <w:t>authorized, 51,618,208 issued and outstanding at December 31, 2023</w:t>
            </w:r>
          </w:p>
        </w:tc>
        <w:tc>
          <w:tcPr>
            <w:tcW w:w="3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9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Common stock — Markets, $.00001 par value per share: 188,540,000 shares authorized,</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620"/>
              <w:spacing w:after="0" w:line="183" w:lineRule="exact"/>
              <w:rPr>
                <w:sz w:val="20"/>
                <w:szCs w:val="20"/>
                <w:color w:val="auto"/>
              </w:rPr>
            </w:pPr>
            <w:r>
              <w:rPr>
                <w:rFonts w:ascii="Arial" w:cs="Arial" w:eastAsia="Arial" w:hAnsi="Arial"/>
                <w:sz w:val="18"/>
                <w:szCs w:val="18"/>
                <w:color w:val="auto"/>
              </w:rPr>
              <w:t>101,071,089 shares issued and outstanding at December 31, 2024; 0 shares authorized,</w:t>
            </w:r>
          </w:p>
        </w:tc>
        <w:tc>
          <w:tcPr>
            <w:tcW w:w="3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issued and outstanding at December 31, 2023</w:t>
            </w:r>
          </w:p>
        </w:tc>
        <w:tc>
          <w:tcPr>
            <w:tcW w:w="3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229"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COMBINED CONSOLIDATED BALANCE SHEETS</w:t>
      </w: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5"/>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5"/>
        </w:trPr>
        <w:tc>
          <w:tcPr>
            <w:tcW w:w="798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675,945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555,133</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(338,065)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Figure Technology Group stockholders' equity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355,098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217,070</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Noncontrolling interests in consolidated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222,423</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1,159,578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229"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Ecosystem and technology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28,314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10,628</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48,155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sale of loans,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140,353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50,343</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servicing asset,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209,549</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58,794</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Technology and product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62,657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49,154</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Operations and processing</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52,761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331,650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258,987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(49,438)</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(52,341)</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(52,443)</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 attributable to noncontrolling interests in consolidated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income (loss) attributable to Figure Technology Group</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(47,935)</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229"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Total Figure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20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FTI — Convertible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vMerge w:val="restart"/>
          </w:tcPr>
          <w:p>
            <w:pPr>
              <w:jc w:val="right"/>
              <w:ind w:right="160"/>
              <w:spacing w:after="0"/>
              <w:rPr>
                <w:sz w:val="20"/>
                <w:szCs w:val="20"/>
                <w:color w:val="auto"/>
              </w:rPr>
            </w:pPr>
            <w:r>
              <w:rPr>
                <w:rFonts w:ascii="Arial" w:cs="Arial" w:eastAsia="Arial" w:hAnsi="Arial"/>
                <w:sz w:val="11"/>
                <w:szCs w:val="11"/>
                <w:b w:val="1"/>
                <w:bCs w:val="1"/>
                <w:color w:val="auto"/>
              </w:rPr>
              <w:t>FTI — Common Stock</w:t>
            </w:r>
          </w:p>
        </w:tc>
        <w:tc>
          <w:tcPr>
            <w:tcW w:w="13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Markets — Convertible</w:t>
            </w:r>
          </w:p>
        </w:tc>
        <w:tc>
          <w:tcPr>
            <w:tcW w:w="140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Markets — Common</w:t>
            </w:r>
          </w:p>
        </w:tc>
        <w:tc>
          <w:tcPr>
            <w:tcW w:w="80" w:type="dxa"/>
            <w:vAlign w:val="bottom"/>
          </w:tcPr>
          <w:p>
            <w:pPr>
              <w:spacing w:after="0"/>
              <w:rPr>
                <w:sz w:val="10"/>
                <w:szCs w:val="10"/>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Technology</w:t>
            </w: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7"/>
              </w:rPr>
              <w:t>Noncontrolling</w:t>
            </w:r>
          </w:p>
        </w:tc>
        <w:tc>
          <w:tcPr>
            <w:tcW w:w="80" w:type="dxa"/>
            <w:vAlign w:val="bottom"/>
          </w:tcPr>
          <w:p>
            <w:pPr>
              <w:spacing w:after="0"/>
              <w:rPr>
                <w:sz w:val="10"/>
                <w:szCs w:val="10"/>
                <w:color w:val="auto"/>
              </w:rPr>
            </w:pPr>
          </w:p>
        </w:tc>
        <w:tc>
          <w:tcPr>
            <w:tcW w:w="78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0" w:type="dxa"/>
            <w:vAlign w:val="bottom"/>
            <w:gridSpan w:val="3"/>
          </w:tcPr>
          <w:p>
            <w:pPr>
              <w:jc w:val="right"/>
              <w:ind w:right="46"/>
              <w:spacing w:after="0" w:line="108" w:lineRule="exact"/>
              <w:rPr>
                <w:sz w:val="20"/>
                <w:szCs w:val="20"/>
                <w:color w:val="auto"/>
              </w:rPr>
            </w:pPr>
            <w:r>
              <w:rPr>
                <w:rFonts w:ascii="Arial" w:cs="Arial" w:eastAsia="Arial" w:hAnsi="Arial"/>
                <w:sz w:val="11"/>
                <w:szCs w:val="11"/>
                <w:b w:val="1"/>
                <w:bCs w:val="1"/>
                <w:color w:val="auto"/>
              </w:rPr>
              <w:t>Preferred Stock</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60" w:type="dxa"/>
            <w:vAlign w:val="bottom"/>
            <w:gridSpan w:val="5"/>
          </w:tcPr>
          <w:p>
            <w:pPr>
              <w:ind w:left="240"/>
              <w:spacing w:after="0" w:line="108" w:lineRule="exact"/>
              <w:rPr>
                <w:sz w:val="20"/>
                <w:szCs w:val="20"/>
                <w:color w:val="auto"/>
              </w:rPr>
            </w:pPr>
            <w:r>
              <w:rPr>
                <w:rFonts w:ascii="Arial" w:cs="Arial" w:eastAsia="Arial" w:hAnsi="Arial"/>
                <w:sz w:val="11"/>
                <w:szCs w:val="11"/>
                <w:b w:val="1"/>
                <w:bCs w:val="1"/>
                <w:color w:val="auto"/>
              </w:rPr>
              <w:t>Preferred Stock</w:t>
            </w:r>
          </w:p>
        </w:tc>
        <w:tc>
          <w:tcPr>
            <w:tcW w:w="820" w:type="dxa"/>
            <w:vAlign w:val="bottom"/>
            <w:gridSpan w:val="3"/>
          </w:tcPr>
          <w:p>
            <w:pPr>
              <w:jc w:val="right"/>
              <w:spacing w:after="0" w:line="108" w:lineRule="exact"/>
              <w:rPr>
                <w:sz w:val="20"/>
                <w:szCs w:val="20"/>
                <w:color w:val="auto"/>
              </w:rPr>
            </w:pPr>
            <w:r>
              <w:rPr>
                <w:rFonts w:ascii="Arial" w:cs="Arial" w:eastAsia="Arial" w:hAnsi="Arial"/>
                <w:sz w:val="11"/>
                <w:szCs w:val="11"/>
                <w:b w:val="1"/>
                <w:bCs w:val="1"/>
                <w:color w:val="auto"/>
              </w:rPr>
              <w:t>Stock</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6"/>
              </w:rPr>
              <w:t>Group</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Interests in</w:t>
            </w: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86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4"/>
                <w:szCs w:val="4"/>
                <w:color w:val="auto"/>
              </w:rPr>
            </w:pPr>
          </w:p>
        </w:tc>
        <w:tc>
          <w:tcPr>
            <w:tcW w:w="92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Stockholders'</w:t>
            </w:r>
          </w:p>
        </w:tc>
        <w:tc>
          <w:tcPr>
            <w:tcW w:w="100" w:type="dxa"/>
            <w:vAlign w:val="bottom"/>
          </w:tcPr>
          <w:p>
            <w:pPr>
              <w:spacing w:after="0"/>
              <w:rPr>
                <w:sz w:val="4"/>
                <w:szCs w:val="4"/>
                <w:color w:val="auto"/>
              </w:rPr>
            </w:pPr>
          </w:p>
        </w:tc>
        <w:tc>
          <w:tcPr>
            <w:tcW w:w="98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4"/>
                <w:szCs w:val="4"/>
                <w:color w:val="auto"/>
              </w:rPr>
            </w:pPr>
          </w:p>
        </w:tc>
        <w:tc>
          <w:tcPr>
            <w:tcW w:w="780" w:type="dxa"/>
            <w:vAlign w:val="bottom"/>
            <w:vMerge w:val="restart"/>
          </w:tcPr>
          <w:p>
            <w:pPr>
              <w:jc w:val="center"/>
              <w:ind w:right="2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Subsidiaries</w:t>
            </w:r>
          </w:p>
        </w:tc>
        <w:tc>
          <w:tcPr>
            <w:tcW w:w="80" w:type="dxa"/>
            <w:vAlign w:val="bottom"/>
          </w:tcPr>
          <w:p>
            <w:pPr>
              <w:spacing w:after="0"/>
              <w:rPr>
                <w:sz w:val="13"/>
                <w:szCs w:val="13"/>
                <w:color w:val="auto"/>
              </w:rPr>
            </w:pPr>
          </w:p>
        </w:tc>
        <w:tc>
          <w:tcPr>
            <w:tcW w:w="780" w:type="dxa"/>
            <w:vAlign w:val="bottom"/>
          </w:tcPr>
          <w:p>
            <w:pPr>
              <w:jc w:val="center"/>
              <w:ind w:right="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95"/>
        </w:trPr>
        <w:tc>
          <w:tcPr>
            <w:tcW w:w="96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0"/>
                <w:szCs w:val="10"/>
                <w:color w:val="auto"/>
              </w:rPr>
              <w:t>Balance at</w:t>
            </w: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December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246"/>
              <w:spacing w:after="0"/>
              <w:rPr>
                <w:sz w:val="20"/>
                <w:szCs w:val="20"/>
                <w:color w:val="auto"/>
              </w:rPr>
            </w:pPr>
            <w:r>
              <w:rPr>
                <w:rFonts w:ascii="Arial" w:cs="Arial" w:eastAsia="Arial" w:hAnsi="Arial"/>
                <w:sz w:val="11"/>
                <w:szCs w:val="11"/>
                <w:color w:val="auto"/>
                <w:w w:val="97"/>
              </w:rPr>
              <w:t>$</w:t>
            </w:r>
          </w:p>
        </w:tc>
        <w:tc>
          <w:tcPr>
            <w:tcW w:w="2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8"/>
              </w:rPr>
              <w:t>51,035,303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540,540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(289,823)</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250,719</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9,500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260,219</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2022</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Exercise of stock</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582,905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1,143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1,143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1,143</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options</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compensation</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13,450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13,450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13,450</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expense</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ind w:left="20"/>
              <w:spacing w:after="0"/>
              <w:rPr>
                <w:sz w:val="20"/>
                <w:szCs w:val="20"/>
                <w:color w:val="auto"/>
              </w:rPr>
            </w:pPr>
            <w:r>
              <w:rPr>
                <w:rFonts w:ascii="Arial" w:cs="Arial" w:eastAsia="Arial" w:hAnsi="Arial"/>
                <w:sz w:val="11"/>
                <w:szCs w:val="11"/>
                <w:color w:val="auto"/>
              </w:rPr>
              <w:t>Dilution</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(47,935)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(47,935)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(52,443)</w:t>
            </w:r>
          </w:p>
        </w:tc>
        <w:tc>
          <w:tcPr>
            <w:tcW w:w="0" w:type="dxa"/>
            <w:vAlign w:val="bottom"/>
          </w:tcPr>
          <w:p>
            <w:pPr>
              <w:spacing w:after="0"/>
              <w:rPr>
                <w:sz w:val="1"/>
                <w:szCs w:val="1"/>
                <w:color w:val="auto"/>
              </w:rPr>
            </w:pPr>
          </w:p>
        </w:tc>
      </w:tr>
      <w:tr>
        <w:trPr>
          <w:trHeight w:val="88"/>
        </w:trPr>
        <w:tc>
          <w:tcPr>
            <w:tcW w:w="960" w:type="dxa"/>
            <w:vAlign w:val="bottom"/>
          </w:tcPr>
          <w:p>
            <w:pPr>
              <w:ind w:left="20"/>
              <w:spacing w:after="0" w:line="89" w:lineRule="exact"/>
              <w:rPr>
                <w:sz w:val="20"/>
                <w:szCs w:val="20"/>
                <w:color w:val="auto"/>
              </w:rPr>
            </w:pPr>
            <w:r>
              <w:rPr>
                <w:rFonts w:ascii="Arial" w:cs="Arial" w:eastAsia="Arial" w:hAnsi="Arial"/>
                <w:sz w:val="10"/>
                <w:szCs w:val="10"/>
                <w:color w:val="auto"/>
              </w:rPr>
              <w:t>Balance at</w:t>
            </w: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9"/>
                <w:szCs w:val="9"/>
                <w:color w:val="auto"/>
              </w:rPr>
            </w:pPr>
          </w:p>
        </w:tc>
        <w:tc>
          <w:tcPr>
            <w:tcW w:w="380" w:type="dxa"/>
            <w:vAlign w:val="bottom"/>
            <w:vMerge w:val="restart"/>
          </w:tcPr>
          <w:p>
            <w:pPr>
              <w:jc w:val="right"/>
              <w:ind w:right="24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98"/>
              </w:rPr>
              <w:t>51,618,208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555,133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(338,065)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217,070</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5,353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222,423</w:t>
            </w:r>
          </w:p>
        </w:tc>
        <w:tc>
          <w:tcPr>
            <w:tcW w:w="0" w:type="dxa"/>
            <w:vAlign w:val="bottom"/>
          </w:tcPr>
          <w:p>
            <w:pPr>
              <w:spacing w:after="0"/>
              <w:rPr>
                <w:sz w:val="1"/>
                <w:szCs w:val="1"/>
                <w:color w:val="auto"/>
              </w:rPr>
            </w:pPr>
          </w:p>
        </w:tc>
      </w:tr>
      <w:tr>
        <w:trPr>
          <w:trHeight w:val="155"/>
        </w:trPr>
        <w:tc>
          <w:tcPr>
            <w:tcW w:w="960" w:type="dxa"/>
            <w:vAlign w:val="bottom"/>
          </w:tcPr>
          <w:p>
            <w:pPr>
              <w:ind w:left="180"/>
              <w:spacing w:after="0"/>
              <w:rPr>
                <w:sz w:val="20"/>
                <w:szCs w:val="20"/>
                <w:color w:val="auto"/>
              </w:rPr>
            </w:pPr>
            <w:r>
              <w:rPr>
                <w:rFonts w:ascii="Arial" w:cs="Arial" w:eastAsia="Arial" w:hAnsi="Arial"/>
                <w:sz w:val="11"/>
                <w:szCs w:val="11"/>
                <w:color w:val="auto"/>
              </w:rPr>
              <w:t>2023</w:t>
            </w: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6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0"/>
                <w:szCs w:val="10"/>
                <w:color w:val="auto"/>
              </w:rPr>
              <w:t>Issuance and</w:t>
            </w: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exchange of</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(3,667,229)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99,998,851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equity</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Issuance of Series</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Seed preferred</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98"/>
              </w:rPr>
              <w:t>36,326,136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71,773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71,774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71,774</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stock</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Issuance of</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preferred stock</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9,542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9,542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9,542</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warrants</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Common stock</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w w:val="99"/>
              </w:rPr>
              <w:t>repurchase and</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(186,054)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(1,001)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(1,001)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(1,001)</w:t>
            </w:r>
          </w:p>
        </w:tc>
        <w:tc>
          <w:tcPr>
            <w:tcW w:w="0" w:type="dxa"/>
            <w:vAlign w:val="bottom"/>
          </w:tcPr>
          <w:p>
            <w:pPr>
              <w:spacing w:after="0"/>
              <w:rPr>
                <w:sz w:val="1"/>
                <w:szCs w:val="1"/>
                <w:color w:val="auto"/>
              </w:rPr>
            </w:pPr>
          </w:p>
        </w:tc>
      </w:tr>
      <w:tr>
        <w:trPr>
          <w:trHeight w:val="142"/>
        </w:trPr>
        <w:tc>
          <w:tcPr>
            <w:tcW w:w="960" w:type="dxa"/>
            <w:vAlign w:val="bottom"/>
          </w:tcPr>
          <w:p>
            <w:pPr>
              <w:ind w:left="180"/>
              <w:spacing w:after="0"/>
              <w:rPr>
                <w:sz w:val="20"/>
                <w:szCs w:val="20"/>
                <w:color w:val="auto"/>
              </w:rPr>
            </w:pPr>
            <w:r>
              <w:rPr>
                <w:rFonts w:ascii="Arial" w:cs="Arial" w:eastAsia="Arial" w:hAnsi="Arial"/>
                <w:sz w:val="11"/>
                <w:szCs w:val="11"/>
                <w:color w:val="auto"/>
              </w:rPr>
              <w:t>retirement</w:t>
            </w:r>
          </w:p>
        </w:tc>
        <w:tc>
          <w:tcPr>
            <w:tcW w:w="8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Exercise of stock</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1,153,803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1,072,238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3,037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3,037</w:t>
            </w:r>
          </w:p>
        </w:tc>
        <w:tc>
          <w:tcPr>
            <w:tcW w:w="0" w:type="dxa"/>
            <w:vAlign w:val="bottom"/>
          </w:tcPr>
          <w:p>
            <w:pPr>
              <w:spacing w:after="0"/>
              <w:rPr>
                <w:sz w:val="1"/>
                <w:szCs w:val="1"/>
                <w:color w:val="auto"/>
              </w:rPr>
            </w:pPr>
          </w:p>
        </w:tc>
      </w:tr>
      <w:tr>
        <w:trPr>
          <w:trHeight w:val="142"/>
        </w:trPr>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Stock</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compensation</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38,726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38,726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38,726</w:t>
            </w:r>
          </w:p>
        </w:tc>
        <w:tc>
          <w:tcPr>
            <w:tcW w:w="0" w:type="dxa"/>
            <w:vAlign w:val="bottom"/>
          </w:tcPr>
          <w:p>
            <w:pPr>
              <w:spacing w:after="0"/>
              <w:rPr>
                <w:sz w:val="1"/>
                <w:szCs w:val="1"/>
                <w:color w:val="auto"/>
              </w:rPr>
            </w:pPr>
          </w:p>
        </w:tc>
      </w:tr>
      <w:tr>
        <w:trPr>
          <w:trHeight w:val="152"/>
        </w:trPr>
        <w:tc>
          <w:tcPr>
            <w:tcW w:w="960" w:type="dxa"/>
            <w:vAlign w:val="bottom"/>
          </w:tcPr>
          <w:p>
            <w:pPr>
              <w:ind w:left="180"/>
              <w:spacing w:after="0"/>
              <w:rPr>
                <w:sz w:val="20"/>
                <w:szCs w:val="20"/>
                <w:color w:val="auto"/>
              </w:rPr>
            </w:pPr>
            <w:r>
              <w:rPr>
                <w:rFonts w:ascii="Arial" w:cs="Arial" w:eastAsia="Arial" w:hAnsi="Arial"/>
                <w:sz w:val="11"/>
                <w:szCs w:val="11"/>
                <w:color w:val="auto"/>
              </w:rPr>
              <w:t>expense</w:t>
            </w:r>
          </w:p>
        </w:tc>
        <w:tc>
          <w:tcPr>
            <w:tcW w:w="8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Noncontrolling</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interest</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shd w:val="clear" w:color="auto" w:fill="CCEEFF"/>
          </w:tcPr>
          <w:p>
            <w:pPr>
              <w:ind w:left="180"/>
              <w:spacing w:after="0" w:line="108" w:lineRule="exact"/>
              <w:rPr>
                <w:sz w:val="20"/>
                <w:szCs w:val="20"/>
                <w:color w:val="auto"/>
              </w:rPr>
            </w:pPr>
            <w:r>
              <w:rPr>
                <w:rFonts w:ascii="Arial" w:cs="Arial" w:eastAsia="Arial" w:hAnsi="Arial"/>
                <w:sz w:val="11"/>
                <w:szCs w:val="11"/>
                <w:color w:val="auto"/>
              </w:rPr>
              <w:t>investment in</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290</w:t>
            </w:r>
          </w:p>
        </w:tc>
        <w:tc>
          <w:tcPr>
            <w:tcW w:w="0" w:type="dxa"/>
            <w:vAlign w:val="bottom"/>
          </w:tcPr>
          <w:p>
            <w:pPr>
              <w:spacing w:after="0"/>
              <w:rPr>
                <w:sz w:val="1"/>
                <w:szCs w:val="1"/>
                <w:color w:val="auto"/>
              </w:rPr>
            </w:pPr>
          </w:p>
        </w:tc>
      </w:tr>
      <w:tr>
        <w:trPr>
          <w:trHeight w:val="162"/>
        </w:trPr>
        <w:tc>
          <w:tcPr>
            <w:tcW w:w="9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subsidiary</w:t>
            </w:r>
          </w:p>
        </w:tc>
        <w:tc>
          <w:tcPr>
            <w:tcW w:w="8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20"/>
              <w:spacing w:after="0" w:line="109" w:lineRule="exact"/>
              <w:rPr>
                <w:sz w:val="20"/>
                <w:szCs w:val="20"/>
                <w:color w:val="auto"/>
              </w:rPr>
            </w:pPr>
            <w:r>
              <w:rPr>
                <w:rFonts w:ascii="Arial" w:cs="Arial" w:eastAsia="Arial" w:hAnsi="Arial"/>
                <w:sz w:val="11"/>
                <w:szCs w:val="11"/>
                <w:color w:val="auto"/>
              </w:rPr>
              <w:t>Dividends &amp;</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redemptions of</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(1,265)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(1,265)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(1,332)</w:t>
            </w:r>
          </w:p>
        </w:tc>
        <w:tc>
          <w:tcPr>
            <w:tcW w:w="0" w:type="dxa"/>
            <w:vAlign w:val="bottom"/>
          </w:tcPr>
          <w:p>
            <w:pPr>
              <w:spacing w:after="0"/>
              <w:rPr>
                <w:sz w:val="1"/>
                <w:szCs w:val="1"/>
                <w:color w:val="auto"/>
              </w:rPr>
            </w:pPr>
          </w:p>
        </w:tc>
      </w:tr>
      <w:tr>
        <w:trPr>
          <w:trHeight w:val="152"/>
        </w:trPr>
        <w:tc>
          <w:tcPr>
            <w:tcW w:w="960" w:type="dxa"/>
            <w:vAlign w:val="bottom"/>
          </w:tcPr>
          <w:p>
            <w:pPr>
              <w:ind w:left="180"/>
              <w:spacing w:after="0"/>
              <w:rPr>
                <w:sz w:val="20"/>
                <w:szCs w:val="20"/>
                <w:color w:val="auto"/>
              </w:rPr>
            </w:pPr>
            <w:r>
              <w:rPr>
                <w:rFonts w:ascii="Arial" w:cs="Arial" w:eastAsia="Arial" w:hAnsi="Arial"/>
                <w:sz w:val="11"/>
                <w:szCs w:val="11"/>
                <w:color w:val="auto"/>
              </w:rPr>
              <w:t>subsidiaries</w:t>
            </w:r>
          </w:p>
        </w:tc>
        <w:tc>
          <w:tcPr>
            <w:tcW w:w="8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17,214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2,701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19,915</w:t>
            </w:r>
          </w:p>
        </w:tc>
        <w:tc>
          <w:tcPr>
            <w:tcW w:w="0" w:type="dxa"/>
            <w:vAlign w:val="bottom"/>
          </w:tcPr>
          <w:p>
            <w:pPr>
              <w:spacing w:after="0"/>
              <w:rPr>
                <w:sz w:val="1"/>
                <w:szCs w:val="1"/>
                <w:color w:val="auto"/>
              </w:rPr>
            </w:pPr>
          </w:p>
        </w:tc>
      </w:tr>
      <w:tr>
        <w:trPr>
          <w:trHeight w:val="88"/>
        </w:trPr>
        <w:tc>
          <w:tcPr>
            <w:tcW w:w="960" w:type="dxa"/>
            <w:vAlign w:val="bottom"/>
          </w:tcPr>
          <w:p>
            <w:pPr>
              <w:ind w:left="20"/>
              <w:spacing w:after="0" w:line="89" w:lineRule="exact"/>
              <w:rPr>
                <w:sz w:val="20"/>
                <w:szCs w:val="20"/>
                <w:color w:val="auto"/>
              </w:rPr>
            </w:pPr>
            <w:r>
              <w:rPr>
                <w:rFonts w:ascii="Arial" w:cs="Arial" w:eastAsia="Arial" w:hAnsi="Arial"/>
                <w:sz w:val="10"/>
                <w:szCs w:val="10"/>
                <w:color w:val="auto"/>
              </w:rPr>
              <w:t>Balance at</w:t>
            </w: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60" w:type="dxa"/>
            <w:vAlign w:val="bottom"/>
          </w:tcPr>
          <w:p>
            <w:pPr>
              <w:ind w:left="180"/>
              <w:spacing w:after="0" w:line="108" w:lineRule="exact"/>
              <w:rPr>
                <w:sz w:val="20"/>
                <w:szCs w:val="20"/>
                <w:color w:val="auto"/>
              </w:rPr>
            </w:pPr>
            <w:r>
              <w:rPr>
                <w:rFonts w:ascii="Arial" w:cs="Arial" w:eastAsia="Arial" w:hAnsi="Arial"/>
                <w:sz w:val="11"/>
                <w:szCs w:val="1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9"/>
                <w:szCs w:val="9"/>
                <w:color w:val="auto"/>
              </w:rPr>
            </w:pPr>
          </w:p>
        </w:tc>
        <w:tc>
          <w:tcPr>
            <w:tcW w:w="380" w:type="dxa"/>
            <w:vAlign w:val="bottom"/>
            <w:vMerge w:val="restart"/>
          </w:tcPr>
          <w:p>
            <w:pPr>
              <w:jc w:val="right"/>
              <w:ind w:right="246"/>
              <w:spacing w:after="0"/>
              <w:rPr>
                <w:sz w:val="20"/>
                <w:szCs w:val="20"/>
                <w:color w:val="auto"/>
              </w:rPr>
            </w:pPr>
            <w:r>
              <w:rPr>
                <w:rFonts w:ascii="Arial" w:cs="Arial" w:eastAsia="Arial" w:hAnsi="Arial"/>
                <w:sz w:val="11"/>
                <w:szCs w:val="11"/>
                <w:color w:val="auto"/>
                <w:w w:val="97"/>
              </w:rPr>
              <w:t>$</w:t>
            </w:r>
          </w:p>
        </w:tc>
        <w:tc>
          <w:tcPr>
            <w:tcW w:w="2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48,918,728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color w:val="auto"/>
                <w:w w:val="98"/>
              </w:rPr>
              <w:t>36,326,136</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101,071,089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675,945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(320,851)</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355,098</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8,277</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363,375</w:t>
            </w:r>
          </w:p>
        </w:tc>
        <w:tc>
          <w:tcPr>
            <w:tcW w:w="0" w:type="dxa"/>
            <w:vAlign w:val="bottom"/>
          </w:tcPr>
          <w:p>
            <w:pPr>
              <w:spacing w:after="0"/>
              <w:rPr>
                <w:sz w:val="1"/>
                <w:szCs w:val="1"/>
                <w:color w:val="auto"/>
              </w:rPr>
            </w:pPr>
          </w:p>
        </w:tc>
      </w:tr>
      <w:tr>
        <w:trPr>
          <w:trHeight w:val="140"/>
        </w:trPr>
        <w:tc>
          <w:tcPr>
            <w:tcW w:w="960" w:type="dxa"/>
            <w:vAlign w:val="bottom"/>
          </w:tcPr>
          <w:p>
            <w:pPr>
              <w:ind w:left="180"/>
              <w:spacing w:after="0"/>
              <w:rPr>
                <w:sz w:val="20"/>
                <w:szCs w:val="20"/>
                <w:color w:val="auto"/>
              </w:rPr>
            </w:pPr>
            <w:r>
              <w:rPr>
                <w:rFonts w:ascii="Arial" w:cs="Arial" w:eastAsia="Arial" w:hAnsi="Arial"/>
                <w:sz w:val="11"/>
                <w:szCs w:val="11"/>
                <w:color w:val="auto"/>
              </w:rPr>
              <w:t>2024</w:t>
            </w: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229"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(52,443)</w:t>
            </w:r>
          </w:p>
        </w:tc>
      </w:tr>
      <w:tr>
        <w:trPr>
          <w:trHeight w:val="175"/>
        </w:trPr>
        <w:tc>
          <w:tcPr>
            <w:tcW w:w="7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Adjustments to reconcile net income (loss) to net cash flows used in (provided by) operating</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activities: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servicing asset,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(22,083)</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sale of loans,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(50,343)</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Gain on sale of digital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(4,689)</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(loss) from fund and equity method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deferred financing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internally developed software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Impairment of internally developed software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digital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Other asset impairment charge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Services exchanged for issuance of warrants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Noncash dissolution of subsidiary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Losses on repurchased loans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change in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loan sales, net of repurchases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4,782,838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3,297,216</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Originations of loans held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(3,164,966)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(1,981,195)</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Purchases of loans held for sale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(1,974,701)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(1,541,757)</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loans held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315,274</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(141,557)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(42,061)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sale of marketable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Principal payments on marketable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3,882</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7,741</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Lease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(28,868)</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Capitalization of internally developed software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Investment in fund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digital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sales of digital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Note receivable issued to related parties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Payment on note receivable from related parties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 of internally developed software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(22,107)</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4,623,817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2,781,230</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Principal payments on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(4,438,785)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(2,768,598)</w:t>
            </w:r>
          </w:p>
        </w:tc>
      </w:tr>
      <w:tr>
        <w:trPr>
          <w:trHeight w:val="239"/>
        </w:trPr>
        <w:tc>
          <w:tcPr>
            <w:tcW w:w="7980" w:type="dxa"/>
            <w:vAlign w:val="bottom"/>
          </w:tcPr>
          <w:p>
            <w:pPr>
              <w:ind w:left="460"/>
              <w:spacing w:after="0"/>
              <w:rPr>
                <w:sz w:val="20"/>
                <w:szCs w:val="20"/>
                <w:color w:val="auto"/>
              </w:rPr>
            </w:pPr>
            <w:r>
              <w:rPr>
                <w:rFonts w:ascii="Arial" w:cs="Arial" w:eastAsia="Arial" w:hAnsi="Arial"/>
                <w:sz w:val="18"/>
                <w:szCs w:val="18"/>
                <w:color w:val="auto"/>
              </w:rPr>
              <w:t>Payments of deferred financing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229"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Payables due to third-party loan owners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52,974</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issuance of preferred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Issuance costs of preferred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Proceeds from note payable, related party</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Repayment of note payable, related party</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Distributions to shareholders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Dividends and redemptions from the REIT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External noncontrolling interest in fund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Common stock repurchase and retirement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Proceeds from exercises of stock options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14,813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345,033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175,780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Cash paid during the period for interest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55,107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44,833</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during the period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7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Stock-based compensation included in capitalized internally developed software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 from related party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Distribution of noncontrolling interest in fund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from Onshore Solana Fund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Transfers from held for investment to held for sale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53,241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from held for sale to held for investment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22,279</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Other capital contributions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capital charges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980" w:type="dxa"/>
            <w:vAlign w:val="bottom"/>
          </w:tcPr>
          <w:p>
            <w:pPr>
              <w:ind w:left="240"/>
              <w:spacing w:after="0"/>
              <w:rPr>
                <w:sz w:val="20"/>
                <w:szCs w:val="20"/>
                <w:color w:val="auto"/>
              </w:rPr>
            </w:pPr>
            <w:r>
              <w:rPr>
                <w:rFonts w:ascii="Arial" w:cs="Arial" w:eastAsia="Arial" w:hAnsi="Arial"/>
                <w:sz w:val="18"/>
                <w:szCs w:val="18"/>
                <w:color w:val="auto"/>
              </w:rPr>
              <w:t>Noncash dissolution of subsidiary</w:t>
            </w:r>
          </w:p>
        </w:tc>
        <w:tc>
          <w:tcPr>
            <w:tcW w:w="3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9" w:right="3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AND ORGANIZATION</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Figure Technology Group is a group of companies that has built a suite of blockchain-based products and solutions centered around the vision of promoting efficiency and liquidity in financial markets. We offer a technology-enabled loan origination system and paired this system with a distribution marketplace, Figure Connect, providing access to a deep and broad pool of capital markets partners (together, the “Technology Offering”).</w:t>
      </w:r>
    </w:p>
    <w:p>
      <w:pPr>
        <w:spacing w:after="0" w:line="12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7"/>
          <w:szCs w:val="17"/>
          <w:color w:val="auto"/>
        </w:rPr>
        <w:t>The accompanying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99" w:lineRule="exact"/>
        <w:rPr>
          <w:sz w:val="20"/>
          <w:szCs w:val="20"/>
          <w:color w:val="auto"/>
        </w:rPr>
      </w:pPr>
    </w:p>
    <w:p>
      <w:pPr>
        <w:jc w:val="both"/>
        <w:ind w:left="660" w:hanging="328"/>
        <w:spacing w:after="0" w:line="268"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8"/>
          <w:szCs w:val="18"/>
          <w:i w:val="1"/>
          <w:iCs w:val="1"/>
          <w:color w:val="auto"/>
        </w:rPr>
        <w:t>— Segments</w:t>
      </w:r>
      <w:r>
        <w:rPr>
          <w:rFonts w:ascii="Arial" w:cs="Arial" w:eastAsia="Arial" w:hAnsi="Arial"/>
          <w:sz w:val="18"/>
          <w:szCs w:val="18"/>
          <w:color w:val="auto"/>
        </w:rPr>
        <w:t xml:space="preserve"> for further information. During the years ended December 31, 2024 and 2023,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combined consolidated financial statements are prepared in accordance with accounting principles generally accepted in the United States (“GAAP”). The financial statements for the year ended December 31, 2024 reflect the combined consolidated statements of FTI and Markets, whereas the comparative information for the year ended December 31, 2023 presents consolidated financial statements of the previous parent company, Figure Technologies Inc. ("FT"), prior to the change in corporate structure. The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Reorganization</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subsequently, FT consummated a reverse merger with a subsidiary of FTI.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9"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outstanding share of common stock of FT converted into one share of common stock of FTI, whereby FTI (a) contributed assets and liabilities applicable to the Markets business and (b) 100% of the equity interest to FT's successor. FT then ratably distributed 74.1% of Markets' common stock to third-party shareholders and 25.9% to related parties in exchange for their FTI common stock. See Note 7 for further information on the exchange with related parties.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we are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12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circumstances where an entity does not have the characteristics of a VIE, the Company would consolidate the entity if the Company owns a majority of the equity interest and has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9"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Combined Consolidated Statements of Operations. Distributions from equity method investments are classified as Investing Activity in the Combined Consolidated Statements of Cash Flows. The Company applies the cost method of accounting for entities in which the Company holds non-security interests and over which the Company does not exercise significant influence. See Note 3 for additional information regarding the Company’s cost and equity method investees.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Management continually reconsiders whether we should consolidate a variable interest entity. Upon the occurrence of certain events, management will reconsider its conclusion regarding the status of an entity as a variable interest entity. See Note 8 for additional information regarding the VIEs the Company consolidates.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 in Consolidated Subsidiaries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that is not attributable to the Company is reflected in Net Income (Loss) Attributable to Noncontrolling Interests in the Combined Consolidated Statements of Operations. The Company does not recognize a gain or loss on transactions with a consolidated entity in which it does not own 100% of the equity, but the Company reflects the difference in cash received or paid from the noncontrolling interests as adjustments to carrying amount as additional paid-in-capital.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9"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revenue, profitability, and expense information about our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FTI</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FTI</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18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r>
      <w:tr>
        <w:trPr>
          <w:trHeight w:val="198"/>
        </w:trPr>
        <w:tc>
          <w:tcPr>
            <w:tcW w:w="2740" w:type="dxa"/>
            <w:vAlign w:val="bottom"/>
          </w:tcPr>
          <w:p>
            <w:pPr>
              <w:ind w:left="460"/>
              <w:spacing w:after="0"/>
              <w:rPr>
                <w:sz w:val="20"/>
                <w:szCs w:val="20"/>
                <w:color w:val="auto"/>
              </w:rPr>
            </w:pPr>
            <w:r>
              <w:rPr>
                <w:rFonts w:ascii="Arial" w:cs="Arial" w:eastAsia="Arial" w:hAnsi="Arial"/>
                <w:sz w:val="14"/>
                <w:szCs w:val="14"/>
                <w:color w:val="auto"/>
              </w:rPr>
              <w:t>Interest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40,103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8,790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(686)</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48,207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37,887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10,268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48,155</w:t>
            </w:r>
          </w:p>
        </w:tc>
      </w:tr>
      <w:tr>
        <w:trPr>
          <w:trHeight w:val="207"/>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net revenue</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287,229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292,678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161,394</w:t>
            </w:r>
          </w:p>
        </w:tc>
      </w:tr>
      <w:tr>
        <w:trPr>
          <w:trHeight w:val="192"/>
        </w:trPr>
        <w:tc>
          <w:tcPr>
            <w:tcW w:w="2740" w:type="dxa"/>
            <w:vAlign w:val="bottom"/>
          </w:tcPr>
          <w:p>
            <w:pPr>
              <w:ind w:left="240"/>
              <w:spacing w:after="0"/>
              <w:rPr>
                <w:sz w:val="20"/>
                <w:szCs w:val="20"/>
                <w:color w:val="auto"/>
              </w:rPr>
            </w:pPr>
            <w:r>
              <w:rPr>
                <w:rFonts w:ascii="Arial" w:cs="Arial" w:eastAsia="Arial" w:hAnsi="Arial"/>
                <w:sz w:val="14"/>
                <w:szCs w:val="14"/>
                <w:color w:val="auto"/>
              </w:rPr>
              <w:t>Total net revenue</w:t>
            </w:r>
          </w:p>
        </w:tc>
        <w:tc>
          <w:tcPr>
            <w:tcW w:w="2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327,332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340,885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206,575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209,549</w:t>
            </w:r>
          </w:p>
        </w:tc>
      </w:tr>
      <w:tr>
        <w:trPr>
          <w:trHeight w:val="274"/>
        </w:trPr>
        <w:tc>
          <w:tcPr>
            <w:tcW w:w="27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51,043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r>
      <w:tr>
        <w:trPr>
          <w:trHeight w:val="199"/>
        </w:trPr>
        <w:tc>
          <w:tcPr>
            <w:tcW w:w="27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2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35,957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7,206</w:t>
            </w:r>
          </w:p>
        </w:tc>
      </w:tr>
      <w:tr>
        <w:trPr>
          <w:trHeight w:val="206"/>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expense</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179,868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59,592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239,278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202,581</w:t>
            </w:r>
          </w:p>
        </w:tc>
      </w:tr>
      <w:tr>
        <w:trPr>
          <w:trHeight w:val="192"/>
        </w:trPr>
        <w:tc>
          <w:tcPr>
            <w:tcW w:w="27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266,868</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65,650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331,650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185,778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74,234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258,987</w:t>
            </w:r>
          </w:p>
        </w:tc>
      </w:tr>
      <w:tr>
        <w:trPr>
          <w:trHeight w:val="225"/>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60,464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(49,522)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(49,438)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267,568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19,688</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287,256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105,056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11,492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116,548</w:t>
            </w:r>
          </w:p>
        </w:tc>
      </w:tr>
      <w:tr>
        <w:trPr>
          <w:trHeight w:val="203"/>
        </w:trPr>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613,810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264,229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872,322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439,238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543,520</w:t>
            </w:r>
          </w:p>
        </w:tc>
      </w:tr>
      <w:tr>
        <w:trPr>
          <w:trHeight w:val="200"/>
        </w:trPr>
        <w:tc>
          <w:tcPr>
            <w:tcW w:w="274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881,378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283,917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(5,717)</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1,159,578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117,649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660,068</w:t>
            </w:r>
          </w:p>
        </w:tc>
      </w:tr>
      <w:tr>
        <w:trPr>
          <w:trHeight w:val="21"/>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for information regarding the Company’s organizational segmentation.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and servicing assets. To the extent the Company originates, invests in, or services loans concentrated in certain geographic locations, disruptions to those locations may cause material risks to the Company despite favorable macroeceonomic conditions.</w:t>
      </w:r>
    </w:p>
    <w:p>
      <w:pPr>
        <w:spacing w:after="0" w:line="128" w:lineRule="exact"/>
        <w:rPr>
          <w:sz w:val="20"/>
          <w:szCs w:val="20"/>
          <w:color w:val="auto"/>
        </w:rPr>
      </w:pPr>
    </w:p>
    <w:p>
      <w:pPr>
        <w:ind w:right="280" w:firstLine="324"/>
        <w:spacing w:after="0" w:line="438" w:lineRule="auto"/>
        <w:rPr>
          <w:sz w:val="20"/>
          <w:szCs w:val="20"/>
          <w:color w:val="auto"/>
        </w:rPr>
      </w:pPr>
      <w:r>
        <w:rPr>
          <w:rFonts w:ascii="Arial" w:cs="Arial" w:eastAsia="Arial" w:hAnsi="Arial"/>
          <w:sz w:val="18"/>
          <w:szCs w:val="18"/>
          <w:color w:val="auto"/>
        </w:rPr>
        <w:t xml:space="preserve">Changes in federal, state, or international tax laws or tax rulings could adversely affect our effective tax rate and our operating results. </w:t>
      </w:r>
      <w:r>
        <w:rPr>
          <w:rFonts w:ascii="Arial" w:cs="Arial" w:eastAsia="Arial" w:hAnsi="Arial"/>
          <w:sz w:val="18"/>
          <w:szCs w:val="18"/>
          <w:b w:val="1"/>
          <w:bCs w:val="1"/>
          <w:color w:val="auto"/>
        </w:rPr>
        <w:t>Use of Estimates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subjective estimates, judgments, and assumptions that affect the reported amounts in these combined consolidated financial statements and accompanying notes including assets and liabilities, the disclosure of contingent assets and liabilities at the date of the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combined consolidated financial statements reflect the effects of estimate revisions in the period in which such revisions occur. Management believes that these estimates and assumptions provide a reasonable basis for the fair presentation of the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9"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and stock-based compensation, including the grant date fair value of the related common stock and employee awards of the Company, employee related costs and other inputs for capitalized internal use software and the related useful life for amortization, and whether or not to consolidate a VIE.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GAAP requires the categorization of the fair value of assets and liabilities into three broad levels that form a hierarchy based on the transparency of inputs to the valuation.</w:t>
      </w:r>
    </w:p>
    <w:p>
      <w:pPr>
        <w:spacing w:after="0" w:line="149" w:lineRule="exact"/>
        <w:rPr>
          <w:sz w:val="20"/>
          <w:szCs w:val="20"/>
          <w:color w:val="auto"/>
        </w:rPr>
      </w:pPr>
    </w:p>
    <w:p>
      <w:pPr>
        <w:ind w:left="240"/>
        <w:spacing w:after="0"/>
        <w:tabs>
          <w:tab w:leader="none" w:pos="5620" w:val="left"/>
        </w:tabs>
        <w:rPr>
          <w:sz w:val="20"/>
          <w:szCs w:val="20"/>
          <w:color w:val="auto"/>
        </w:rPr>
      </w:pPr>
      <w:r>
        <w:rPr>
          <w:rFonts w:ascii="Arial" w:cs="Arial" w:eastAsia="Arial" w:hAnsi="Arial"/>
          <w:sz w:val="14"/>
          <w:szCs w:val="14"/>
          <w:b w:val="1"/>
          <w:bCs w:val="1"/>
          <w:color w:val="auto"/>
        </w:rPr>
        <w:t>Level</w:t>
      </w:r>
      <w:r>
        <w:rPr>
          <w:sz w:val="20"/>
          <w:szCs w:val="20"/>
          <w:color w:val="auto"/>
        </w:rPr>
        <w:tab/>
      </w:r>
      <w:r>
        <w:rPr>
          <w:rFonts w:ascii="Arial" w:cs="Arial" w:eastAsia="Arial" w:hAnsi="Arial"/>
          <w:sz w:val="14"/>
          <w:szCs w:val="14"/>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980" w:hanging="597"/>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Inputs are unadjusted, quoted prices in active markets for identical assets or liabilities at the measurement date.</w:t>
      </w:r>
    </w:p>
    <w:p>
      <w:pPr>
        <w:spacing w:after="0" w:line="32" w:lineRule="exact"/>
        <w:rPr>
          <w:sz w:val="20"/>
          <w:szCs w:val="20"/>
          <w:color w:val="auto"/>
        </w:rPr>
      </w:pPr>
    </w:p>
    <w:p>
      <w:pPr>
        <w:ind w:left="980" w:right="100" w:hanging="597"/>
        <w:spacing w:after="0" w:line="229" w:lineRule="auto"/>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980" w:right="120" w:hanging="597"/>
        <w:spacing w:after="0" w:line="234"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Inputs are unobservable for the asset or liability, and include situations where there is little, if any, market activity for the asset or liability.</w:t>
      </w:r>
    </w:p>
    <w:p>
      <w:pPr>
        <w:spacing w:after="0" w:line="24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follows this hierarchy for its assets and liabilities, with classifications based on the lowest level of input that is significant to the fair value measurement. The following summarizes the Company’s assets and liabilities within the fair value hierarchy at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Level</w:t>
            </w:r>
          </w:p>
        </w:tc>
        <w:tc>
          <w:tcPr>
            <w:tcW w:w="2760" w:type="dxa"/>
            <w:vAlign w:val="bottom"/>
            <w:gridSpan w:val="2"/>
          </w:tcPr>
          <w:p>
            <w:pPr>
              <w:ind w:left="600"/>
              <w:spacing w:after="0"/>
              <w:rPr>
                <w:sz w:val="20"/>
                <w:szCs w:val="20"/>
                <w:color w:val="auto"/>
              </w:rPr>
            </w:pPr>
            <w:r>
              <w:rPr>
                <w:rFonts w:ascii="Arial" w:cs="Arial" w:eastAsia="Arial" w:hAnsi="Arial"/>
                <w:sz w:val="14"/>
                <w:szCs w:val="14"/>
                <w:b w:val="1"/>
                <w:bCs w:val="1"/>
                <w:color w:val="auto"/>
              </w:rPr>
              <w:t>Assets and Liabilities</w:t>
            </w:r>
          </w:p>
        </w:tc>
        <w:tc>
          <w:tcPr>
            <w:tcW w:w="7520" w:type="dxa"/>
            <w:vAlign w:val="bottom"/>
          </w:tcPr>
          <w:p>
            <w:pPr>
              <w:ind w:left="3300"/>
              <w:spacing w:after="0"/>
              <w:rPr>
                <w:sz w:val="20"/>
                <w:szCs w:val="20"/>
                <w:color w:val="auto"/>
              </w:rPr>
            </w:pPr>
            <w:r>
              <w:rPr>
                <w:rFonts w:ascii="Arial" w:cs="Arial" w:eastAsia="Arial" w:hAnsi="Arial"/>
                <w:sz w:val="14"/>
                <w:szCs w:val="14"/>
                <w:b w:val="1"/>
                <w:bCs w:val="1"/>
                <w:color w:val="auto"/>
              </w:rPr>
              <w:t>Measurement</w:t>
            </w:r>
          </w:p>
        </w:tc>
      </w:tr>
      <w:tr>
        <w:trPr>
          <w:trHeight w:val="170"/>
        </w:trPr>
        <w:tc>
          <w:tcPr>
            <w:tcW w:w="8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Cash and cash equivalents and</w:t>
            </w:r>
          </w:p>
        </w:tc>
        <w:tc>
          <w:tcPr>
            <w:tcW w:w="100" w:type="dxa"/>
            <w:vAlign w:val="bottom"/>
            <w:tcBorders>
              <w:top w:val="single" w:sz="8" w:color="CCEEFF"/>
            </w:tcBorders>
            <w:shd w:val="clear" w:color="auto" w:fill="CCEEFF"/>
          </w:tcPr>
          <w:p>
            <w:pPr>
              <w:spacing w:after="0"/>
              <w:rPr>
                <w:sz w:val="14"/>
                <w:szCs w:val="14"/>
                <w:color w:val="auto"/>
              </w:rPr>
            </w:pPr>
          </w:p>
        </w:tc>
        <w:tc>
          <w:tcPr>
            <w:tcW w:w="75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Estimates of fair value are measured using observable, quoted market prices, or Level 1</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inputs</w:t>
            </w: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Digital assets</w:t>
            </w: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Estimates of fair value are measured using observable, quoted digital asset prices within the</w:t>
            </w:r>
          </w:p>
        </w:tc>
      </w:tr>
      <w:tr>
        <w:trPr>
          <w:trHeight w:val="241"/>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Company’s principal market at the time of measurement as Level 1 inputs.</w:t>
            </w:r>
          </w:p>
        </w:tc>
      </w:tr>
      <w:tr>
        <w:trPr>
          <w:trHeight w:val="178"/>
        </w:trPr>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5"/>
                <w:szCs w:val="15"/>
                <w:color w:val="auto"/>
              </w:rPr>
            </w:pPr>
          </w:p>
        </w:tc>
        <w:tc>
          <w:tcPr>
            <w:tcW w:w="276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Marketable securities</w:t>
            </w:r>
          </w:p>
        </w:tc>
        <w:tc>
          <w:tcPr>
            <w:tcW w:w="75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43"/>
        </w:trPr>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w:t>
            </w: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Personal loans</w:t>
            </w: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Estimates of fair value are measured based upon observable market data of similar</w:t>
            </w:r>
          </w:p>
        </w:tc>
      </w:tr>
      <w:tr>
        <w:trPr>
          <w:trHeight w:val="239"/>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instruments.</w:t>
            </w:r>
          </w:p>
        </w:tc>
      </w:tr>
    </w:tbl>
    <w:p>
      <w:pPr>
        <w:ind w:left="980" w:hanging="597"/>
        <w:spacing w:after="0" w:line="236"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Marketable Securities —</w:t>
      </w:r>
      <w:r>
        <w:rPr>
          <w:rFonts w:ascii="Arial" w:cs="Arial" w:eastAsia="Arial" w:hAnsi="Arial"/>
          <w:sz w:val="17"/>
          <w:szCs w:val="17"/>
          <w:color w:val="auto"/>
        </w:rPr>
        <w:t>Estimated fair value based upon discounted expected future cash flows arising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88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3440" w:type="dxa"/>
            <w:vAlign w:val="bottom"/>
          </w:tcPr>
          <w:p>
            <w:pPr>
              <w:ind w:left="980"/>
              <w:spacing w:after="0" w:line="163" w:lineRule="exact"/>
              <w:rPr>
                <w:sz w:val="20"/>
                <w:szCs w:val="20"/>
                <w:color w:val="auto"/>
              </w:rPr>
            </w:pPr>
            <w:r>
              <w:rPr>
                <w:rFonts w:ascii="Arial" w:cs="Arial" w:eastAsia="Arial" w:hAnsi="Arial"/>
                <w:sz w:val="18"/>
                <w:szCs w:val="18"/>
                <w:color w:val="auto"/>
              </w:rPr>
              <w:t>Residual Interest Securities</w:t>
            </w:r>
          </w:p>
        </w:tc>
        <w:tc>
          <w:tcPr>
            <w:tcW w:w="7800" w:type="dxa"/>
            <w:vAlign w:val="bottom"/>
          </w:tcPr>
          <w:p>
            <w:pPr>
              <w:ind w:left="300"/>
              <w:spacing w:after="0" w:line="163" w:lineRule="exact"/>
              <w:rPr>
                <w:sz w:val="20"/>
                <w:szCs w:val="20"/>
                <w:color w:val="auto"/>
              </w:rPr>
            </w:pPr>
            <w:r>
              <w:rPr>
                <w:rFonts w:ascii="Arial" w:cs="Arial" w:eastAsia="Arial" w:hAnsi="Arial"/>
                <w:sz w:val="18"/>
                <w:szCs w:val="18"/>
                <w:color w:val="auto"/>
              </w:rPr>
              <w:t>securitization collateral cash flows after payments of principal and interest to senior</w:t>
            </w:r>
          </w:p>
        </w:tc>
      </w:tr>
      <w:tr>
        <w:trPr>
          <w:trHeight w:val="184"/>
        </w:trPr>
        <w:tc>
          <w:tcPr>
            <w:tcW w:w="3440" w:type="dxa"/>
            <w:vAlign w:val="bottom"/>
          </w:tcPr>
          <w:p>
            <w:pPr>
              <w:spacing w:after="0"/>
              <w:rPr>
                <w:sz w:val="15"/>
                <w:szCs w:val="15"/>
                <w:color w:val="auto"/>
              </w:rPr>
            </w:pPr>
          </w:p>
        </w:tc>
        <w:tc>
          <w:tcPr>
            <w:tcW w:w="7800" w:type="dxa"/>
            <w:vAlign w:val="bottom"/>
          </w:tcPr>
          <w:p>
            <w:pPr>
              <w:ind w:left="300"/>
              <w:spacing w:after="0" w:line="183" w:lineRule="exact"/>
              <w:rPr>
                <w:sz w:val="20"/>
                <w:szCs w:val="20"/>
                <w:color w:val="auto"/>
              </w:rPr>
            </w:pPr>
            <w:r>
              <w:rPr>
                <w:rFonts w:ascii="Arial" w:cs="Arial" w:eastAsia="Arial" w:hAnsi="Arial"/>
                <w:sz w:val="18"/>
                <w:szCs w:val="18"/>
                <w:color w:val="auto"/>
              </w:rPr>
              <w:t>noteholders and other fees, incorporating assumptions of scheduled principal and interest</w:t>
            </w:r>
          </w:p>
        </w:tc>
      </w:tr>
      <w:tr>
        <w:trPr>
          <w:trHeight w:val="229"/>
        </w:trPr>
        <w:tc>
          <w:tcPr>
            <w:tcW w:w="3440" w:type="dxa"/>
            <w:vAlign w:val="bottom"/>
          </w:tcPr>
          <w:p>
            <w:pPr>
              <w:spacing w:after="0"/>
              <w:rPr>
                <w:sz w:val="19"/>
                <w:szCs w:val="19"/>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collections; prepayment and default rates; and debt-to-income and loan-to-value ratios</w:t>
            </w:r>
          </w:p>
        </w:tc>
      </w:tr>
      <w:tr>
        <w:trPr>
          <w:trHeight w:val="181"/>
        </w:trPr>
        <w:tc>
          <w:tcPr>
            <w:tcW w:w="3440" w:type="dxa"/>
            <w:vAlign w:val="bottom"/>
          </w:tcPr>
          <w:p>
            <w:pPr>
              <w:ind w:left="980"/>
              <w:spacing w:after="0" w:line="181" w:lineRule="exact"/>
              <w:rPr>
                <w:sz w:val="20"/>
                <w:szCs w:val="20"/>
                <w:color w:val="auto"/>
              </w:rPr>
            </w:pPr>
            <w:r>
              <w:rPr>
                <w:rFonts w:ascii="Arial" w:cs="Arial" w:eastAsia="Arial" w:hAnsi="Arial"/>
                <w:sz w:val="18"/>
                <w:szCs w:val="18"/>
                <w:color w:val="auto"/>
              </w:rPr>
              <w:t>Loans</w:t>
            </w:r>
          </w:p>
        </w:tc>
        <w:tc>
          <w:tcPr>
            <w:tcW w:w="7800" w:type="dxa"/>
            <w:vAlign w:val="bottom"/>
          </w:tcPr>
          <w:p>
            <w:pPr>
              <w:ind w:left="300"/>
              <w:spacing w:after="0" w:line="181" w:lineRule="exact"/>
              <w:rPr>
                <w:sz w:val="20"/>
                <w:szCs w:val="20"/>
                <w:color w:val="auto"/>
              </w:rPr>
            </w:pPr>
            <w:r>
              <w:rPr>
                <w:rFonts w:ascii="Arial" w:cs="Arial" w:eastAsia="Arial" w:hAnsi="Arial"/>
                <w:sz w:val="18"/>
                <w:szCs w:val="18"/>
                <w:color w:val="auto"/>
              </w:rPr>
              <w:t>Estimated fair value based upon discounted expected future contractual loan cash flows,</w:t>
            </w:r>
          </w:p>
        </w:tc>
      </w:tr>
      <w:tr>
        <w:trPr>
          <w:trHeight w:val="175"/>
        </w:trPr>
        <w:tc>
          <w:tcPr>
            <w:tcW w:w="3440" w:type="dxa"/>
            <w:vAlign w:val="bottom"/>
          </w:tcPr>
          <w:p>
            <w:pPr>
              <w:spacing w:after="0"/>
              <w:rPr>
                <w:sz w:val="15"/>
                <w:szCs w:val="15"/>
                <w:color w:val="auto"/>
              </w:rPr>
            </w:pPr>
          </w:p>
        </w:tc>
        <w:tc>
          <w:tcPr>
            <w:tcW w:w="7800" w:type="dxa"/>
            <w:vAlign w:val="bottom"/>
          </w:tcPr>
          <w:p>
            <w:pPr>
              <w:ind w:left="300"/>
              <w:spacing w:after="0" w:line="176" w:lineRule="exact"/>
              <w:rPr>
                <w:sz w:val="20"/>
                <w:szCs w:val="20"/>
                <w:color w:val="auto"/>
              </w:rPr>
            </w:pPr>
            <w:r>
              <w:rPr>
                <w:rFonts w:ascii="Arial" w:cs="Arial" w:eastAsia="Arial" w:hAnsi="Arial"/>
                <w:sz w:val="18"/>
                <w:szCs w:val="18"/>
                <w:color w:val="auto"/>
              </w:rPr>
              <w:t>incorporating assumptions of scheduled principal and interest collections; prepayment and</w:t>
            </w:r>
          </w:p>
        </w:tc>
      </w:tr>
      <w:tr>
        <w:trPr>
          <w:trHeight w:val="241"/>
        </w:trPr>
        <w:tc>
          <w:tcPr>
            <w:tcW w:w="3440" w:type="dxa"/>
            <w:vAlign w:val="bottom"/>
          </w:tcPr>
          <w:p>
            <w:pPr>
              <w:spacing w:after="0"/>
              <w:rPr>
                <w:sz w:val="20"/>
                <w:szCs w:val="20"/>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default rates; and debt-to-income and loan-to-value ratios</w:t>
            </w:r>
          </w:p>
        </w:tc>
      </w:tr>
      <w:tr>
        <w:trPr>
          <w:trHeight w:val="178"/>
        </w:trPr>
        <w:tc>
          <w:tcPr>
            <w:tcW w:w="3440" w:type="dxa"/>
            <w:vAlign w:val="bottom"/>
            <w:shd w:val="clear" w:color="auto" w:fill="CCEEFF"/>
          </w:tcPr>
          <w:p>
            <w:pPr>
              <w:ind w:left="980"/>
              <w:spacing w:after="0" w:line="177" w:lineRule="exact"/>
              <w:rPr>
                <w:sz w:val="20"/>
                <w:szCs w:val="20"/>
                <w:color w:val="auto"/>
              </w:rPr>
            </w:pPr>
            <w:r>
              <w:rPr>
                <w:rFonts w:ascii="Arial" w:cs="Arial" w:eastAsia="Arial" w:hAnsi="Arial"/>
                <w:sz w:val="18"/>
                <w:szCs w:val="18"/>
                <w:color w:val="auto"/>
              </w:rPr>
              <w:t>Loan servicing asset</w:t>
            </w:r>
          </w:p>
        </w:tc>
        <w:tc>
          <w:tcPr>
            <w:tcW w:w="7800" w:type="dxa"/>
            <w:vAlign w:val="bottom"/>
            <w:shd w:val="clear" w:color="auto" w:fill="CCEEFF"/>
          </w:tcPr>
          <w:p>
            <w:pPr>
              <w:ind w:left="300"/>
              <w:spacing w:after="0" w:line="177" w:lineRule="exact"/>
              <w:rPr>
                <w:sz w:val="20"/>
                <w:szCs w:val="20"/>
                <w:color w:val="auto"/>
              </w:rPr>
            </w:pPr>
            <w:r>
              <w:rPr>
                <w:rFonts w:ascii="Arial" w:cs="Arial" w:eastAsia="Arial" w:hAnsi="Arial"/>
                <w:sz w:val="18"/>
                <w:szCs w:val="18"/>
                <w:color w:val="auto"/>
              </w:rPr>
              <w:t>Estimated fair value based upon discounted expected future cash flows arising from the</w:t>
            </w:r>
          </w:p>
        </w:tc>
      </w:tr>
      <w:tr>
        <w:trPr>
          <w:trHeight w:val="176"/>
        </w:trPr>
        <w:tc>
          <w:tcPr>
            <w:tcW w:w="3440" w:type="dxa"/>
            <w:vAlign w:val="bottom"/>
            <w:shd w:val="clear" w:color="auto" w:fill="CCEEFF"/>
          </w:tcPr>
          <w:p>
            <w:pPr>
              <w:spacing w:after="0"/>
              <w:rPr>
                <w:sz w:val="15"/>
                <w:szCs w:val="15"/>
                <w:color w:val="auto"/>
              </w:rPr>
            </w:pPr>
          </w:p>
        </w:tc>
        <w:tc>
          <w:tcPr>
            <w:tcW w:w="780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market fees earned to service underlying similar loans, net of market servicing costs, of the</w:t>
            </w:r>
          </w:p>
        </w:tc>
      </w:tr>
      <w:tr>
        <w:trPr>
          <w:trHeight w:val="184"/>
        </w:trPr>
        <w:tc>
          <w:tcPr>
            <w:tcW w:w="3440" w:type="dxa"/>
            <w:vAlign w:val="bottom"/>
            <w:shd w:val="clear" w:color="auto" w:fill="CCEEFF"/>
          </w:tcPr>
          <w:p>
            <w:pPr>
              <w:spacing w:after="0"/>
              <w:rPr>
                <w:sz w:val="15"/>
                <w:szCs w:val="15"/>
                <w:color w:val="auto"/>
              </w:rPr>
            </w:pPr>
          </w:p>
        </w:tc>
        <w:tc>
          <w:tcPr>
            <w:tcW w:w="7800" w:type="dxa"/>
            <w:vAlign w:val="bottom"/>
            <w:shd w:val="clear" w:color="auto" w:fill="CCEEFF"/>
          </w:tcPr>
          <w:p>
            <w:pPr>
              <w:ind w:left="300"/>
              <w:spacing w:after="0" w:line="183" w:lineRule="exact"/>
              <w:rPr>
                <w:sz w:val="20"/>
                <w:szCs w:val="20"/>
                <w:color w:val="auto"/>
              </w:rPr>
            </w:pPr>
            <w:r>
              <w:rPr>
                <w:rFonts w:ascii="Arial" w:cs="Arial" w:eastAsia="Arial" w:hAnsi="Arial"/>
                <w:sz w:val="18"/>
                <w:szCs w:val="18"/>
                <w:color w:val="auto"/>
              </w:rPr>
              <w:t>forecasted loan balances, incorporating scheduled principal and interest collections as well as</w:t>
            </w:r>
          </w:p>
        </w:tc>
      </w:tr>
      <w:tr>
        <w:trPr>
          <w:trHeight w:val="235"/>
        </w:trPr>
        <w:tc>
          <w:tcPr>
            <w:tcW w:w="3440" w:type="dxa"/>
            <w:vAlign w:val="bottom"/>
            <w:shd w:val="clear" w:color="auto" w:fill="CCEEFF"/>
          </w:tcPr>
          <w:p>
            <w:pPr>
              <w:spacing w:after="0"/>
              <w:rPr>
                <w:sz w:val="20"/>
                <w:szCs w:val="20"/>
                <w:color w:val="auto"/>
              </w:rPr>
            </w:pPr>
          </w:p>
        </w:tc>
        <w:tc>
          <w:tcPr>
            <w:tcW w:w="7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prepayment and default rates.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9"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Significant Inputs </w:t>
      </w:r>
      <w:r>
        <w:rPr>
          <w:rFonts w:ascii="Arial" w:cs="Arial" w:eastAsia="Arial" w:hAnsi="Arial"/>
          <w:sz w:val="18"/>
          <w:szCs w:val="18"/>
          <w:color w:val="auto"/>
        </w:rPr>
        <w:t>— For the assets and liabilities measurements above, the Company uses the following significant inputs:</w:t>
      </w:r>
    </w:p>
    <w:p>
      <w:pPr>
        <w:spacing w:after="0" w:line="171" w:lineRule="exact"/>
        <w:rPr>
          <w:sz w:val="20"/>
          <w:szCs w:val="20"/>
          <w:color w:val="auto"/>
        </w:rPr>
      </w:pPr>
    </w:p>
    <w:p>
      <w:pPr>
        <w:ind w:left="660" w:hanging="328"/>
        <w:spacing w:after="0" w:line="28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Conditional Prepayment Rate </w:t>
      </w:r>
      <w:r>
        <w:rPr>
          <w:rFonts w:ascii="Arial" w:cs="Arial" w:eastAsia="Arial" w:hAnsi="Arial"/>
          <w:sz w:val="18"/>
          <w:szCs w:val="18"/>
          <w:color w:val="auto"/>
        </w:rPr>
        <w:t>(“CPR”) — The percentage per annum of a pool of loans expected to voluntarily repay principal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scheduled, contractual payment terms based on available market data for similar loan types and prepayment statuses.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Constant Default Rate (“CDR”) </w:t>
      </w:r>
      <w:r>
        <w:rPr>
          <w:rFonts w:ascii="Arial" w:cs="Arial" w:eastAsia="Arial" w:hAnsi="Arial"/>
          <w:sz w:val="18"/>
          <w:szCs w:val="18"/>
          <w:color w:val="auto"/>
        </w:rPr>
        <w:t>— The percentage per annum of a pool of loans expected to experience delinquency of greater than</w:t>
      </w:r>
      <w:r>
        <w:rPr>
          <w:rFonts w:ascii="Arial" w:cs="Arial" w:eastAsia="Arial" w:hAnsi="Arial"/>
          <w:sz w:val="18"/>
          <w:szCs w:val="18"/>
          <w:i w:val="1"/>
          <w:iCs w:val="1"/>
          <w:color w:val="auto"/>
        </w:rPr>
        <w:t xml:space="preserve"> </w:t>
      </w:r>
      <w:r>
        <w:rPr>
          <w:rFonts w:ascii="Arial" w:cs="Arial" w:eastAsia="Arial" w:hAnsi="Arial"/>
          <w:sz w:val="18"/>
          <w:szCs w:val="18"/>
          <w:color w:val="auto"/>
        </w:rPr>
        <w:t>90 days based on available market data for similar loan types and delinquency statuses.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Servicing Rates </w:t>
      </w:r>
      <w:r>
        <w:rPr>
          <w:rFonts w:ascii="Arial" w:cs="Arial" w:eastAsia="Arial" w:hAnsi="Arial"/>
          <w:sz w:val="18"/>
          <w:szCs w:val="18"/>
          <w:color w:val="auto"/>
        </w:rPr>
        <w:t>— Servicing rates used by the Company are based on available market data for similar loan types and delinquency</w:t>
      </w:r>
      <w:r>
        <w:rPr>
          <w:rFonts w:ascii="Arial" w:cs="Arial" w:eastAsia="Arial" w:hAnsi="Arial"/>
          <w:sz w:val="18"/>
          <w:szCs w:val="18"/>
          <w:i w:val="1"/>
          <w:iCs w:val="1"/>
          <w:color w:val="auto"/>
        </w:rPr>
        <w:t xml:space="preserve"> </w:t>
      </w:r>
      <w:r>
        <w:rPr>
          <w:rFonts w:ascii="Arial" w:cs="Arial" w:eastAsia="Arial" w:hAnsi="Arial"/>
          <w:sz w:val="18"/>
          <w:szCs w:val="18"/>
          <w:color w:val="auto"/>
        </w:rPr>
        <w:t>statuses.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w:t>
      </w:r>
      <w:r>
        <w:rPr>
          <w:rFonts w:ascii="Arial" w:cs="Arial" w:eastAsia="Arial" w:hAnsi="Arial"/>
          <w:sz w:val="18"/>
          <w:szCs w:val="18"/>
          <w:color w:val="auto"/>
        </w:rPr>
        <w:t>— Expected future cash flows are discounted at a rate derived from market data for similar financial instruments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collateral.</w:t>
      </w:r>
    </w:p>
    <w:p>
      <w:pPr>
        <w:spacing w:after="0" w:line="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Fair Value Option </w:t>
      </w:r>
      <w:r>
        <w:rPr>
          <w:rFonts w:ascii="Arial" w:cs="Arial" w:eastAsia="Arial" w:hAnsi="Arial"/>
          <w:sz w:val="18"/>
          <w:szCs w:val="18"/>
          <w:color w:val="auto"/>
        </w:rPr>
        <w:t>— The fair value option provides the Company with an irrevocable option to elect fair value as an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for selected financial instruments upon initial recognition of an asset or liability, which the Company is then required to carry at fair value and reflect changes thereon in net income. The Company elected the fair value option for marketable securities, including retained security interests, and loans as management believes incorporating current market conditions in the carrying value of these financial instruments provide better information regarding the Company's economic exposure to these assets.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Valuation Process — On a quarterly basis, with assistance from an independent valuation firm, management estimates the fair value of the Company’s Level 3 asset and liabilities. the Company’s determination of fair value is based upon the best information available for a given circumstance and may incorporate assumptions that are management’s best estimates after consideration of a variety of internal and external factors. When an independent valuation firm expresses an opinion on the fair value of an asset of liability in the form of a range, management selects a value within the range provided by the independent valuation firm to assess the reasonableness of management’s estimated fair value for that asset or liability. At December 31, 2024, the Company’s valuation process for Level 3 measurements, as described below, was conducted internally or by an independent valuation firm and reviewed by management:</w:t>
      </w:r>
    </w:p>
    <w:p>
      <w:pPr>
        <w:spacing w:after="0" w:line="129" w:lineRule="exact"/>
        <w:rPr>
          <w:sz w:val="20"/>
          <w:szCs w:val="20"/>
          <w:color w:val="auto"/>
        </w:rPr>
      </w:pPr>
    </w:p>
    <w:p>
      <w:pPr>
        <w:jc w:val="both"/>
        <w:ind w:left="660" w:hanging="328"/>
        <w:spacing w:after="0" w:line="262"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Marketable Securities — Residual Securities Interests </w:t>
      </w:r>
      <w:r>
        <w:rPr>
          <w:rFonts w:ascii="Arial" w:cs="Arial" w:eastAsia="Arial" w:hAnsi="Arial"/>
          <w:sz w:val="18"/>
          <w:szCs w:val="18"/>
          <w:color w:val="auto"/>
        </w:rPr>
        <w:t>— Management generally classifies the Company's investments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residual interests of securitizations collateralized by loans Level 3 assets in the fair value hierarchy as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12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Management generally considers the Company's loans Level 3 assets in the fair value hierarchy as such assets are illiquid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are specific to the loan product, for which there is limited market activity. On a quarterly basis, management engages an independent valuation firm to estimate the fair value of each loan categorized as a Level 3 asset. The Company also classifies certain personal and mortgage loans as a Level 2 asset.</w:t>
      </w:r>
    </w:p>
    <w:p>
      <w:pPr>
        <w:spacing w:after="0" w:line="122"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Loan Servicing Asset </w:t>
      </w:r>
      <w:r>
        <w:rPr>
          <w:rFonts w:ascii="Arial" w:cs="Arial" w:eastAsia="Arial" w:hAnsi="Arial"/>
          <w:sz w:val="18"/>
          <w:szCs w:val="18"/>
          <w:color w:val="auto"/>
        </w:rPr>
        <w:t>— Management generally considers the Company's servicing assets Level 3 assets in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assets are illiquid contracts that are specific to the loan pool serviced. Servicing fees earned and costs incurred are derived from various loan types and are adjusted for the loans the Company services.</w:t>
      </w:r>
    </w:p>
    <w:p>
      <w:pPr>
        <w:spacing w:after="0" w:line="11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 xml:space="preserve">Other Valuation Matters </w:t>
      </w:r>
      <w:r>
        <w:rPr>
          <w:rFonts w:ascii="Arial" w:cs="Arial" w:eastAsia="Arial" w:hAnsi="Arial"/>
          <w:sz w:val="18"/>
          <w:szCs w:val="18"/>
          <w:color w:val="auto"/>
        </w:rPr>
        <w:t>— For Level 3 assets acquired and liabilities assumed during the calendar month immediately preceding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 that were conducted in an orderly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9"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125" w:lineRule="exact"/>
        <w:rPr>
          <w:sz w:val="20"/>
          <w:szCs w:val="20"/>
          <w:color w:val="auto"/>
        </w:rPr>
      </w:pPr>
    </w:p>
    <w:p>
      <w:pPr>
        <w:ind w:right="2160" w:firstLine="324"/>
        <w:spacing w:after="0" w:line="438" w:lineRule="auto"/>
        <w:rPr>
          <w:sz w:val="20"/>
          <w:szCs w:val="20"/>
          <w:color w:val="auto"/>
        </w:rPr>
      </w:pPr>
      <w:r>
        <w:rPr>
          <w:rFonts w:ascii="Arial" w:cs="Arial" w:eastAsia="Arial" w:hAnsi="Arial"/>
          <w:sz w:val="18"/>
          <w:szCs w:val="18"/>
          <w:color w:val="auto"/>
        </w:rPr>
        <w:t xml:space="preserve">See Note 11 for additional information regarding the valuation of the Company's financial assets and liabilities. </w:t>
      </w:r>
      <w:r>
        <w:rPr>
          <w:rFonts w:ascii="Arial" w:cs="Arial" w:eastAsia="Arial" w:hAnsi="Arial"/>
          <w:sz w:val="18"/>
          <w:szCs w:val="18"/>
          <w:b w:val="1"/>
          <w:bCs w:val="1"/>
          <w:color w:val="auto"/>
        </w:rPr>
        <w:t>Transfers and Servicing</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situations where the Company is the transferor of financial assets to an entity it does not consolidate, the Company assesses whether the transfer of the underlying assets would qualify for sale accounting or should be accounted for as secured borrowing.</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securitizes loans if such financing is available.</w:t>
      </w:r>
    </w:p>
    <w:p>
      <w:pPr>
        <w:spacing w:after="0" w:line="13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12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obtained as “Gain on sale of loans, net” in the Combined Consolidated Statements of Operations, and (d) recognizes a realized gain or loss for the difference between the cash proceeds from the sale of loans and the carrying value of the loans sold as “Gain on servicing asset, net” in the Combined Consolidated Statements of Operations.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recognizes right-of-use assets and lease liabilities at the commencement date of the lease based on the present value of remaining fixed and determinable lease payments over the lease term. The Company calculates the present value of future payments by using an estimated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9"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 rate, which approximates the rate at which the Company would borrow on a secured basis and over a similar term, and recognizes lease expense for operating leases on a straight-line basis over the lease term. Right-of-use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long and short treasury note futures contracts to manage its interest rate risk and, from time to time, enhance investment returns. The Company’s derivatives are recorded as either assets or liabilities in the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combined financial statements.</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recorded $0.3 million of aggregate net realized and unrealized gains (losses) for derivative assets and liabilities within Gain on Sale of Loans, Net in the Combined Consolidated Statements of Operations for the years ended December 31, 2024. The Company did not have any outstanding futures contracts during the year ended December 31, 2023 The Company recorded the following derivative assets and liabilities within Other Assets in the Combined Balance Sheets at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7"/>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380" w:type="dxa"/>
            <w:vAlign w:val="bottom"/>
          </w:tcPr>
          <w:p>
            <w:pPr>
              <w:spacing w:after="0"/>
              <w:rPr>
                <w:sz w:val="17"/>
                <w:szCs w:val="17"/>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Assets</w:t>
            </w: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311"/>
        </w:trPr>
        <w:tc>
          <w:tcPr>
            <w:tcW w:w="6320" w:type="dxa"/>
            <w:vAlign w:val="bottom"/>
          </w:tcPr>
          <w:p>
            <w:pPr>
              <w:ind w:left="240"/>
              <w:spacing w:after="0"/>
              <w:rPr>
                <w:sz w:val="20"/>
                <w:szCs w:val="20"/>
                <w:color w:val="auto"/>
              </w:rPr>
            </w:pPr>
            <w:r>
              <w:rPr>
                <w:rFonts w:ascii="Arial" w:cs="Arial" w:eastAsia="Arial" w:hAnsi="Arial"/>
                <w:sz w:val="18"/>
                <w:szCs w:val="18"/>
                <w:color w:val="auto"/>
              </w:rPr>
              <w:t>Treasury note futures</w:t>
            </w:r>
            <w:r>
              <w:rPr>
                <w:rFonts w:ascii="Arial" w:cs="Arial" w:eastAsia="Arial" w:hAnsi="Arial"/>
                <w:sz w:val="23"/>
                <w:szCs w:val="23"/>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No activity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9"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Measurement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considers all highly liquid short-term investments with maturities less than 90 days when purchased to be cash equivalents, primarily money market funds.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held in restricted accounts.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on the Combined Consolidated Balance Sheets to the total of the same amounts shown in the Combined Consolidated Statements of Cash Flows: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116,548</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59,232</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cash and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securitization of loans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time of sale, and carries those securities and other interests at their fair value, with realized and unrealized changes in fair value recorded as components of Gain on Sale of Loans, Net in the Combined Consolidated Statements of Operations, resulting in a total increase of $1.1 million and total decrease of $2.9 million for the years ended December 31, 2024 and 2023.</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Digital assets</w:t>
      </w:r>
    </w:p>
    <w:p>
      <w:pPr>
        <w:spacing w:after="0" w:line="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The Company holds digital assets for sale, measured at fair value, with changes in fair value recognized in Other Income (Expense), Net in the Combined Consolidated Statements of Operations.</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Activity in the Combined Consolidated Statements of Cash Flows.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Also, the Company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the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holds digital assets supported by blockchain network protocols that verify new blocks of data through a consensus mechanism known as Proof of Stake (“PoS”). In PoS, digital asset holders are selected to participate in network functions, such as verifying new blocks, based on the relative percentage of assets they have placed at stake. By performing these functions, new digital assets are created and awarded to those performing the function (“Staking Awards”). Staking Awards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9"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an accrual basis generally when earned and available for use and are reported separately as Other Income in the Combined Consolidated Statements of Operations.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3 and 11 for additional information regarding the Company's investments and valuation,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Servicing Rights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Servicing rights represent the contractual right to service the loan that the Company either originates and sells or purchases and sells. Upon loan sale, the Company fair values servicing rights held and recognizes a servicing asset, with realized and unrealized changes in fair value recorded as components of Gain on Servicing Asset, Net in the Combined Consolidated Statements of Operations. Realized gains (losses) on servicing rights represent the excess (deficient) expected benefits of servicing that are greater (less than) than market compensation for servicing obligations, based on the estimated fair value of servicing rights retained. Servicing rights are aggregated into pools as applicable; each pool of servicing rights is accounted for in the aggregate as a servicing asset.</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sale of loans the Company services, the Company recognizes the monthly contractual servicing fees it earns, gross of subservicing fees paid to a third party subservicer, based upon the unpaid principal balance ("UPB") of the underlying loans as revenue, presented as Servicing Fees in the Combined Consolidated Statements of Operations.</w:t>
      </w:r>
    </w:p>
    <w:p>
      <w:pPr>
        <w:spacing w:after="0" w:line="117" w:lineRule="exact"/>
        <w:rPr>
          <w:sz w:val="20"/>
          <w:szCs w:val="20"/>
          <w:color w:val="auto"/>
        </w:rPr>
      </w:pPr>
    </w:p>
    <w:p>
      <w:pPr>
        <w:ind w:left="340" w:right="1800"/>
        <w:spacing w:after="0" w:line="438" w:lineRule="auto"/>
        <w:rPr>
          <w:sz w:val="20"/>
          <w:szCs w:val="20"/>
          <w:color w:val="auto"/>
        </w:rPr>
      </w:pPr>
      <w:r>
        <w:rPr>
          <w:rFonts w:ascii="Arial" w:cs="Arial" w:eastAsia="Arial" w:hAnsi="Arial"/>
          <w:sz w:val="18"/>
          <w:szCs w:val="18"/>
          <w:color w:val="auto"/>
        </w:rPr>
        <w:t xml:space="preserve">See Notes 4 and 11 for additional information regarding the Company's servicing rights and valuation, respectively. </w:t>
      </w:r>
      <w:r>
        <w:rPr>
          <w:rFonts w:ascii="Arial" w:cs="Arial" w:eastAsia="Arial" w:hAnsi="Arial"/>
          <w:sz w:val="18"/>
          <w:szCs w:val="18"/>
          <w:b w:val="1"/>
          <w:bCs w:val="1"/>
          <w:i w:val="1"/>
          <w:iCs w:val="1"/>
          <w:color w:val="auto"/>
        </w:rPr>
        <w:t>Loans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loan portfolio primarily consists of originated or purchased HELOC loans classified as either held-for-investment when management has the intent and ability to hold such loans for the foreseeable future, until maturity, or until repayment or held for sale when management intends to sell the loans. Upon origination or purchase, the Company elected the fair value option for all loans and carries those loans at their fair value, with realized and unrealized changes in fair value recorded as components of Gain on Sale of Loans, Net in the Combined Consolidated Statements of Operations, resulting in a net gain of $16.5 million and a net loss of $3.3 million for the years ended December 31, 2024 and 2023. The Company recognizes loan discounts, if any, on the loans it originates as Origination Fees in the Combined Consolidated Statements of Operations at time of origination.</w:t>
      </w:r>
    </w:p>
    <w:p>
      <w:pPr>
        <w:spacing w:after="0" w:line="1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See Notes 5 and 11 for additional information regarding the Company's loans and valuation, respectively, and see Note 9 for information regarding the Company’s commitments and obligations related to loans the Company holds and sells.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Repurchase Agreement"), and (c) a promissory note under which the Company pledges certain eligible loan servicing rights, net of expected costs ("MSR Note").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9"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Combined Consolidated Statements of Operations, which does not materially differ from the effective interest method applied to such facilities.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the Company's debt.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Assets and Liabilities</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At December 31, 2024 and 2023, (a) other current assets primarily included prepaid expenses and distressed asset claims and (b) other assets primarily included right-of-use lease assets, internally developed software and investments. At December 31, 2024 and 2023, other current liabilities included digital asset collateral repayment obligations, loan indemnification reserve, and other payables. See Notes 3 and 11 for further information on the digital asset collateral repayment obligation.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Recognition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revenues are substantially comprised of ecosystem and technology fees, loan originations and sales, including interest income earned thereon, and loan servicing.</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Ecosystem and Technology Fees</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earns volume-based technology and processing fees, based on the principal balance of each loan originated, from certain loan originators using the Technology Offering, access to which represents the Company’s sole performance obligation that is satisfied upon each loan transaction.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Company recognizes Ecosystem and technology fees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Such fees arise from contracts entered into with partners to provide access to a cloud-based lending marketplace platform that is developed by the Company through the Technology Offering. The provision of continuous stand-ready access to the Technology Offering is the Company’s only performance obligation. Accordingly, the performance obligation is satisfied when each loan is originated. The Technology Offering enables partners, who are retail and wholesale lenders, to originate loans branded under the partners’ name, by having access to a suite of services such as application for submitting loan applications, verifying information provided within submitted applications, risk underwriting, delivery of electronic loan offers, and electronic loan documentation signed by the borrower. After origination, at the Company’s discretion and subjected to the Company’s right of first refusal, such originated loans can be purchased by the Company, which are then accounted for in accordance with ASC 860 and classified as Loans Held for Sale, at Fair Value on the Combined Consolidated Balance Sheets as the Company’s intention is to resell these loans to third-party loan investors, with servicing rights retained.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elected to use the as-invoiced practical expedient to recognize revenue associated with the subscription of the Technology Offering as the Company is able to demonstrate that the invoiced amount directly corresponds to the value to the partner of the Company’s performance obligation completed to date since the platform no longer provides any further utility to the partner post loan origination. The Company typically will exercise its right of first refusal to purchase the loan with servicing rights retained, and the Company bills a fixed amount for each loan originated. Associated fees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9"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typically billed and paid on a monthly basis. As such, the Company’s contracts with customers do not include a significant financing component.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Program Fees</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The Company earns a fee for arranging and facilitating the transfer of financials assets through the securitization of HELOCs, which are accounted for under ASC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This fee is based on the outstanding principal balance of the transferred HELOCs and is fully earned on the securitization closing date. Program fees are paid by the trust upon closing.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Ecosystem and Technology Fees in the Combined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7"/>
                <w:szCs w:val="17"/>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2023</w:t>
            </w:r>
          </w:p>
        </w:tc>
      </w:tr>
      <w:tr>
        <w:trPr>
          <w:trHeight w:val="210"/>
        </w:trPr>
        <w:tc>
          <w:tcPr>
            <w:tcW w:w="750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Ecosystem and technology fees</w:t>
            </w:r>
            <w:r>
              <w:rPr>
                <w:rFonts w:ascii="Arial" w:cs="Arial" w:eastAsia="Arial" w:hAnsi="Arial"/>
                <w:sz w:val="23"/>
                <w:szCs w:val="23"/>
                <w:b w:val="1"/>
                <w:bCs w:val="1"/>
                <w:color w:val="auto"/>
                <w:vertAlign w:val="superscript"/>
              </w:rPr>
              <w:t>(A)</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Ecosystem and technology fees accounted for under ASC 606:</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Technology offering fees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75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Ecosystem fees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ecosystem and technology fees (ASC 606)</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7500" w:type="dxa"/>
            <w:vAlign w:val="bottom"/>
          </w:tcPr>
          <w:p>
            <w:pPr>
              <w:ind w:left="240"/>
              <w:spacing w:after="0"/>
              <w:rPr>
                <w:sz w:val="20"/>
                <w:szCs w:val="20"/>
                <w:color w:val="auto"/>
              </w:rPr>
            </w:pPr>
            <w:r>
              <w:rPr>
                <w:rFonts w:ascii="Arial" w:cs="Arial" w:eastAsia="Arial" w:hAnsi="Arial"/>
                <w:sz w:val="18"/>
                <w:szCs w:val="18"/>
                <w:color w:val="auto"/>
              </w:rPr>
              <w:t>Other fees (not in scope of ASC 606):</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5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Program fees</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3"/>
        </w:trPr>
        <w:tc>
          <w:tcPr>
            <w:tcW w:w="75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fees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48"/>
        </w:trPr>
        <w:tc>
          <w:tcPr>
            <w:tcW w:w="7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ecosystem and technology fees</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Ecosystem and technology fees include fees that are accounted for under ASC 606, as well as Program fees that are not in scope under ASC 606.</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Interest Income</w:t>
      </w:r>
    </w:p>
    <w:p>
      <w:pPr>
        <w:spacing w:after="0" w:line="2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Company earns interest income primarily from three sources:</w:t>
      </w:r>
    </w:p>
    <w:p>
      <w:pPr>
        <w:spacing w:after="0" w:line="153"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xml:space="preserve"> — The Company accrues interest income on loans it holds based on the UPB outstanding at contractual interest rates, reported as Interest Income on the Combined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repaid or expects collection of the remaining UPB.</w:t>
      </w:r>
    </w:p>
    <w:p>
      <w:pPr>
        <w:spacing w:after="0" w:line="126"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Marketable Securities</w:t>
      </w:r>
      <w:r>
        <w:rPr>
          <w:rFonts w:ascii="Arial" w:cs="Arial" w:eastAsia="Arial" w:hAnsi="Arial"/>
          <w:sz w:val="18"/>
          <w:szCs w:val="18"/>
          <w:color w:val="auto"/>
        </w:rPr>
        <w:t xml:space="preserve"> — 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9"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17" w:lineRule="exact"/>
        <w:rPr>
          <w:sz w:val="20"/>
          <w:szCs w:val="20"/>
          <w:color w:val="auto"/>
        </w:rPr>
      </w:pPr>
    </w:p>
    <w:p>
      <w:pPr>
        <w:ind w:left="660" w:right="20" w:hanging="328"/>
        <w:spacing w:after="0" w:line="28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 The Company accrues interest income monthly for cash held at depository institutions and investments in short-term instruments such as money-market funds.</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Refer to “— Loans” for a discussion of revenues recognized as Origination Fees and Gain on Sale of Loans, Net, and refer to “— Servicing” for a discussion of revenue recognized as Servicing Fees and Gain on Servicing Asset, Net, respectively, in the Combined Consolidated Statements of Operations.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 Recognition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Costs</w:t>
      </w:r>
    </w:p>
    <w:p>
      <w:pPr>
        <w:spacing w:after="0" w:line="27"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color w:val="auto"/>
        </w:rPr>
        <w:t>The Company presents stock-based compensation, software license, and other operational expenses within the following functional groups based on the headcount allocable to each group and the specific operation of each group:</w:t>
      </w:r>
    </w:p>
    <w:p>
      <w:pPr>
        <w:spacing w:after="0" w:line="117"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 Corporate activities not allocable to the following groups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Technology and product development </w:t>
      </w:r>
      <w:r>
        <w:rPr>
          <w:rFonts w:ascii="Arial" w:cs="Arial" w:eastAsia="Arial" w:hAnsi="Arial"/>
          <w:sz w:val="18"/>
          <w:szCs w:val="18"/>
          <w:color w:val="auto"/>
        </w:rPr>
        <w:t>— Development and maintenance of the Technology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Operations and processing </w:t>
      </w:r>
      <w:r>
        <w:rPr>
          <w:rFonts w:ascii="Arial" w:cs="Arial" w:eastAsia="Arial" w:hAnsi="Arial"/>
          <w:sz w:val="18"/>
          <w:szCs w:val="18"/>
          <w:color w:val="auto"/>
        </w:rPr>
        <w:t>— Loan underwriting, origination, and servicing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 Advertising, marketing, and sales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issues stock options and restricted stock awards (“RSAs”) to employees and non-employees, including directors and third-party service providers. Stock options are initially measured at fair value at the date of grant using the Black-Scholes option-pricing model. RSAs are measured at the fair market value of our common stock at the grant date. Stock-based compensation expenses for options and RSAs are recognized based on their respective grant-date fair values. For awards that include a performance-based vesting requirement, the Company would recognize expense when it is probable that the performance-based condition is satisfied and the award has satisfied other vesting conditions, if any. 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133" w:lineRule="exact"/>
        <w:rPr>
          <w:sz w:val="20"/>
          <w:szCs w:val="20"/>
          <w:color w:val="auto"/>
        </w:rPr>
      </w:pPr>
    </w:p>
    <w:p>
      <w:pPr>
        <w:ind w:left="340" w:right="1100"/>
        <w:spacing w:after="0" w:line="525" w:lineRule="auto"/>
        <w:rPr>
          <w:sz w:val="20"/>
          <w:szCs w:val="20"/>
          <w:color w:val="auto"/>
        </w:rPr>
      </w:pPr>
      <w:r>
        <w:rPr>
          <w:rFonts w:ascii="Arial" w:cs="Arial" w:eastAsia="Arial" w:hAnsi="Arial"/>
          <w:sz w:val="18"/>
          <w:szCs w:val="18"/>
          <w:color w:val="auto"/>
        </w:rPr>
        <w:t xml:space="preserve">Additionally, the Company granted warrants to a preferred shareholder in exchange for software license and other services. See Note 7 for additional information regarding the Company’s stock-based compensation. </w:t>
      </w:r>
      <w:r>
        <w:rPr>
          <w:rFonts w:ascii="Arial" w:cs="Arial" w:eastAsia="Arial" w:hAnsi="Arial"/>
          <w:sz w:val="18"/>
          <w:szCs w:val="18"/>
          <w:i w:val="1"/>
          <w:iCs w:val="1"/>
          <w:color w:val="auto"/>
        </w:rPr>
        <w:t>Software Costs</w:t>
      </w:r>
    </w:p>
    <w:p>
      <w:pPr>
        <w:spacing w:after="0" w:line="8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Combined Consolidated Statements of Operations. The Company capitalizes remaining costs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9"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Technology and Product Development expense in the Combined Consolidated Statements of Operations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Estimated Useful Life</w:t>
            </w: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7"/>
        </w:trPr>
        <w:tc>
          <w:tcPr>
            <w:tcW w:w="608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380" w:type="dxa"/>
            <w:vAlign w:val="bottom"/>
          </w:tcPr>
          <w:p>
            <w:pPr>
              <w:spacing w:after="0"/>
              <w:rPr>
                <w:sz w:val="17"/>
                <w:szCs w:val="17"/>
                <w:color w:val="auto"/>
              </w:rPr>
            </w:pPr>
          </w:p>
        </w:tc>
        <w:tc>
          <w:tcPr>
            <w:tcW w:w="12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8"/>
              </w:rPr>
              <w:t>80,664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8"/>
              </w:rPr>
              <w:t>80,901</w:t>
            </w:r>
          </w:p>
        </w:tc>
      </w:tr>
      <w:tr>
        <w:trPr>
          <w:trHeight w:val="229"/>
        </w:trPr>
        <w:tc>
          <w:tcPr>
            <w:tcW w:w="60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Accumulated amortization</w:t>
            </w:r>
            <w:r>
              <w:rPr>
                <w:rFonts w:ascii="Arial" w:cs="Arial" w:eastAsia="Arial" w:hAnsi="Arial"/>
                <w:sz w:val="23"/>
                <w:szCs w:val="23"/>
                <w:color w:val="auto"/>
                <w:vertAlign w:val="superscript"/>
              </w:rPr>
              <w:t>(A)</w:t>
            </w:r>
          </w:p>
        </w:tc>
        <w:tc>
          <w:tcPr>
            <w:tcW w:w="1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rPr>
              <w:t>(57,503)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rPr>
              <w:t>(50,622)</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98"/>
              </w:rPr>
              <w:t>23,161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275"/>
              <w:spacing w:after="0"/>
              <w:rPr>
                <w:sz w:val="20"/>
                <w:szCs w:val="20"/>
                <w:color w:val="auto"/>
              </w:rPr>
            </w:pPr>
            <w:r>
              <w:rPr>
                <w:rFonts w:ascii="Arial" w:cs="Arial" w:eastAsia="Arial" w:hAnsi="Arial"/>
                <w:sz w:val="18"/>
                <w:szCs w:val="18"/>
                <w:color w:val="auto"/>
                <w:w w:val="98"/>
              </w:rPr>
              <w:t>30,279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65"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amortized $17.1 million and $19.4 million of capitalized internally-developed software costs during the years ended December 31, 2024 and 2023.</w:t>
      </w:r>
    </w:p>
    <w:p>
      <w:pPr>
        <w:spacing w:after="0" w:line="12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During the year ended December 31, 2024, the Company recognized an impairment of $8.6 million in Other Income (Expense), Net in the Combined Consolidated Statements of Operations in connection with internally-developed software.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Operational Costs</w:t>
      </w:r>
    </w:p>
    <w:p>
      <w:pPr>
        <w:spacing w:after="0" w:line="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years ended December 31, 2024 and 2023 was $55.7 million and $52.8 million, respectively, which included $50.1 million and $46.5 million, respectively, of advertising expense.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For the years ended December 31, 2024 and 2023, other income (loss) included changes in fair value of digital assets, gains on legal settlement, impairment of internally developed software, and other income and expenses.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the combined financial statement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in the period that includes the enactment date. We evaluate the likelihood of future realization of our deferred tax assets based on all available evidence and establish a valuation allowance to reduce deferred tax assets when it is more-likely-than-not that deferred tax assets will not be realized.</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The new guidance requires disclosure, on an annual and interim basis, of significant segment expenses that are regularly provided to the chief operating decision maker, and an amount for other segment items by reportable segment, with a description of its composition.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9"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addition, the amendments enhance interim disclosure requirements and provide new segment disclosure requirements for entities with a single reportable segment. The Company adopted this guidance effective for its fiscal year 2024, with retrospective application to all prior periods presented in the financial statements and has made the required disclosures. See “— </w:t>
      </w:r>
      <w:r>
        <w:rPr>
          <w:rFonts w:ascii="Arial" w:cs="Arial" w:eastAsia="Arial" w:hAnsi="Arial"/>
          <w:sz w:val="18"/>
          <w:szCs w:val="18"/>
          <w:i w:val="1"/>
          <w:iCs w:val="1"/>
          <w:color w:val="auto"/>
        </w:rPr>
        <w:t>Segments</w:t>
      </w:r>
      <w:r>
        <w:rPr>
          <w:rFonts w:ascii="Arial" w:cs="Arial" w:eastAsia="Arial" w:hAnsi="Arial"/>
          <w:sz w:val="18"/>
          <w:szCs w:val="18"/>
          <w:color w:val="auto"/>
        </w:rPr>
        <w:t>” for these disclosures.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2023, the FASB issued ASU 2023-08, </w:t>
      </w:r>
      <w:r>
        <w:rPr>
          <w:rFonts w:ascii="Arial" w:cs="Arial" w:eastAsia="Arial" w:hAnsi="Arial"/>
          <w:sz w:val="18"/>
          <w:szCs w:val="18"/>
          <w:i w:val="1"/>
          <w:iCs w:val="1"/>
          <w:color w:val="auto"/>
        </w:rPr>
        <w:t>Intangibles-Goodwill and Other-Crypto Assets (Subtopic 350-60): Accounting for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of Crypto Assets</w:t>
      </w:r>
      <w:r>
        <w:rPr>
          <w:rFonts w:ascii="Arial" w:cs="Arial" w:eastAsia="Arial" w:hAnsi="Arial"/>
          <w:sz w:val="18"/>
          <w:szCs w:val="18"/>
          <w:color w:val="auto"/>
        </w:rPr>
        <w:t>. The new guidance provides guidance on the accounting for and disclosure of crypto assets and requires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 subsequently remeasure crypto assets at fair value in the financial statements and record gains and losses from remeasurement in the statements of operations; (ii) present crypto assets separate from other intangible assets in the balance sheets; (iii) present the gains and losses from remeasurement of crypto assets separately in the statements of operations; and (iv) provide specific disclosures for crypto assets. The Company early adopted ASU 2023-08 on January 1, 2024 on a modified retrospective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Improvements to Income Tax Disclosures</w:t>
      </w:r>
    </w:p>
    <w:p>
      <w:pPr>
        <w:spacing w:after="0" w:line="129" w:lineRule="exact"/>
        <w:rPr>
          <w:sz w:val="20"/>
          <w:szCs w:val="20"/>
          <w:color w:val="auto"/>
        </w:rPr>
      </w:pPr>
    </w:p>
    <w:p>
      <w:pPr>
        <w:jc w:val="both"/>
        <w:ind w:firstLine="324"/>
        <w:spacing w:after="0" w:line="229" w:lineRule="exact"/>
        <w:rPr>
          <w:sz w:val="20"/>
          <w:szCs w:val="20"/>
          <w:color w:val="auto"/>
        </w:rPr>
      </w:pPr>
      <w:r>
        <w:rPr>
          <w:rFonts w:ascii="Arial" w:cs="Arial" w:eastAsia="Arial" w:hAnsi="Arial"/>
          <w:sz w:val="18"/>
          <w:szCs w:val="18"/>
          <w:color w:val="auto"/>
        </w:rPr>
        <w:t>In December 2023, the FASB issued ASU 2023</w:t>
      </w:r>
      <w:r>
        <w:rPr>
          <w:rFonts w:ascii="MS PGothic" w:cs="MS PGothic" w:eastAsia="MS PGothic" w:hAnsi="MS PGothic"/>
          <w:sz w:val="18"/>
          <w:szCs w:val="18"/>
          <w:color w:val="auto"/>
        </w:rPr>
        <w:t>‐</w:t>
      </w:r>
      <w:r>
        <w:rPr>
          <w:rFonts w:ascii="Arial" w:cs="Arial" w:eastAsia="Arial" w:hAnsi="Arial"/>
          <w:sz w:val="18"/>
          <w:szCs w:val="18"/>
          <w:color w:val="auto"/>
        </w:rPr>
        <w:t xml:space="preserve">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This new guidance requires additional disclosure with respect to specific categories in the rate reconciliation as well as require additional information for reconciling items that meet a certain quantitative threshold. The disclosure requirements will be applied on a prospective basis, with the option to apply them retrospectively. The standard is effective for annual periods beginning after December 15, 2024, with early adoption permitted. The Company is currently evaluating the impact that the updated standard will have on the financial statement disclosures.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 Disaggregation of Income Statement Expenses</w:t>
      </w:r>
      <w:r>
        <w:rPr>
          <w:rFonts w:ascii="Arial" w:cs="Arial" w:eastAsia="Arial" w:hAnsi="Arial"/>
          <w:sz w:val="18"/>
          <w:szCs w:val="18"/>
          <w:color w:val="auto"/>
        </w:rPr>
        <w:t>. The new guidance requires the disclosure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specific costs and expense categories in the notes to financial statements. The standard is effective for annual periods beginning after December 15, 2026, and interim periods beginning after December 15, 2027, with early adoption permitted. The standard should be applied on a prospective basis with the option to apply the standard retrospectively. The Company is currently evaluating the impact of this standard on its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9"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holds investments across three primary categories: marketable securities that represents the interests it is required to retain upon securitizing loans in transactions considered sales under GAAP, digital assets in the form of cryptocurrencies held for sale and held as collateral for personal loans, and investments in entities that the Company does not consolidate.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Company’s marketable securities and the underlying collateral at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Outstanding Face</w:t>
            </w:r>
          </w:p>
        </w:tc>
        <w:tc>
          <w:tcPr>
            <w:tcW w:w="140" w:type="dxa"/>
            <w:vAlign w:val="bottom"/>
          </w:tcPr>
          <w:p>
            <w:pPr>
              <w:spacing w:after="0"/>
              <w:rPr>
                <w:sz w:val="13"/>
                <w:szCs w:val="13"/>
                <w:color w:val="auto"/>
              </w:rPr>
            </w:pPr>
          </w:p>
        </w:tc>
        <w:tc>
          <w:tcPr>
            <w:tcW w:w="15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Net fair value</w:t>
            </w:r>
          </w:p>
        </w:tc>
        <w:tc>
          <w:tcPr>
            <w:tcW w:w="18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8"/>
                <w:szCs w:val="18"/>
                <w:b w:val="1"/>
                <w:bCs w:val="1"/>
                <w:color w:val="auto"/>
                <w:w w:val="97"/>
                <w:vertAlign w:val="superscript"/>
              </w:rPr>
              <w:t>(A)</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 at fair value</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line="230" w:lineRule="exact"/>
              <w:rPr>
                <w:sz w:val="20"/>
                <w:szCs w:val="20"/>
                <w:color w:val="auto"/>
              </w:rPr>
            </w:pPr>
            <w:r>
              <w:rPr>
                <w:rFonts w:ascii="Arial" w:cs="Arial" w:eastAsia="Arial" w:hAnsi="Arial"/>
                <w:sz w:val="18"/>
                <w:szCs w:val="18"/>
                <w:color w:val="auto"/>
              </w:rPr>
              <w:t>Investment grade debt securities</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121,278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121,176</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Below investment grade debt securities</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Residual interest securities</w:t>
            </w:r>
            <w:r>
              <w:rPr>
                <w:rFonts w:ascii="Arial" w:cs="Arial" w:eastAsia="Arial" w:hAnsi="Arial"/>
                <w:sz w:val="23"/>
                <w:szCs w:val="23"/>
                <w:color w:val="auto"/>
                <w:vertAlign w:val="superscript"/>
              </w:rPr>
              <w:t>(E)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34,506</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Outstanding Face</w:t>
            </w:r>
          </w:p>
        </w:tc>
        <w:tc>
          <w:tcPr>
            <w:tcW w:w="140" w:type="dxa"/>
            <w:vAlign w:val="bottom"/>
          </w:tcPr>
          <w:p>
            <w:pPr>
              <w:spacing w:after="0"/>
              <w:rPr>
                <w:sz w:val="13"/>
                <w:szCs w:val="13"/>
                <w:color w:val="auto"/>
              </w:rPr>
            </w:pPr>
          </w:p>
        </w:tc>
        <w:tc>
          <w:tcPr>
            <w:tcW w:w="154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Net fair value</w:t>
            </w:r>
          </w:p>
        </w:tc>
        <w:tc>
          <w:tcPr>
            <w:tcW w:w="180" w:type="dxa"/>
            <w:vAlign w:val="bottom"/>
          </w:tcPr>
          <w:p>
            <w:pPr>
              <w:spacing w:after="0"/>
              <w:rPr>
                <w:sz w:val="13"/>
                <w:szCs w:val="13"/>
                <w:color w:val="auto"/>
              </w:rPr>
            </w:pPr>
          </w:p>
        </w:tc>
        <w:tc>
          <w:tcPr>
            <w:tcW w:w="14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(B)</w:t>
            </w:r>
          </w:p>
        </w:tc>
        <w:tc>
          <w:tcPr>
            <w:tcW w:w="0" w:type="dxa"/>
            <w:vAlign w:val="bottom"/>
          </w:tcPr>
          <w:p>
            <w:pPr>
              <w:spacing w:after="0"/>
              <w:rPr>
                <w:sz w:val="1"/>
                <w:szCs w:val="1"/>
                <w:color w:val="auto"/>
              </w:rPr>
            </w:pPr>
          </w:p>
        </w:tc>
      </w:tr>
      <w:tr>
        <w:trPr>
          <w:trHeight w:val="189"/>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7"/>
              </w:rPr>
              <w:t>Amount</w:t>
            </w:r>
            <w:r>
              <w:rPr>
                <w:rFonts w:ascii="Arial" w:cs="Arial" w:eastAsia="Arial" w:hAnsi="Arial"/>
                <w:sz w:val="18"/>
                <w:szCs w:val="18"/>
                <w:b w:val="1"/>
                <w:bCs w:val="1"/>
                <w:color w:val="auto"/>
                <w:w w:val="97"/>
                <w:vertAlign w:val="superscript"/>
              </w:rPr>
              <w:t>(A)</w:t>
            </w:r>
          </w:p>
        </w:tc>
        <w:tc>
          <w:tcPr>
            <w:tcW w:w="14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securities, at fair value</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40"/>
              <w:spacing w:after="0" w:line="230" w:lineRule="exact"/>
              <w:rPr>
                <w:sz w:val="20"/>
                <w:szCs w:val="20"/>
                <w:color w:val="auto"/>
              </w:rPr>
            </w:pPr>
            <w:r>
              <w:rPr>
                <w:rFonts w:ascii="Arial" w:cs="Arial" w:eastAsia="Arial" w:hAnsi="Arial"/>
                <w:sz w:val="18"/>
                <w:szCs w:val="18"/>
                <w:color w:val="auto"/>
              </w:rPr>
              <w:t>Investment grade debt securities</w:t>
            </w:r>
            <w:r>
              <w:rPr>
                <w:rFonts w:ascii="Arial" w:cs="Arial" w:eastAsia="Arial" w:hAnsi="Arial"/>
                <w:sz w:val="23"/>
                <w:szCs w:val="23"/>
                <w:color w:val="auto"/>
                <w:vertAlign w:val="superscript"/>
              </w:rPr>
              <w:t>(C)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24,714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Below investment grade debt securities</w:t>
            </w:r>
            <w:r>
              <w:rPr>
                <w:rFonts w:ascii="Arial" w:cs="Arial" w:eastAsia="Arial" w:hAnsi="Arial"/>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Residual interest securities</w:t>
            </w:r>
            <w:r>
              <w:rPr>
                <w:rFonts w:ascii="Arial" w:cs="Arial" w:eastAsia="Arial" w:hAnsi="Arial"/>
                <w:sz w:val="23"/>
                <w:szCs w:val="23"/>
                <w:color w:val="auto"/>
                <w:vertAlign w:val="superscript"/>
              </w:rPr>
              <w:t>(E)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total outstanding face amount represents the aggregate face amount of the debt securities outstanding at each period end. Excludes residual securities interests and interest-only securities.</w:t>
      </w:r>
    </w:p>
    <w:p>
      <w:pPr>
        <w:spacing w:after="0" w:line="1"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 elected to the fair value option for marketable securities. Therefore, carrying value represents fair value. See Note 11 for additional information regarding the valuation of the Company's marketable securities.</w:t>
      </w: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Represents debt securities the Company holds rated A- or above by DBRS Morningstar or comparable rating by other rating agencies.</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Represents debt securities the Company holds rated below A- by DBRS Morningstar or comparable rating by other rating agencies.</w:t>
      </w:r>
    </w:p>
    <w:p>
      <w:pPr>
        <w:spacing w:after="0" w:line="5"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Represents residual interest securities and non-rated securities in securitization not considered debt securities, including 15 and 4 non-rated securities with aggregate outstanding face amounts of $15.1 million and $9.9 million at December 31, 2024 and 2023, respectively, and 8 and — interest-only securities based upon aggregate outstanding principal amounts of $9.1 million and $—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229"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significant digital assets held by third-party custodian on behalf of the Company’s customers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6320" w:type="dxa"/>
            <w:vAlign w:val="bottom"/>
          </w:tcPr>
          <w:p>
            <w:pPr>
              <w:spacing w:after="0"/>
              <w:rPr>
                <w:sz w:val="17"/>
                <w:szCs w:val="17"/>
                <w:color w:val="auto"/>
              </w:rPr>
            </w:pPr>
          </w:p>
        </w:tc>
        <w:tc>
          <w:tcPr>
            <w:tcW w:w="980" w:type="dxa"/>
            <w:vAlign w:val="bottom"/>
          </w:tcPr>
          <w:p>
            <w:pPr>
              <w:ind w:left="600"/>
              <w:spacing w:after="0"/>
              <w:rPr>
                <w:sz w:val="20"/>
                <w:szCs w:val="20"/>
                <w:color w:val="auto"/>
              </w:rPr>
            </w:pPr>
            <w:r>
              <w:rPr>
                <w:rFonts w:ascii="Arial" w:cs="Arial" w:eastAsia="Arial" w:hAnsi="Arial"/>
                <w:sz w:val="14"/>
                <w:szCs w:val="14"/>
                <w:b w:val="1"/>
                <w:bCs w:val="1"/>
                <w:color w:val="auto"/>
              </w:rPr>
              <w:t>Units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c>
          <w:tcPr>
            <w:tcW w:w="140" w:type="dxa"/>
            <w:vAlign w:val="bottom"/>
          </w:tcPr>
          <w:p>
            <w:pPr>
              <w:spacing w:after="0"/>
              <w:rPr>
                <w:sz w:val="17"/>
                <w:szCs w:val="17"/>
                <w:color w:val="auto"/>
              </w:rPr>
            </w:pPr>
          </w:p>
        </w:tc>
        <w:tc>
          <w:tcPr>
            <w:tcW w:w="1440" w:type="dxa"/>
            <w:vAlign w:val="bottom"/>
          </w:tcPr>
          <w:p>
            <w:pPr>
              <w:jc w:val="center"/>
              <w:ind w:right="57"/>
              <w:spacing w:after="0" w:line="197" w:lineRule="exact"/>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18"/>
                <w:szCs w:val="18"/>
                <w:b w:val="1"/>
                <w:bCs w:val="1"/>
                <w:color w:val="auto"/>
                <w:w w:val="98"/>
                <w:vertAlign w:val="superscript"/>
              </w:rPr>
              <w:t>(A)</w:t>
            </w: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Digital Assets Held as Collateral</w:t>
            </w: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300" w:type="dxa"/>
            <w:vAlign w:val="bottom"/>
            <w:gridSpan w:val="2"/>
          </w:tcPr>
          <w:p>
            <w:pPr>
              <w:ind w:left="460"/>
              <w:spacing w:after="0"/>
              <w:rPr>
                <w:sz w:val="20"/>
                <w:szCs w:val="20"/>
                <w:color w:val="auto"/>
              </w:rPr>
            </w:pPr>
            <w:r>
              <w:rPr>
                <w:rFonts w:ascii="Arial" w:cs="Arial" w:eastAsia="Arial" w:hAnsi="Arial"/>
                <w:sz w:val="18"/>
                <w:szCs w:val="18"/>
                <w:color w:val="auto"/>
              </w:rPr>
              <w:t>Bitcoin (BTC)</w:t>
            </w: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49,593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Ethereum (ETH)</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gridSpan w:val="2"/>
          </w:tcPr>
          <w:p>
            <w:pPr>
              <w:ind w:left="240"/>
              <w:spacing w:after="0" w:line="223" w:lineRule="exact"/>
              <w:rPr>
                <w:sz w:val="20"/>
                <w:szCs w:val="20"/>
                <w:color w:val="auto"/>
              </w:rPr>
            </w:pPr>
            <w:r>
              <w:rPr>
                <w:rFonts w:ascii="Arial" w:cs="Arial" w:eastAsia="Arial" w:hAnsi="Arial"/>
                <w:sz w:val="18"/>
                <w:szCs w:val="18"/>
                <w:color w:val="auto"/>
              </w:rPr>
              <w:t>Total digital assets held as collateral</w:t>
            </w:r>
            <w:r>
              <w:rPr>
                <w:rFonts w:ascii="Arial" w:cs="Arial" w:eastAsia="Arial" w:hAnsi="Arial"/>
                <w:sz w:val="23"/>
                <w:szCs w:val="23"/>
                <w:color w:val="auto"/>
                <w:vertAlign w:val="superscript"/>
              </w:rPr>
              <w:t>(B)</w:t>
            </w:r>
          </w:p>
        </w:tc>
        <w:tc>
          <w:tcPr>
            <w:tcW w:w="600" w:type="dxa"/>
            <w:vAlign w:val="bottom"/>
          </w:tcPr>
          <w:p>
            <w:pPr>
              <w:jc w:val="right"/>
              <w:spacing w:after="0"/>
              <w:rPr>
                <w:sz w:val="20"/>
                <w:szCs w:val="20"/>
                <w:color w:val="auto"/>
              </w:rPr>
            </w:pPr>
            <w:r>
              <w:rPr>
                <w:rFonts w:ascii="Arial" w:cs="Arial" w:eastAsia="Arial" w:hAnsi="Arial"/>
                <w:sz w:val="18"/>
                <w:szCs w:val="18"/>
                <w:color w:val="auto"/>
              </w:rPr>
              <w:t>4,988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records digital assets and corresponding liability for digital assets held as collateral at fair value. As such, the cost basis is determined to be not meaningful. See Note 11 for additional information regarding the valuation of these assets and liabilities.</w:t>
      </w:r>
    </w:p>
    <w:p>
      <w:pPr>
        <w:spacing w:after="0" w:line="1" w:lineRule="exact"/>
        <w:rPr>
          <w:rFonts w:ascii="Arial" w:cs="Arial" w:eastAsia="Arial" w:hAnsi="Arial"/>
          <w:sz w:val="16"/>
          <w:szCs w:val="16"/>
          <w:color w:val="auto"/>
        </w:rPr>
      </w:pPr>
    </w:p>
    <w:p>
      <w:pPr>
        <w:ind w:left="340" w:hanging="332"/>
        <w:spacing w:after="0" w:line="270"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originates loans collateralized by digital assets and records a corresponding $64.4 million liability representing the fair value digital assets owed to the borrower in the event of loan repayment.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significant digital assets held by the Company and by third-party custodians on behalf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at 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4680" w:type="dxa"/>
            <w:vAlign w:val="bottom"/>
          </w:tcPr>
          <w:p>
            <w:pPr>
              <w:spacing w:after="0"/>
              <w:rPr>
                <w:sz w:val="17"/>
                <w:szCs w:val="17"/>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7"/>
                <w:szCs w:val="17"/>
                <w:color w:val="auto"/>
              </w:rPr>
            </w:pPr>
          </w:p>
        </w:tc>
        <w:tc>
          <w:tcPr>
            <w:tcW w:w="1420" w:type="dxa"/>
            <w:vAlign w:val="bottom"/>
            <w:gridSpan w:val="2"/>
          </w:tcPr>
          <w:p>
            <w:pPr>
              <w:ind w:left="140"/>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c>
          <w:tcPr>
            <w:tcW w:w="140" w:type="dxa"/>
            <w:vAlign w:val="bottom"/>
          </w:tcPr>
          <w:p>
            <w:pPr>
              <w:spacing w:after="0"/>
              <w:rPr>
                <w:sz w:val="17"/>
                <w:szCs w:val="17"/>
                <w:color w:val="auto"/>
              </w:rPr>
            </w:pPr>
          </w:p>
        </w:tc>
        <w:tc>
          <w:tcPr>
            <w:tcW w:w="1440" w:type="dxa"/>
            <w:vAlign w:val="bottom"/>
          </w:tcPr>
          <w:p>
            <w:pPr>
              <w:jc w:val="right"/>
              <w:ind w:right="296"/>
              <w:spacing w:after="0" w:line="197"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(A)</w:t>
            </w:r>
          </w:p>
        </w:tc>
      </w:tr>
      <w:tr>
        <w:trPr>
          <w:trHeight w:val="209"/>
        </w:trPr>
        <w:tc>
          <w:tcPr>
            <w:tcW w:w="46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Digital Assets Held for Sale</w:t>
            </w:r>
            <w:r>
              <w:rPr>
                <w:rFonts w:ascii="Arial" w:cs="Arial" w:eastAsia="Arial" w:hAnsi="Arial"/>
                <w:sz w:val="23"/>
                <w:szCs w:val="23"/>
                <w:b w:val="1"/>
                <w:bCs w:val="1"/>
                <w:color w:val="auto"/>
                <w:vertAlign w:val="superscript"/>
              </w:rPr>
              <w:t>(B)</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Solana (SOL)</w:t>
            </w:r>
            <w:r>
              <w:rPr>
                <w:rFonts w:ascii="Arial" w:cs="Arial" w:eastAsia="Arial" w:hAnsi="Arial"/>
                <w:sz w:val="23"/>
                <w:szCs w:val="23"/>
                <w:color w:val="auto"/>
                <w:vertAlign w:val="superscript"/>
              </w:rPr>
              <w:t>(E)</w:t>
            </w:r>
          </w:p>
        </w:tc>
        <w:tc>
          <w:tcPr>
            <w:tcW w:w="1560" w:type="dxa"/>
            <w:vAlign w:val="bottom"/>
          </w:tcPr>
          <w:p>
            <w:pPr>
              <w:jc w:val="right"/>
              <w:spacing w:after="0"/>
              <w:rPr>
                <w:sz w:val="20"/>
                <w:szCs w:val="20"/>
                <w:color w:val="auto"/>
              </w:rPr>
            </w:pPr>
            <w:r>
              <w:rPr>
                <w:rFonts w:ascii="Arial" w:cs="Arial" w:eastAsia="Arial" w:hAnsi="Arial"/>
                <w:sz w:val="18"/>
                <w:szCs w:val="18"/>
                <w:color w:val="auto"/>
              </w:rPr>
              <w:t>95,139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USD Coin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460"/>
              <w:spacing w:after="0" w:line="230" w:lineRule="exact"/>
              <w:rPr>
                <w:sz w:val="20"/>
                <w:szCs w:val="20"/>
                <w:color w:val="auto"/>
              </w:rPr>
            </w:pPr>
            <w:r>
              <w:rPr>
                <w:rFonts w:ascii="Arial" w:cs="Arial" w:eastAsia="Arial" w:hAnsi="Arial"/>
                <w:sz w:val="18"/>
                <w:szCs w:val="18"/>
                <w:color w:val="auto"/>
              </w:rPr>
              <w:t>Other digital assets</w:t>
            </w:r>
            <w:r>
              <w:rPr>
                <w:rFonts w:ascii="Arial" w:cs="Arial" w:eastAsia="Arial" w:hAnsi="Arial"/>
                <w:sz w:val="23"/>
                <w:szCs w:val="23"/>
                <w:color w:val="auto"/>
                <w:vertAlign w:val="superscript"/>
              </w:rPr>
              <w:t>(C)(D)</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Various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5,865</w:t>
            </w:r>
          </w:p>
        </w:tc>
      </w:tr>
      <w:tr>
        <w:trPr>
          <w:trHeight w:val="248"/>
        </w:trPr>
        <w:tc>
          <w:tcPr>
            <w:tcW w:w="4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digital assets held for sale</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line="249"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records digital assets held for sale at fair value. See Note 11 for additional information regarding the valuation of these assets and liabilities.</w:t>
      </w:r>
    </w:p>
    <w:p>
      <w:pPr>
        <w:ind w:left="340" w:right="20" w:hanging="332"/>
        <w:spacing w:after="0" w:line="255"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Digital assets held for sale are included in both Digital Assets and Digital Assets, Non-Current in the Combined Consolidated Balance Sheets, dependent on the nature of the underlying asset and related restrictions.</w:t>
      </w:r>
    </w:p>
    <w:p>
      <w:pPr>
        <w:ind w:left="340" w:right="20" w:hanging="332"/>
        <w:spacing w:after="0" w:line="255" w:lineRule="auto"/>
        <w:tabs>
          <w:tab w:leader="none" w:pos="3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various other digital asset balances, none of which individually represented more than 5% of the carrying value of total digital assets held for sale.</w:t>
      </w:r>
    </w:p>
    <w:p>
      <w:pPr>
        <w:ind w:left="340" w:hanging="332"/>
        <w:spacing w:after="0" w:line="252" w:lineRule="auto"/>
        <w:tabs>
          <w:tab w:leader="none" w:pos="33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Hash Tokens (“Hash”), a native utility token used as a medium of exchange that is maintained by an affiliated entity, which is carried at cost on the Combined Consolidated Balance Sheets See Note 10 for additional information regarding the related party relationship.</w:t>
      </w:r>
    </w:p>
    <w:p>
      <w:pPr>
        <w:spacing w:after="0" w:line="1" w:lineRule="exact"/>
        <w:rPr>
          <w:rFonts w:ascii="Arial" w:cs="Arial" w:eastAsia="Arial" w:hAnsi="Arial"/>
          <w:sz w:val="16"/>
          <w:szCs w:val="16"/>
          <w:color w:val="auto"/>
        </w:rPr>
      </w:pPr>
    </w:p>
    <w:p>
      <w:pPr>
        <w:ind w:left="340" w:hanging="332"/>
        <w:spacing w:after="0" w:line="270"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Includes 94,032 SOL that are subject to a lock-up period through January 2028. Tokens are unlocked on a monthly basis based on a contractual schedule. The locked tokens are not accessible and are staked and earn rewards during the lock 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229"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activities involving the Company’s digital assets held as collateral and held for sale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Held as Collateral</w:t>
            </w:r>
          </w:p>
        </w:tc>
        <w:tc>
          <w:tcPr>
            <w:tcW w:w="240" w:type="dxa"/>
            <w:vAlign w:val="bottom"/>
          </w:tcPr>
          <w:p>
            <w:pPr>
              <w:spacing w:after="0"/>
              <w:rPr>
                <w:sz w:val="17"/>
                <w:szCs w:val="17"/>
                <w:color w:val="auto"/>
              </w:rPr>
            </w:pPr>
          </w:p>
        </w:tc>
        <w:tc>
          <w:tcPr>
            <w:tcW w:w="1340" w:type="dxa"/>
            <w:vAlign w:val="bottom"/>
          </w:tcPr>
          <w:p>
            <w:pPr>
              <w:jc w:val="right"/>
              <w:ind w:right="251"/>
              <w:spacing w:after="0"/>
              <w:rPr>
                <w:sz w:val="20"/>
                <w:szCs w:val="20"/>
                <w:color w:val="auto"/>
              </w:rPr>
            </w:pPr>
            <w:r>
              <w:rPr>
                <w:rFonts w:ascii="Arial" w:cs="Arial" w:eastAsia="Arial" w:hAnsi="Arial"/>
                <w:sz w:val="14"/>
                <w:szCs w:val="14"/>
                <w:b w:val="1"/>
                <w:bCs w:val="1"/>
                <w:color w:val="auto"/>
              </w:rPr>
              <w:t>Held for Sale</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Gains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Collateral returned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digital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26,785</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Collateral received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 from Related Party</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Distributions from Fund I</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Gains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Collateral returned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digital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both"/>
        <w:ind w:left="340" w:hanging="332"/>
        <w:spacing w:after="0" w:line="264"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Realized gains and losses incurred on the sale of digital assets held for sale are reflected in Other Income (Expense), Net on the Combined Consolidated Statements of Operations. No realized gains or losses were recorded for digital assets held as collateral, as no sales occurred during the years ended December 31, 2024 and 2023.</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Safeguarding of Digital Assets</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holds the following minority investments in certain entities not considered significant to the Company and recorded within Other Assets in the Combined Balance Sheets with the Company’s share of net income of equity-method investees recorded as Other Revenue in the Combined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229"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of Operations. The following table presents the carrying value of these investments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 Method Investees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Domestic Solana Fund</w:t>
            </w:r>
            <w:r>
              <w:rPr>
                <w:rFonts w:ascii="Arial" w:cs="Arial" w:eastAsia="Arial" w:hAnsi="Arial"/>
                <w:sz w:val="23"/>
                <w:szCs w:val="23"/>
                <w:color w:val="auto"/>
                <w:vertAlign w:val="superscript"/>
              </w:rPr>
              <w:t>(A)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Reflow</w:t>
            </w:r>
            <w:r>
              <w:rPr>
                <w:rFonts w:ascii="Arial" w:cs="Arial" w:eastAsia="Arial" w:hAnsi="Arial"/>
                <w:sz w:val="23"/>
                <w:szCs w:val="23"/>
                <w:color w:val="auto"/>
                <w:vertAlign w:val="superscript"/>
              </w:rPr>
              <w:t>(B)</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7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Carried at Cost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JAM FINTOP</w:t>
            </w:r>
            <w:r>
              <w:rPr>
                <w:rFonts w:ascii="Arial" w:cs="Arial" w:eastAsia="Arial" w:hAnsi="Arial"/>
                <w:sz w:val="23"/>
                <w:szCs w:val="23"/>
                <w:color w:val="auto"/>
                <w:vertAlign w:val="superscript"/>
              </w:rPr>
              <w:t>(C)</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Investments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Represents a 4.8% equity interest in SOL Opportunity Fund L.P. (“Domestic Solana Fund”) as of December 31, 2024, a domestic fund that invests primarily in Solana tokens.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Represents a 17.3% interest in Reflow Services LLC (“Reflow”) at December 31, 2024 and 2023.</w:t>
      </w:r>
    </w:p>
    <w:p>
      <w:pPr>
        <w:spacing w:after="0" w:line="8" w:lineRule="exact"/>
        <w:rPr>
          <w:rFonts w:ascii="Arial" w:cs="Arial" w:eastAsia="Arial" w:hAnsi="Arial"/>
          <w:sz w:val="16"/>
          <w:szCs w:val="16"/>
          <w:color w:val="auto"/>
        </w:rPr>
      </w:pPr>
    </w:p>
    <w:p>
      <w:pPr>
        <w:ind w:left="340" w:hanging="332"/>
        <w:spacing w:after="0" w:line="283" w:lineRule="auto"/>
        <w:tabs>
          <w:tab w:leader="none" w:pos="33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Represents a 1.0% equity interest in JAM FINTOP Blockchain LP (“JAM FINTOP”) as of December 31, 2024 and 2023, an investment company domiciled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9"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SERVICING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servicing assets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UPB of Underlying</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Loan Count</w:t>
            </w:r>
          </w:p>
        </w:tc>
        <w:tc>
          <w:tcPr>
            <w:tcW w:w="160" w:type="dxa"/>
            <w:vAlign w:val="bottom"/>
          </w:tcPr>
          <w:p>
            <w:pPr>
              <w:spacing w:after="0"/>
              <w:rPr>
                <w:sz w:val="12"/>
                <w:szCs w:val="12"/>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Carrying Value(A)</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7,933,975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Mortgage loans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8,096,883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UPB of Underlying</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Loan Count</w:t>
            </w:r>
          </w:p>
        </w:tc>
        <w:tc>
          <w:tcPr>
            <w:tcW w:w="160" w:type="dxa"/>
            <w:vAlign w:val="bottom"/>
          </w:tcPr>
          <w:p>
            <w:pPr>
              <w:spacing w:after="0"/>
              <w:rPr>
                <w:sz w:val="12"/>
                <w:szCs w:val="12"/>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Carrying Value(A)</w:t>
            </w:r>
          </w:p>
        </w:tc>
        <w:tc>
          <w:tcPr>
            <w:tcW w:w="0" w:type="dxa"/>
            <w:vAlign w:val="bottom"/>
          </w:tcPr>
          <w:p>
            <w:pPr>
              <w:spacing w:after="0"/>
              <w:rPr>
                <w:sz w:val="1"/>
                <w:szCs w:val="1"/>
                <w:color w:val="auto"/>
              </w:rPr>
            </w:pPr>
          </w:p>
        </w:tc>
      </w:tr>
      <w:tr>
        <w:trPr>
          <w:trHeight w:val="185"/>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5,018,260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Mortgage loans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177,339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5,195,599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records loan servicing assets at fair value. See Note 11 for additional information regarding the valuation of these assets.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includes a rollforward of the Company’s servicing assets for the years ended December 31,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33,777</w:t>
            </w:r>
          </w:p>
        </w:tc>
      </w:tr>
      <w:tr>
        <w:trPr>
          <w:trHeight w:val="210"/>
        </w:trPr>
        <w:tc>
          <w:tcPr>
            <w:tcW w:w="9660" w:type="dxa"/>
            <w:vAlign w:val="bottom"/>
          </w:tcPr>
          <w:p>
            <w:pPr>
              <w:ind w:left="240"/>
              <w:spacing w:after="0"/>
              <w:rPr>
                <w:sz w:val="20"/>
                <w:szCs w:val="20"/>
                <w:color w:val="auto"/>
              </w:rPr>
            </w:pPr>
            <w:r>
              <w:rPr>
                <w:rFonts w:ascii="Arial" w:cs="Arial" w:eastAsia="Arial" w:hAnsi="Arial"/>
                <w:sz w:val="18"/>
                <w:szCs w:val="18"/>
                <w:color w:val="auto"/>
              </w:rPr>
              <w:t>Change in fair value due to:</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96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36,386</w:t>
            </w:r>
          </w:p>
        </w:tc>
      </w:tr>
      <w:tr>
        <w:trPr>
          <w:trHeight w:val="230"/>
        </w:trPr>
        <w:tc>
          <w:tcPr>
            <w:tcW w:w="9660" w:type="dxa"/>
            <w:vAlign w:val="bottom"/>
          </w:tcPr>
          <w:p>
            <w:pPr>
              <w:ind w:left="460"/>
              <w:spacing w:after="0" w:line="230" w:lineRule="exact"/>
              <w:rPr>
                <w:sz w:val="20"/>
                <w:szCs w:val="20"/>
                <w:color w:val="auto"/>
              </w:rPr>
            </w:pPr>
            <w:r>
              <w:rPr>
                <w:rFonts w:ascii="Arial" w:cs="Arial" w:eastAsia="Arial" w:hAnsi="Arial"/>
                <w:sz w:val="18"/>
                <w:szCs w:val="18"/>
                <w:color w:val="auto"/>
              </w:rPr>
              <w:t>Realization of cash flows</w:t>
            </w:r>
            <w:r>
              <w:rPr>
                <w:rFonts w:ascii="Arial" w:cs="Arial" w:eastAsia="Arial" w:hAnsi="Arial"/>
                <w:sz w:val="23"/>
                <w:szCs w:val="23"/>
                <w:color w:val="auto"/>
                <w:vertAlign w:val="superscript"/>
              </w:rPr>
              <w:t>(B)</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(9,684)</w:t>
            </w:r>
          </w:p>
        </w:tc>
      </w:tr>
      <w:tr>
        <w:trPr>
          <w:trHeight w:val="230"/>
        </w:trPr>
        <w:tc>
          <w:tcPr>
            <w:tcW w:w="9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valuation inputs and assumptions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r>
      <w:tr>
        <w:trPr>
          <w:trHeight w:val="223"/>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impact of change to fair value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22,083</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55,860</w:t>
            </w:r>
          </w:p>
        </w:tc>
      </w:tr>
      <w:tr>
        <w:trPr>
          <w:trHeight w:val="210"/>
        </w:trPr>
        <w:tc>
          <w:tcPr>
            <w:tcW w:w="9660" w:type="dxa"/>
            <w:vAlign w:val="bottom"/>
          </w:tcPr>
          <w:p>
            <w:pPr>
              <w:ind w:left="240"/>
              <w:spacing w:after="0"/>
              <w:rPr>
                <w:sz w:val="20"/>
                <w:szCs w:val="20"/>
                <w:color w:val="auto"/>
              </w:rPr>
            </w:pPr>
            <w:r>
              <w:rPr>
                <w:rFonts w:ascii="Arial" w:cs="Arial" w:eastAsia="Arial" w:hAnsi="Arial"/>
                <w:sz w:val="18"/>
                <w:szCs w:val="18"/>
                <w:color w:val="auto"/>
              </w:rPr>
              <w:t>Change in fair value due to:</w:t>
            </w: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966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r>
      <w:tr>
        <w:trPr>
          <w:trHeight w:val="229"/>
        </w:trPr>
        <w:tc>
          <w:tcPr>
            <w:tcW w:w="9660" w:type="dxa"/>
            <w:vAlign w:val="bottom"/>
          </w:tcPr>
          <w:p>
            <w:pPr>
              <w:ind w:left="460"/>
              <w:spacing w:after="0" w:line="230" w:lineRule="exact"/>
              <w:rPr>
                <w:sz w:val="20"/>
                <w:szCs w:val="20"/>
                <w:color w:val="auto"/>
              </w:rPr>
            </w:pPr>
            <w:r>
              <w:rPr>
                <w:rFonts w:ascii="Arial" w:cs="Arial" w:eastAsia="Arial" w:hAnsi="Arial"/>
                <w:sz w:val="18"/>
                <w:szCs w:val="18"/>
                <w:color w:val="auto"/>
              </w:rPr>
              <w:t>Realization of cash flows</w:t>
            </w:r>
            <w:r>
              <w:rPr>
                <w:rFonts w:ascii="Arial" w:cs="Arial" w:eastAsia="Arial" w:hAnsi="Arial"/>
                <w:sz w:val="23"/>
                <w:szCs w:val="23"/>
                <w:color w:val="auto"/>
                <w:vertAlign w:val="superscript"/>
              </w:rPr>
              <w:t>(B)</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(19,623)</w:t>
            </w:r>
          </w:p>
        </w:tc>
      </w:tr>
      <w:tr>
        <w:trPr>
          <w:trHeight w:val="230"/>
        </w:trPr>
        <w:tc>
          <w:tcPr>
            <w:tcW w:w="9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valuation inputs and assumptions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r>
      <w:tr>
        <w:trPr>
          <w:trHeight w:val="223"/>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impact of change to fair value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32,637</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88,497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Represents the fair value of servicing rights retained upon sale of originated loans.</w:t>
      </w:r>
    </w:p>
    <w:p>
      <w:pPr>
        <w:spacing w:after="0" w:line="14" w:lineRule="exact"/>
        <w:rPr>
          <w:rFonts w:ascii="Arial" w:cs="Arial" w:eastAsia="Arial" w:hAnsi="Arial"/>
          <w:sz w:val="16"/>
          <w:szCs w:val="16"/>
          <w:color w:val="auto"/>
        </w:rPr>
      </w:pPr>
    </w:p>
    <w:p>
      <w:pPr>
        <w:ind w:left="340" w:hanging="332"/>
        <w:spacing w:after="0"/>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the paydown of the underlying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9"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Concentration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geographic concentration of the loans underlying the servicing rights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911"/>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ind w:right="93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5"/>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Amount</w:t>
            </w:r>
          </w:p>
        </w:tc>
        <w:tc>
          <w:tcPr>
            <w:tcW w:w="17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 of Total</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Amount</w:t>
            </w:r>
          </w:p>
        </w:tc>
        <w:tc>
          <w:tcPr>
            <w:tcW w:w="168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01"/>
        </w:trPr>
        <w:tc>
          <w:tcPr>
            <w:tcW w:w="4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00"/>
              <w:spacing w:after="0" w:line="201" w:lineRule="exact"/>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8"/>
                <w:szCs w:val="18"/>
                <w:b w:val="1"/>
                <w:bCs w:val="1"/>
                <w:color w:val="auto"/>
                <w:w w:val="96"/>
                <w:vertAlign w:val="superscript"/>
              </w:rPr>
              <w:t>(A)</w:t>
            </w:r>
          </w:p>
        </w:tc>
        <w:tc>
          <w:tcPr>
            <w:tcW w:w="17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line="201" w:lineRule="exact"/>
              <w:rPr>
                <w:sz w:val="20"/>
                <w:szCs w:val="20"/>
                <w:color w:val="auto"/>
              </w:rPr>
            </w:pPr>
            <w:r>
              <w:rPr>
                <w:rFonts w:ascii="Arial" w:cs="Arial" w:eastAsia="Arial" w:hAnsi="Arial"/>
                <w:sz w:val="14"/>
                <w:szCs w:val="14"/>
                <w:b w:val="1"/>
                <w:bCs w:val="1"/>
                <w:color w:val="auto"/>
                <w:w w:val="98"/>
              </w:rPr>
              <w:t>Outstanding</w:t>
            </w:r>
            <w:r>
              <w:rPr>
                <w:rFonts w:ascii="Arial" w:cs="Arial" w:eastAsia="Arial" w:hAnsi="Arial"/>
                <w:sz w:val="18"/>
                <w:szCs w:val="18"/>
                <w:b w:val="1"/>
                <w:bCs w:val="1"/>
                <w:color w:val="auto"/>
                <w:w w:val="98"/>
                <w:vertAlign w:val="superscript"/>
              </w:rPr>
              <w:t>(A)</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2,146,371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1,449,585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990,404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593,697</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429,469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Georgia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407,651</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278,231</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362,370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320,124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211,344</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261,013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198,984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Colorado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241,844</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168,289</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227,069</w:t>
            </w:r>
          </w:p>
        </w:tc>
        <w:tc>
          <w:tcPr>
            <w:tcW w:w="100" w:type="dxa"/>
            <w:vAlign w:val="bottom"/>
          </w:tcPr>
          <w:p>
            <w:pPr>
              <w:spacing w:after="0"/>
              <w:rPr>
                <w:sz w:val="19"/>
                <w:szCs w:val="19"/>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141,239</w:t>
            </w:r>
          </w:p>
        </w:tc>
        <w:tc>
          <w:tcPr>
            <w:tcW w:w="80" w:type="dxa"/>
            <w:vAlign w:val="bottom"/>
          </w:tcPr>
          <w:p>
            <w:pPr>
              <w:spacing w:after="0"/>
              <w:rPr>
                <w:sz w:val="19"/>
                <w:szCs w:val="19"/>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U.S.</w:t>
            </w:r>
            <w:r>
              <w:rPr>
                <w:rFonts w:ascii="Arial" w:cs="Arial" w:eastAsia="Arial" w:hAnsi="Arial"/>
                <w:sz w:val="23"/>
                <w:szCs w:val="23"/>
                <w:color w:val="auto"/>
                <w:vertAlign w:val="superscript"/>
              </w:rPr>
              <w:t>(B)</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2,471,009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1,465,802</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8,096,883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5,195,599</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Represents the principal balance of the loans serviced by the Company.</w:t>
      </w:r>
    </w:p>
    <w:p>
      <w:pPr>
        <w:spacing w:after="0" w:line="5" w:lineRule="exact"/>
        <w:rPr>
          <w:rFonts w:ascii="Arial" w:cs="Arial" w:eastAsia="Arial" w:hAnsi="Arial"/>
          <w:sz w:val="16"/>
          <w:szCs w:val="16"/>
          <w:color w:val="auto"/>
        </w:rPr>
      </w:pPr>
    </w:p>
    <w:p>
      <w:pPr>
        <w:ind w:left="340" w:hanging="332"/>
        <w:spacing w:after="0" w:line="28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did not service loans in any state or U.S. territory contained in “Other” aggregating to more than 5% of the total amount outstanding of the loans serviced by the Company.</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its servicing operations, the Company held principal, interest, and other borrower payments of $198.8 million and $116.9 million at December 31, 2024 and 2023, respectively, due to third-party loan buyers recorded as Payables to Third-Party Loan Owners in the Combined Consolidated Balance Sheets. The Company makes payments on these arrangements by remitting amounts due from proceeds received from borrower payments on the underlying collateral loans. Additionally, the Company has outstanding liability obligations to repurchase loans that are in early payment default status as of each period end. As of December 31, 2024 and 2023, the total obligation to repurchase loans associated with contractual arrangements was $13.8 million and $3.2 million, respectively, recorded as Payables to Third-Party Loan Owners in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9"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loans held by the Company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UPB</w:t>
            </w:r>
          </w:p>
        </w:tc>
        <w:tc>
          <w:tcPr>
            <w:tcW w:w="120" w:type="dxa"/>
            <w:vAlign w:val="bottom"/>
          </w:tcPr>
          <w:p>
            <w:pPr>
              <w:spacing w:after="0"/>
              <w:rPr>
                <w:sz w:val="17"/>
                <w:szCs w:val="17"/>
                <w:color w:val="auto"/>
              </w:rPr>
            </w:pPr>
          </w:p>
        </w:tc>
        <w:tc>
          <w:tcPr>
            <w:tcW w:w="1540" w:type="dxa"/>
            <w:vAlign w:val="bottom"/>
            <w:gridSpan w:val="2"/>
          </w:tcPr>
          <w:p>
            <w:pPr>
              <w:jc w:val="center"/>
              <w:ind w:right="240"/>
              <w:spacing w:after="0" w:line="197" w:lineRule="exact"/>
              <w:rPr>
                <w:sz w:val="20"/>
                <w:szCs w:val="20"/>
                <w:color w:val="auto"/>
              </w:rPr>
            </w:pPr>
            <w:r>
              <w:rPr>
                <w:rFonts w:ascii="Arial" w:cs="Arial" w:eastAsia="Arial" w:hAnsi="Arial"/>
                <w:sz w:val="14"/>
                <w:szCs w:val="14"/>
                <w:b w:val="1"/>
                <w:bCs w:val="1"/>
                <w:color w:val="auto"/>
                <w:w w:val="98"/>
              </w:rPr>
              <w:t>Carrying Value</w:t>
            </w:r>
            <w:r>
              <w:rPr>
                <w:rFonts w:ascii="Arial" w:cs="Arial" w:eastAsia="Arial" w:hAnsi="Arial"/>
                <w:sz w:val="18"/>
                <w:szCs w:val="18"/>
                <w:b w:val="1"/>
                <w:bCs w:val="1"/>
                <w:color w:val="auto"/>
                <w:w w:val="98"/>
                <w:vertAlign w:val="superscript"/>
              </w:rPr>
              <w:t>(A)</w:t>
            </w:r>
          </w:p>
        </w:tc>
        <w:tc>
          <w:tcPr>
            <w:tcW w:w="1640" w:type="dxa"/>
            <w:vAlign w:val="bottom"/>
            <w:gridSpan w:val="2"/>
          </w:tcPr>
          <w:p>
            <w:pPr>
              <w:ind w:left="380"/>
              <w:spacing w:after="0"/>
              <w:rPr>
                <w:sz w:val="20"/>
                <w:szCs w:val="20"/>
                <w:color w:val="auto"/>
              </w:rPr>
            </w:pPr>
            <w:r>
              <w:rPr>
                <w:rFonts w:ascii="Arial" w:cs="Arial" w:eastAsia="Arial" w:hAnsi="Arial"/>
                <w:sz w:val="14"/>
                <w:szCs w:val="14"/>
                <w:b w:val="1"/>
                <w:bCs w:val="1"/>
                <w:color w:val="auto"/>
              </w:rPr>
              <w:t>Loan Count</w:t>
            </w:r>
          </w:p>
        </w:tc>
        <w:tc>
          <w:tcPr>
            <w:tcW w:w="140" w:type="dxa"/>
            <w:vAlign w:val="bottom"/>
          </w:tcPr>
          <w:p>
            <w:pPr>
              <w:spacing w:after="0"/>
              <w:rPr>
                <w:sz w:val="17"/>
                <w:szCs w:val="17"/>
                <w:color w:val="auto"/>
              </w:rPr>
            </w:pPr>
          </w:p>
        </w:tc>
        <w:tc>
          <w:tcPr>
            <w:tcW w:w="1440" w:type="dxa"/>
            <w:vAlign w:val="bottom"/>
          </w:tcPr>
          <w:p>
            <w:pPr>
              <w:jc w:val="right"/>
              <w:ind w:right="135"/>
              <w:spacing w:after="0" w:line="197" w:lineRule="exact"/>
              <w:rPr>
                <w:sz w:val="20"/>
                <w:szCs w:val="20"/>
                <w:color w:val="auto"/>
              </w:rPr>
            </w:pPr>
            <w:r>
              <w:rPr>
                <w:rFonts w:ascii="Arial" w:cs="Arial" w:eastAsia="Arial" w:hAnsi="Arial"/>
                <w:sz w:val="14"/>
                <w:szCs w:val="14"/>
                <w:b w:val="1"/>
                <w:bCs w:val="1"/>
                <w:color w:val="auto"/>
              </w:rPr>
              <w:t>Carrying Value</w:t>
            </w:r>
            <w:r>
              <w:rPr>
                <w:rFonts w:ascii="Arial" w:cs="Arial" w:eastAsia="Arial" w:hAnsi="Arial"/>
                <w:sz w:val="18"/>
                <w:szCs w:val="18"/>
                <w:b w:val="1"/>
                <w:bCs w:val="1"/>
                <w:color w:val="auto"/>
                <w:vertAlign w:val="superscript"/>
              </w:rPr>
              <w:t>(A)</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sale</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HELOC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359,155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366,154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244,670</w:t>
            </w:r>
          </w:p>
        </w:tc>
      </w:tr>
      <w:tr>
        <w:trPr>
          <w:trHeight w:val="229"/>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Personal loans(B)</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tcBorders>
              <w:bottom w:val="single" w:sz="8" w:color="CCEEFF"/>
            </w:tcBorders>
          </w:tcPr>
          <w:p>
            <w:pPr>
              <w:ind w:left="46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10,846</w:t>
            </w:r>
          </w:p>
        </w:tc>
      </w:tr>
      <w:tr>
        <w:trPr>
          <w:trHeight w:val="248"/>
        </w:trPr>
        <w:tc>
          <w:tcPr>
            <w:tcW w:w="4700" w:type="dxa"/>
            <w:vAlign w:val="bottom"/>
            <w:tcBorders>
              <w:bottom w:val="single" w:sz="8" w:color="CCEEFF"/>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Total loans held for sale</w:t>
            </w:r>
            <w:r>
              <w:rPr>
                <w:rFonts w:ascii="Arial" w:cs="Arial" w:eastAsia="Arial" w:hAnsi="Arial"/>
                <w:sz w:val="23"/>
                <w:szCs w:val="23"/>
                <w:color w:val="auto"/>
                <w:vertAlign w:val="superscript"/>
              </w:rPr>
              <w:t>(D)(E)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investment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700" w:type="dxa"/>
            <w:vAlign w:val="bottom"/>
          </w:tcPr>
          <w:p>
            <w:pPr>
              <w:ind w:left="460"/>
              <w:spacing w:after="0"/>
              <w:rPr>
                <w:sz w:val="20"/>
                <w:szCs w:val="20"/>
                <w:color w:val="auto"/>
              </w:rPr>
            </w:pPr>
            <w:r>
              <w:rPr>
                <w:rFonts w:ascii="Arial" w:cs="Arial" w:eastAsia="Arial" w:hAnsi="Arial"/>
                <w:sz w:val="18"/>
                <w:szCs w:val="18"/>
                <w:color w:val="auto"/>
              </w:rPr>
              <w:t>HELOC loans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61,337</w:t>
            </w:r>
          </w:p>
        </w:tc>
      </w:tr>
      <w:tr>
        <w:trPr>
          <w:trHeight w:val="248"/>
        </w:trPr>
        <w:tc>
          <w:tcPr>
            <w:tcW w:w="4700" w:type="dxa"/>
            <w:vAlign w:val="bottom"/>
            <w:tcBorders>
              <w:top w:val="single" w:sz="8" w:color="CCEEFF"/>
              <w:bottom w:val="single" w:sz="8" w:color="CCEEFF"/>
            </w:tcBorders>
            <w:shd w:val="clear" w:color="auto" w:fill="CCEEFF"/>
          </w:tcPr>
          <w:p>
            <w:pPr>
              <w:ind w:left="240"/>
              <w:spacing w:after="0" w:line="223" w:lineRule="exact"/>
              <w:rPr>
                <w:sz w:val="20"/>
                <w:szCs w:val="20"/>
                <w:color w:val="auto"/>
              </w:rPr>
            </w:pPr>
            <w:r>
              <w:rPr>
                <w:rFonts w:ascii="Arial" w:cs="Arial" w:eastAsia="Arial" w:hAnsi="Arial"/>
                <w:sz w:val="18"/>
                <w:szCs w:val="18"/>
                <w:color w:val="auto"/>
              </w:rPr>
              <w:t>Total loans held for investment</w:t>
            </w:r>
            <w:r>
              <w:rPr>
                <w:rFonts w:ascii="Arial" w:cs="Arial" w:eastAsia="Arial" w:hAnsi="Arial"/>
                <w:sz w:val="23"/>
                <w:szCs w:val="23"/>
                <w:color w:val="auto"/>
                <w:vertAlign w:val="superscript"/>
              </w:rPr>
              <w:t>(D)</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records loans at fair value. See Note 11 for additional information regarding the valuation of these assets.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Loans collateralized by digital assets.</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Primarily contains legacy mortgage and other unsecured loans.</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w:t>
      </w:r>
    </w:p>
    <w:p>
      <w:pPr>
        <w:ind w:left="340" w:hanging="332"/>
        <w:spacing w:after="0" w:line="265"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placed loans held for sale with an aggregate UPB of $1.2 million and $1.4 million and fair value of $0.8 million and $0.8 million on non-accrual status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9"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past due status and difference between the aggregate UPB and the aggregate carrying value of loans held by the Company.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December 31, 2024</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December 31, 2023</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100" w:type="dxa"/>
            <w:vAlign w:val="bottom"/>
          </w:tcPr>
          <w:p>
            <w:pPr>
              <w:jc w:val="center"/>
              <w:ind w:right="31"/>
              <w:spacing w:after="0" w:line="155"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1100" w:type="dxa"/>
            <w:vAlign w:val="bottom"/>
          </w:tcPr>
          <w:p>
            <w:pPr>
              <w:jc w:val="center"/>
              <w:ind w:right="31"/>
              <w:spacing w:after="0" w:line="155"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 Delinquency</w:t>
            </w:r>
          </w:p>
        </w:tc>
        <w:tc>
          <w:tcPr>
            <w:tcW w:w="26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UPB</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300" w:type="dxa"/>
            <w:vAlign w:val="bottom"/>
            <w:gridSpan w:val="3"/>
          </w:tcPr>
          <w:p>
            <w:pPr>
              <w:jc w:val="center"/>
              <w:ind w:right="80"/>
              <w:spacing w:after="0" w:line="162"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(A)</w:t>
            </w:r>
            <w:r>
              <w:rPr>
                <w:rFonts w:ascii="Arial" w:cs="Arial" w:eastAsia="Arial" w:hAnsi="Arial"/>
                <w:sz w:val="14"/>
                <w:szCs w:val="14"/>
                <w:b w:val="1"/>
                <w:bCs w:val="1"/>
                <w:color w:val="auto"/>
              </w:rPr>
              <w:t xml:space="preserve"> Over</w:t>
            </w:r>
          </w:p>
        </w:tc>
        <w:tc>
          <w:tcPr>
            <w:tcW w:w="280" w:type="dxa"/>
            <w:vAlign w:val="bottom"/>
          </w:tcPr>
          <w:p>
            <w:pPr>
              <w:spacing w:after="0"/>
              <w:rPr>
                <w:sz w:val="14"/>
                <w:szCs w:val="14"/>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UPB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20" w:type="dxa"/>
            <w:vAlign w:val="bottom"/>
            <w:gridSpan w:val="2"/>
          </w:tcPr>
          <w:p>
            <w:pPr>
              <w:jc w:val="center"/>
              <w:spacing w:after="0" w:line="162"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(A)</w:t>
            </w:r>
            <w:r>
              <w:rPr>
                <w:rFonts w:ascii="Arial" w:cs="Arial" w:eastAsia="Arial" w:hAnsi="Arial"/>
                <w:sz w:val="14"/>
                <w:szCs w:val="14"/>
                <w:b w:val="1"/>
                <w:bCs w:val="1"/>
                <w:color w:val="auto"/>
              </w:rPr>
              <w:t xml:space="preserve"> Over</w:t>
            </w:r>
          </w:p>
        </w:tc>
        <w:tc>
          <w:tcPr>
            <w:tcW w:w="0" w:type="dxa"/>
            <w:vAlign w:val="bottom"/>
          </w:tcPr>
          <w:p>
            <w:pPr>
              <w:spacing w:after="0"/>
              <w:rPr>
                <w:sz w:val="1"/>
                <w:szCs w:val="1"/>
                <w:color w:val="auto"/>
              </w:rPr>
            </w:pPr>
          </w:p>
        </w:tc>
      </w:tr>
      <w:tr>
        <w:trPr>
          <w:trHeight w:val="216"/>
        </w:trPr>
        <w:tc>
          <w:tcPr>
            <w:tcW w:w="3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3"/>
              </w:rPr>
              <w:t>Value</w:t>
            </w:r>
            <w:r>
              <w:rPr>
                <w:rFonts w:ascii="Arial" w:cs="Arial" w:eastAsia="Arial" w:hAnsi="Arial"/>
                <w:sz w:val="21"/>
                <w:szCs w:val="21"/>
                <w:b w:val="1"/>
                <w:bCs w:val="1"/>
                <w:color w:val="auto"/>
                <w:w w:val="93"/>
                <w:vertAlign w:val="superscript"/>
              </w:rPr>
              <w:t>(A)</w:t>
            </w: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(Under) UPB</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0"/>
              </w:rPr>
              <w:t>Value</w:t>
            </w:r>
            <w:r>
              <w:rPr>
                <w:rFonts w:ascii="Arial" w:cs="Arial" w:eastAsia="Arial" w:hAnsi="Arial"/>
                <w:sz w:val="21"/>
                <w:szCs w:val="21"/>
                <w:b w:val="1"/>
                <w:bCs w:val="1"/>
                <w:color w:val="auto"/>
                <w:w w:val="90"/>
                <w:vertAlign w:val="superscript"/>
              </w:rPr>
              <w:t>(A)</w:t>
            </w:r>
          </w:p>
        </w:tc>
        <w:tc>
          <w:tcPr>
            <w:tcW w:w="120" w:type="dxa"/>
            <w:vAlign w:val="bottom"/>
          </w:tcPr>
          <w:p>
            <w:pPr>
              <w:spacing w:after="0"/>
              <w:rPr>
                <w:sz w:val="18"/>
                <w:szCs w:val="18"/>
                <w:color w:val="auto"/>
              </w:rPr>
            </w:pPr>
          </w:p>
        </w:tc>
        <w:tc>
          <w:tcPr>
            <w:tcW w:w="1100" w:type="dxa"/>
            <w:vAlign w:val="bottom"/>
          </w:tcPr>
          <w:p>
            <w:pPr>
              <w:jc w:val="center"/>
              <w:ind w:right="11"/>
              <w:spacing w:after="0"/>
              <w:rPr>
                <w:sz w:val="20"/>
                <w:szCs w:val="20"/>
                <w:color w:val="auto"/>
              </w:rPr>
            </w:pPr>
            <w:r>
              <w:rPr>
                <w:rFonts w:ascii="Arial" w:cs="Arial" w:eastAsia="Arial" w:hAnsi="Arial"/>
                <w:sz w:val="16"/>
                <w:szCs w:val="16"/>
                <w:b w:val="1"/>
                <w:bCs w:val="1"/>
                <w:color w:val="auto"/>
              </w:rPr>
              <w:t>(Under) UPB</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sale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373,876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383,551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9,675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243,284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249,171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to 59 days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60 to 89 days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days or more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Forbearance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loans held for sale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389,107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253,860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 held for investment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64,685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59,164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to 59 days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60 to 89 days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days or more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Forbearance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67,985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records loans at fair value. See Note 11 for additional information regarding the valuation of these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F-31</w:t>
      </w:r>
    </w:p>
    <w:p>
      <w:pPr>
        <w:sectPr>
          <w:pgSz w:w="11900" w:h="16838" w:orient="portrait"/>
          <w:cols w:equalWidth="0" w:num="1">
            <w:col w:w="11240"/>
          </w:cols>
          <w:pgMar w:left="320" w:top="229" w:right="3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rollforward of the Company’s loans for the years ended December 31,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Loans held for sale</w:t>
            </w:r>
          </w:p>
        </w:tc>
        <w:tc>
          <w:tcPr>
            <w:tcW w:w="200" w:type="dxa"/>
            <w:vAlign w:val="bottom"/>
          </w:tcPr>
          <w:p>
            <w:pPr>
              <w:spacing w:after="0"/>
              <w:rPr>
                <w:sz w:val="14"/>
                <w:szCs w:val="14"/>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b w:val="1"/>
                <w:bCs w:val="1"/>
                <w:color w:val="auto"/>
              </w:rPr>
              <w:t>Loans held for</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117,364</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Transfers from Held for Sale to Held for Investment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22,279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from Held for Investment to Held for Sale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(53,241)</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1,541,757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Sales, net of repurchases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(3,250,098)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(20,617)</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not yet repurchased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from Held for Investment to Held for Sale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1,972,209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Sales, net of repurchases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(4,659,777)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(A)</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not yet repurchased</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Change in fair value of loans are reflected in Gain on Sale of Loans, net on the Combined Consolidated Statements of Operations.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F-32</w:t>
      </w:r>
    </w:p>
    <w:p>
      <w:pPr>
        <w:sectPr>
          <w:pgSz w:w="11900" w:h="16838" w:orient="portrait"/>
          <w:cols w:equalWidth="0" w:num="1">
            <w:col w:w="11240"/>
          </w:cols>
          <w:pgMar w:left="320" w:top="229"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summarized components of debt for the years ended December 31,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December 31, 2024</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December 31, 2023</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2"/>
              </w:rPr>
              <w:t>Carrying Value</w:t>
            </w:r>
            <w:r>
              <w:rPr>
                <w:rFonts w:ascii="Arial" w:cs="Arial" w:eastAsia="Arial" w:hAnsi="Arial"/>
                <w:sz w:val="14"/>
                <w:szCs w:val="14"/>
                <w:b w:val="1"/>
                <w:bCs w:val="1"/>
                <w:color w:val="auto"/>
                <w:w w:val="92"/>
                <w:vertAlign w:val="superscript"/>
              </w:rPr>
              <w:t>(A)</w:t>
            </w:r>
          </w:p>
        </w:tc>
        <w:tc>
          <w:tcPr>
            <w:tcW w:w="100" w:type="dxa"/>
            <w:vAlign w:val="bottom"/>
          </w:tcPr>
          <w:p>
            <w:pPr>
              <w:spacing w:after="0"/>
              <w:rPr>
                <w:sz w:val="9"/>
                <w:szCs w:val="9"/>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Facility Inception Date</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Final Stated Maturity</w:t>
            </w:r>
            <w:r>
              <w:rPr>
                <w:rFonts w:ascii="Arial" w:cs="Arial" w:eastAsia="Arial" w:hAnsi="Arial"/>
                <w:sz w:val="14"/>
                <w:szCs w:val="14"/>
                <w:b w:val="1"/>
                <w:bCs w:val="1"/>
                <w:color w:val="auto"/>
                <w:w w:val="95"/>
                <w:vertAlign w:val="superscript"/>
              </w:rPr>
              <w:t>(B)</w:t>
            </w:r>
          </w:p>
        </w:tc>
        <w:tc>
          <w:tcPr>
            <w:tcW w:w="1300" w:type="dxa"/>
            <w:vAlign w:val="bottom"/>
            <w:gridSpan w:val="2"/>
          </w:tcPr>
          <w:p>
            <w:pPr>
              <w:jc w:val="center"/>
              <w:ind w:right="80"/>
              <w:spacing w:after="0" w:line="109" w:lineRule="exact"/>
              <w:rPr>
                <w:sz w:val="20"/>
                <w:szCs w:val="20"/>
                <w:color w:val="auto"/>
              </w:rPr>
            </w:pPr>
            <w:r>
              <w:rPr>
                <w:rFonts w:ascii="Arial" w:cs="Arial" w:eastAsia="Arial" w:hAnsi="Arial"/>
                <w:sz w:val="11"/>
                <w:szCs w:val="11"/>
                <w:b w:val="1"/>
                <w:bCs w:val="1"/>
                <w:color w:val="auto"/>
                <w:w w:val="97"/>
              </w:rPr>
              <w:t>Weighted Average</w:t>
            </w:r>
          </w:p>
        </w:tc>
        <w:tc>
          <w:tcPr>
            <w:tcW w:w="1160" w:type="dxa"/>
            <w:vAlign w:val="bottom"/>
            <w:gridSpan w:val="3"/>
          </w:tcPr>
          <w:p>
            <w:pPr>
              <w:jc w:val="center"/>
              <w:ind w:right="120"/>
              <w:spacing w:after="0" w:line="109" w:lineRule="exact"/>
              <w:rPr>
                <w:sz w:val="20"/>
                <w:szCs w:val="20"/>
                <w:color w:val="auto"/>
              </w:rPr>
            </w:pPr>
            <w:r>
              <w:rPr>
                <w:rFonts w:ascii="Arial" w:cs="Arial" w:eastAsia="Arial" w:hAnsi="Arial"/>
                <w:sz w:val="11"/>
                <w:szCs w:val="11"/>
                <w:b w:val="1"/>
                <w:bCs w:val="1"/>
                <w:color w:val="auto"/>
                <w:w w:val="97"/>
              </w:rPr>
              <w:t>Collateral Carrying</w:t>
            </w:r>
          </w:p>
        </w:tc>
        <w:tc>
          <w:tcPr>
            <w:tcW w:w="120" w:type="dxa"/>
            <w:vAlign w:val="bottom"/>
          </w:tcPr>
          <w:p>
            <w:pPr>
              <w:spacing w:after="0"/>
              <w:rPr>
                <w:sz w:val="9"/>
                <w:szCs w:val="9"/>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1"/>
                <w:szCs w:val="11"/>
                <w:b w:val="1"/>
                <w:bCs w:val="1"/>
                <w:color w:val="auto"/>
                <w:w w:val="97"/>
              </w:rPr>
              <w:t>Carrying Value</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Funding Cost</w:t>
            </w:r>
          </w:p>
        </w:tc>
        <w:tc>
          <w:tcPr>
            <w:tcW w:w="24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1</w:t>
            </w:r>
            <w:r>
              <w:rPr>
                <w:rFonts w:ascii="Arial" w:cs="Arial" w:eastAsia="Arial" w:hAnsi="Arial"/>
                <w:sz w:val="18"/>
                <w:szCs w:val="18"/>
                <w:color w:val="auto"/>
                <w:vertAlign w:val="superscript"/>
              </w:rPr>
              <w:t>(C)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28,286</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August 2020</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November 2025</w:t>
            </w:r>
          </w:p>
        </w:tc>
        <w:tc>
          <w:tcPr>
            <w:tcW w:w="120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7"/>
                <w:szCs w:val="17"/>
                <w:color w:val="auto"/>
              </w:rPr>
            </w:pPr>
          </w:p>
        </w:tc>
        <w:tc>
          <w:tcPr>
            <w:tcW w:w="24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33,214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12,400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2</w:t>
            </w:r>
            <w:r>
              <w:rPr>
                <w:rFonts w:ascii="Arial" w:cs="Arial" w:eastAsia="Arial" w:hAnsi="Arial"/>
                <w:sz w:val="18"/>
                <w:szCs w:val="18"/>
                <w:color w:val="auto"/>
                <w:vertAlign w:val="superscript"/>
              </w:rPr>
              <w:t>(D)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61,007</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November 2022</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May 2025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147,629</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3</w:t>
            </w:r>
            <w:r>
              <w:rPr>
                <w:rFonts w:ascii="Arial" w:cs="Arial" w:eastAsia="Arial" w:hAnsi="Arial"/>
                <w:sz w:val="18"/>
                <w:szCs w:val="18"/>
                <w:color w:val="auto"/>
                <w:vertAlign w:val="superscript"/>
              </w:rPr>
              <w:t>(E)</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26,227</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October 2023</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October 2025</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4</w:t>
            </w:r>
            <w:r>
              <w:rPr>
                <w:rFonts w:ascii="Arial" w:cs="Arial" w:eastAsia="Arial" w:hAnsi="Arial"/>
                <w:sz w:val="18"/>
                <w:szCs w:val="18"/>
                <w:color w:val="auto"/>
                <w:vertAlign w:val="superscript"/>
              </w:rPr>
              <w:t>(F)</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68,426</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February 2023</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January 2026</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5,944</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5</w:t>
            </w:r>
            <w:r>
              <w:rPr>
                <w:rFonts w:ascii="Arial" w:cs="Arial" w:eastAsia="Arial" w:hAnsi="Arial"/>
                <w:sz w:val="18"/>
                <w:szCs w:val="18"/>
                <w:color w:val="auto"/>
                <w:vertAlign w:val="superscript"/>
              </w:rPr>
              <w:t>(G)</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21,697</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October 2023</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REIT Warehouse</w:t>
            </w:r>
            <w:r>
              <w:rPr>
                <w:rFonts w:ascii="Arial" w:cs="Arial" w:eastAsia="Arial" w:hAnsi="Arial"/>
                <w:sz w:val="18"/>
                <w:szCs w:val="18"/>
                <w:color w:val="auto"/>
                <w:vertAlign w:val="superscript"/>
              </w:rPr>
              <w:t>(H)</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99,182</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October 2024</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October 2025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6</w:t>
            </w:r>
            <w:r>
              <w:rPr>
                <w:rFonts w:ascii="Arial" w:cs="Arial" w:eastAsia="Arial" w:hAnsi="Arial"/>
                <w:sz w:val="18"/>
                <w:szCs w:val="18"/>
                <w:color w:val="auto"/>
                <w:vertAlign w:val="superscript"/>
              </w:rPr>
              <w:t>(I)</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May 2024</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May 2026</w:t>
            </w:r>
          </w:p>
        </w:tc>
        <w:tc>
          <w:tcPr>
            <w:tcW w:w="1300" w:type="dxa"/>
            <w:vAlign w:val="bottom"/>
            <w:gridSpan w:val="2"/>
          </w:tcPr>
          <w:p>
            <w:pPr>
              <w:ind w:left="900"/>
              <w:spacing w:after="0"/>
              <w:rPr>
                <w:sz w:val="20"/>
                <w:szCs w:val="20"/>
                <w:color w:val="auto"/>
              </w:rPr>
            </w:pPr>
            <w:r>
              <w:rPr>
                <w:rFonts w:ascii="Arial" w:cs="Arial" w:eastAsia="Arial" w:hAnsi="Arial"/>
                <w:sz w:val="14"/>
                <w:szCs w:val="14"/>
                <w:color w:val="auto"/>
              </w:rPr>
              <w:t>n.m.</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7</w:t>
            </w:r>
            <w:r>
              <w:rPr>
                <w:rFonts w:ascii="Arial" w:cs="Arial" w:eastAsia="Arial" w:hAnsi="Arial"/>
                <w:sz w:val="18"/>
                <w:szCs w:val="18"/>
                <w:color w:val="auto"/>
                <w:vertAlign w:val="superscript"/>
              </w:rPr>
              <w:t>(J)</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February 2023</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August 2025</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460"/>
              <w:spacing w:after="0" w:line="202" w:lineRule="exact"/>
              <w:rPr>
                <w:sz w:val="20"/>
                <w:szCs w:val="20"/>
                <w:color w:val="auto"/>
              </w:rPr>
            </w:pPr>
            <w:r>
              <w:rPr>
                <w:rFonts w:ascii="Arial" w:cs="Arial" w:eastAsia="Arial" w:hAnsi="Arial"/>
                <w:sz w:val="14"/>
                <w:szCs w:val="14"/>
                <w:color w:val="auto"/>
              </w:rPr>
              <w:t>Warehouse Facility 8</w:t>
            </w:r>
            <w:r>
              <w:rPr>
                <w:rFonts w:ascii="Arial" w:cs="Arial" w:eastAsia="Arial" w:hAnsi="Arial"/>
                <w:sz w:val="18"/>
                <w:szCs w:val="18"/>
                <w:color w:val="auto"/>
                <w:vertAlign w:val="superscript"/>
              </w:rPr>
              <w:t>(K)</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March 2022</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rPr>
              <w:t>December 2024</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54,270</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2" w:lineRule="exact"/>
              <w:rPr>
                <w:sz w:val="20"/>
                <w:szCs w:val="20"/>
                <w:color w:val="auto"/>
              </w:rPr>
            </w:pPr>
            <w:r>
              <w:rPr>
                <w:rFonts w:ascii="Arial" w:cs="Arial" w:eastAsia="Arial" w:hAnsi="Arial"/>
                <w:sz w:val="14"/>
                <w:szCs w:val="14"/>
                <w:color w:val="auto"/>
              </w:rPr>
              <w:t>Warehouse Facility 9</w:t>
            </w:r>
            <w:r>
              <w:rPr>
                <w:rFonts w:ascii="Arial" w:cs="Arial" w:eastAsia="Arial" w:hAnsi="Arial"/>
                <w:sz w:val="18"/>
                <w:szCs w:val="18"/>
                <w:color w:val="auto"/>
                <w:vertAlign w:val="superscript"/>
              </w:rPr>
              <w:t>(L)</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March 2024</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March 2025</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20" w:type="dxa"/>
            <w:vAlign w:val="bottom"/>
          </w:tcPr>
          <w:p>
            <w:pPr>
              <w:ind w:left="240"/>
              <w:spacing w:after="0"/>
              <w:rPr>
                <w:sz w:val="20"/>
                <w:szCs w:val="20"/>
                <w:color w:val="auto"/>
              </w:rPr>
            </w:pPr>
            <w:r>
              <w:rPr>
                <w:rFonts w:ascii="Arial" w:cs="Arial" w:eastAsia="Arial" w:hAnsi="Arial"/>
                <w:sz w:val="14"/>
                <w:szCs w:val="14"/>
                <w:color w:val="auto"/>
              </w:rPr>
              <w:t>Total funding debt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305,294</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264,143</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MSR Financing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460"/>
              <w:spacing w:after="0" w:line="203" w:lineRule="exact"/>
              <w:rPr>
                <w:sz w:val="20"/>
                <w:szCs w:val="20"/>
                <w:color w:val="auto"/>
              </w:rPr>
            </w:pPr>
            <w:r>
              <w:rPr>
                <w:rFonts w:ascii="Arial" w:cs="Arial" w:eastAsia="Arial" w:hAnsi="Arial"/>
                <w:sz w:val="14"/>
                <w:szCs w:val="14"/>
                <w:color w:val="auto"/>
              </w:rPr>
              <w:t>Lender 1</w:t>
            </w:r>
            <w:r>
              <w:rPr>
                <w:rFonts w:ascii="Arial" w:cs="Arial" w:eastAsia="Arial" w:hAnsi="Arial"/>
                <w:sz w:val="18"/>
                <w:szCs w:val="18"/>
                <w:color w:val="auto"/>
                <w:vertAlign w:val="superscript"/>
              </w:rPr>
              <w:t>(M)</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39,781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June 2024</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June 2026</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320" w:type="dxa"/>
            <w:vAlign w:val="bottom"/>
          </w:tcPr>
          <w:p>
            <w:pPr>
              <w:ind w:left="240"/>
              <w:spacing w:after="0"/>
              <w:rPr>
                <w:sz w:val="20"/>
                <w:szCs w:val="20"/>
                <w:color w:val="auto"/>
              </w:rPr>
            </w:pPr>
            <w:r>
              <w:rPr>
                <w:rFonts w:ascii="Arial" w:cs="Arial" w:eastAsia="Arial" w:hAnsi="Arial"/>
                <w:sz w:val="14"/>
                <w:szCs w:val="14"/>
                <w:color w:val="auto"/>
              </w:rPr>
              <w:t>Total MSR Financing</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39,781</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shd w:val="clear" w:color="auto" w:fill="CCEEFF"/>
          </w:tcPr>
          <w:p>
            <w:pPr>
              <w:ind w:left="460"/>
              <w:spacing w:after="0" w:line="203" w:lineRule="exact"/>
              <w:rPr>
                <w:sz w:val="20"/>
                <w:szCs w:val="20"/>
                <w:color w:val="auto"/>
              </w:rPr>
            </w:pPr>
            <w:r>
              <w:rPr>
                <w:rFonts w:ascii="Arial" w:cs="Arial" w:eastAsia="Arial" w:hAnsi="Arial"/>
                <w:sz w:val="14"/>
                <w:szCs w:val="14"/>
                <w:color w:val="auto"/>
              </w:rPr>
              <w:t>Financed retained interests</w:t>
            </w:r>
            <w:r>
              <w:rPr>
                <w:rFonts w:ascii="Arial" w:cs="Arial" w:eastAsia="Arial" w:hAnsi="Arial"/>
                <w:sz w:val="18"/>
                <w:szCs w:val="18"/>
                <w:color w:val="auto"/>
                <w:vertAlign w:val="superscript"/>
              </w:rPr>
              <w:t>(N)</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April 2023</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Various(O)</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128,982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Financed Retained Interests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128,101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 Weighted Average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473,176</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289,191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Net of deferred financing costs. At December 31, 2024 and 2023 deferred financing costs were $1.7 million and $0.6 million, respectively. During the years ended December 31, 2024 and 2023, the Company amortized $1.0 million and $0.3 million of deferred financing costs, respectively.</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Debt obligations with a stated maturity through the date of issuance of the combined financial statements were refinanced, extended or repaid.</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Warehouse Facility 1 bears variable interest at an annual benchmark rate of Secured Financing Overnight Rate (“SOFR”) plus a spread of 4.9% at December 31, 2024.</w:t>
      </w:r>
    </w:p>
    <w:p>
      <w:pPr>
        <w:ind w:left="340" w:hanging="332"/>
        <w:spacing w:after="0" w:line="252" w:lineRule="auto"/>
        <w:tabs>
          <w:tab w:leader="none" w:pos="3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Warehouse Facility 2 bears interest at an annual benchmark rate of SOFR plus a spread of 4.0% at December 31, 2024. The facility also carries a 50 bps exit fee on non-ABS loans repurchased.</w:t>
      </w:r>
    </w:p>
    <w:p>
      <w:pPr>
        <w:spacing w:after="0" w:line="1"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Under Warehouse Facility 3, the interest accrued under the loans is payable to the lender during the period the loans are held, and the Company will pay a variable exit fee, which is determined on a quarterly basis as follows: (i) the first $50 million of principal balance repurchased is subject to a 0.5% exit fee, and (ii) amounts in excess of $50 million are subject to an exit fee that are between 0.125% to 1.50% of the price at which the Company securitizes repurchased loans or otherwise agreed between the Company and the lender for repurchased loans not securitized.</w:t>
      </w:r>
    </w:p>
    <w:p>
      <w:pPr>
        <w:ind w:left="340" w:hanging="332"/>
        <w:spacing w:after="0" w:line="255" w:lineRule="auto"/>
        <w:tabs>
          <w:tab w:leader="none" w:pos="3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Warehouse Facility 4 bears variable interest at an annual benchmark rate of SOFR plus a spread between 3.5% and 7.5%. A portion of the facility is also subject to a 0.5% non-use fee.</w:t>
      </w:r>
    </w:p>
    <w:p>
      <w:pPr>
        <w:ind w:left="320" w:hanging="312"/>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Under Warehouse Facility 5, the interest accrued under the loans is payable to the lender during the period the loans are held.</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Under the REIT Warehouse, the interest accrued under the loans is payable to the lender during the period the loans are held.</w:t>
      </w:r>
    </w:p>
    <w:p>
      <w:pPr>
        <w:spacing w:after="0" w:line="8" w:lineRule="exact"/>
        <w:rPr>
          <w:rFonts w:ascii="Arial" w:cs="Arial" w:eastAsia="Arial" w:hAnsi="Arial"/>
          <w:sz w:val="16"/>
          <w:szCs w:val="16"/>
          <w:color w:val="auto"/>
        </w:rPr>
      </w:pPr>
    </w:p>
    <w:p>
      <w:pPr>
        <w:ind w:left="340" w:right="20" w:hanging="332"/>
        <w:spacing w:after="0" w:line="265" w:lineRule="auto"/>
        <w:tabs>
          <w:tab w:leader="none" w:pos="3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Warehouse Facility 6 bears interest at an annual benchmark rate of SOFR, plus a spread of 3.5% at December 31, 2024. The facility also carries a 0.5% exit fee on all loans repurchased from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229"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Warehouse Facility 7 bears interest at an annual benchmark rate of SOFR, plus a spread of 3.5% at December 31, 2024.</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Warehouse Facility 8 was closed during the year ended December 31, 2024 and the date of closure is noted as the final stated maturity date.</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Under Warehouse Facility 9 the interest accrued under the loans is payable to the lender during the period the loans are held.</w:t>
      </w:r>
    </w:p>
    <w:p>
      <w:pPr>
        <w:spacing w:after="0" w:line="8" w:lineRule="exact"/>
        <w:rPr>
          <w:rFonts w:ascii="Arial" w:cs="Arial" w:eastAsia="Arial" w:hAnsi="Arial"/>
          <w:sz w:val="16"/>
          <w:szCs w:val="16"/>
          <w:color w:val="auto"/>
        </w:rPr>
      </w:pPr>
    </w:p>
    <w:p>
      <w:pPr>
        <w:jc w:val="both"/>
        <w:ind w:left="340" w:hanging="332"/>
        <w:spacing w:after="0" w:line="254"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June 7, 2024, the Company entered into a Loan and Security Agreement, as amended from time to time, (the “MSR Financing Agreement”) to provide the Company a senior secured financing facility in the form of a promissory note (the “MSR Facility”). The obligations of the Company under the MSR Financing Agreement are secured by the eligible servicing assets, which include servicing fees related to loan servicing rights owned by, or delegated to, the Company. Borrowings under the MSR Financing Agreement bear interest at 16.5% per annum.</w:t>
      </w:r>
    </w:p>
    <w:p>
      <w:pPr>
        <w:ind w:left="340" w:hanging="332"/>
        <w:spacing w:after="0" w:line="255" w:lineRule="auto"/>
        <w:tabs>
          <w:tab w:leader="none" w:pos="3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Under the Retained Interest Facility, the interest accrued on the securities and beneficial interests is payable to the lender during the period the loans are held plus a spread of 50 - 55bps depending on the tranche pledged.</w:t>
      </w:r>
    </w:p>
    <w:p>
      <w:pPr>
        <w:ind w:left="340" w:hanging="332"/>
        <w:spacing w:after="0" w:line="270" w:lineRule="auto"/>
        <w:tabs>
          <w:tab w:leader="none" w:pos="33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maturities of financed retained interests align with the terms of the underlying securities. The financed retained interest have maturity dates of August 2027 through March 2036.</w:t>
      </w:r>
    </w:p>
    <w:p>
      <w:pPr>
        <w:spacing w:after="0" w:line="5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Maturities</w:t>
      </w:r>
    </w:p>
    <w:p>
      <w:pPr>
        <w:spacing w:after="0" w:line="16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Contractual maturities of recourse and nonrecourse debt obligations at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jc w:val="right"/>
              <w:ind w:right="4316"/>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Recourse</w:t>
            </w: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Nonrecourse</w:t>
            </w:r>
          </w:p>
        </w:tc>
        <w:tc>
          <w:tcPr>
            <w:tcW w:w="38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24"/>
        </w:trPr>
        <w:tc>
          <w:tcPr>
            <w:tcW w:w="6320" w:type="dxa"/>
            <w:vAlign w:val="bottom"/>
            <w:tcBorders>
              <w:top w:val="single" w:sz="8" w:color="CCEEFF"/>
            </w:tcBorders>
            <w:shd w:val="clear" w:color="auto" w:fill="CCEEFF"/>
          </w:tcPr>
          <w:p>
            <w:pPr>
              <w:jc w:val="right"/>
              <w:ind w:right="5596"/>
              <w:spacing w:after="0"/>
              <w:rPr>
                <w:sz w:val="20"/>
                <w:szCs w:val="20"/>
                <w:color w:val="auto"/>
              </w:rPr>
            </w:pPr>
            <w:r>
              <w:rPr>
                <w:rFonts w:ascii="Arial" w:cs="Arial" w:eastAsia="Arial" w:hAnsi="Arial"/>
                <w:sz w:val="18"/>
                <w:szCs w:val="18"/>
                <w:color w:val="auto"/>
              </w:rPr>
              <w:t>2025</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215,585</w:t>
            </w:r>
          </w:p>
        </w:tc>
      </w:tr>
      <w:tr>
        <w:trPr>
          <w:trHeight w:val="230"/>
        </w:trPr>
        <w:tc>
          <w:tcPr>
            <w:tcW w:w="6320" w:type="dxa"/>
            <w:vAlign w:val="bottom"/>
          </w:tcPr>
          <w:p>
            <w:pPr>
              <w:jc w:val="right"/>
              <w:ind w:right="5596"/>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108,568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108,568</w:t>
            </w:r>
          </w:p>
        </w:tc>
      </w:tr>
      <w:tr>
        <w:trPr>
          <w:trHeight w:val="248"/>
        </w:trPr>
        <w:tc>
          <w:tcPr>
            <w:tcW w:w="6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324,153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 Capacity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borrowing capacity of committed debt facilities at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196"/>
        </w:trPr>
        <w:tc>
          <w:tcPr>
            <w:tcW w:w="6320" w:type="dxa"/>
            <w:vAlign w:val="bottom"/>
          </w:tcPr>
          <w:p>
            <w:pPr>
              <w:spacing w:after="0"/>
              <w:rPr>
                <w:sz w:val="17"/>
                <w:szCs w:val="17"/>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Borrowing Capacity</w:t>
            </w:r>
          </w:p>
        </w:tc>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Balance Outstanding</w:t>
            </w:r>
          </w:p>
        </w:tc>
        <w:tc>
          <w:tcPr>
            <w:tcW w:w="120" w:type="dxa"/>
            <w:vAlign w:val="bottom"/>
          </w:tcPr>
          <w:p>
            <w:pPr>
              <w:spacing w:after="0"/>
              <w:rPr>
                <w:sz w:val="17"/>
                <w:szCs w:val="17"/>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b w:val="1"/>
                <w:bCs w:val="1"/>
                <w:color w:val="auto"/>
              </w:rPr>
              <w:t>Available Financing</w:t>
            </w: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Funding Debt</w:t>
            </w: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Warehouse Facility 1</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28,286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221,714</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288,993</w:t>
            </w: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Warehouse Facility 3</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73,773</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266,732</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REIT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50,796</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6</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Warehouse Facility 7</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Warehouse Facility 9</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w:t>
            </w:r>
          </w:p>
        </w:tc>
      </w:tr>
      <w:tr>
        <w:trPr>
          <w:trHeight w:val="270"/>
        </w:trPr>
        <w:tc>
          <w:tcPr>
            <w:tcW w:w="6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MSR Financing</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Lender 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Financed Retained Interests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Interest Facility</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120,995</w:t>
            </w:r>
          </w:p>
        </w:tc>
      </w:tr>
      <w:tr>
        <w:trPr>
          <w:trHeight w:val="223"/>
        </w:trPr>
        <w:tc>
          <w:tcPr>
            <w:tcW w:w="6320" w:type="dxa"/>
            <w:vAlign w:val="bottom"/>
          </w:tcPr>
          <w:p>
            <w:pPr>
              <w:spacing w:after="0"/>
              <w:rPr>
                <w:sz w:val="19"/>
                <w:szCs w:val="19"/>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1,736,850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1,283,692</w:t>
            </w:r>
          </w:p>
        </w:tc>
      </w:tr>
      <w:tr>
        <w:trPr>
          <w:trHeight w:val="20"/>
        </w:trPr>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Certain of the debt obligations are subject to customary loan covenants, such as minimum tangible net worth, minimum liquidity, maximum leverage ratios, required range of net income or loss during specified periods, and periodic financial reporting requirements, and event of default provisions,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9"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event of default provisions triggered by certain specified declines in the Company’s equity or a failure to maintain a specified tangible net worth, liquidity or indebtedness to tangible net worth ratio. The Company was in compliance with all of its debt covenants at December 31, 2024.</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Facilities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summarizes the debt facilities the Company entered into or amended during the years ended the December 31, 2024 and 2023.</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1</w:t>
      </w:r>
    </w:p>
    <w:p>
      <w:pPr>
        <w:spacing w:after="0" w:line="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In May 2023, the Company amended its Warehouse Facility 1 to increase the maximum borrowings available to be issued through the facility from $200.0 million to $250.0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2</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September 2023, the Company amended Warehouse Facility 2 to increase the maximum combined borrowings, available to be issued through the facility of $100.0 million and existing borrowings that were previously under a separate facility to $400.0 million. In December 2024, the Company amended Warehouse Facility 2 to reduce the maximum combined borrowing available to be issued through the facility to $350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3</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2024, the Company amended Warehouse Facility 3 to adjust the maximum borrowings available to be issued through the facility of $100.0 million to $ 150.0 million for the period February 1, 2024 through April 30, 2024 and $ 100.0 million thereafter. The warehouse facility was further amended in February 2024 to adjust the maximum borrowings available to be issued through the facility of $200.0 million for the period February 1, 2024 through April 30, 2024 and $100.0 million thereafter.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Warehouse Facility 4</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2023, the Company entered into a warehouse facility, Warehouse Facility 4, that has maximum borrowings available to be issued through the facility of $200.0 million. In March 2024, the Company amended Warehouse Facility 4 to establish a second class of buyer under the facility, with Class A Buyers providing a maximum borrowings available to be issued of $300.0 million and Class B Buyers providing a maximum borrowings available to be issued of $35.3 million, for a maximum combined borrowings of 335.3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REIT Warehouse</w:t>
      </w:r>
    </w:p>
    <w:p>
      <w:pPr>
        <w:spacing w:after="0" w:line="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In October 2024, the Company entered into a secured warehouse credit facility, the REIT Warehouse, with a maximum note balance available to be issued through the facility of $150.0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MSR Facility</w:t>
      </w:r>
    </w:p>
    <w:p>
      <w:pPr>
        <w:spacing w:after="0" w:line="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June 2024, the Company entered into the MSR Financing Agreement with Lender 1 to provide Figure a senior secured financing facility, MSR Facility. The MSR Facility has a limit of $30.0 million in the form of a promissory note. In September 2024, the Company entered into an amendment to its existing agreement with Lender 1, which increased the borrowing capacity to $40.0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9" w:right="3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EQUITY</w:t>
      </w:r>
    </w:p>
    <w:p>
      <w:pPr>
        <w:spacing w:after="0" w:line="1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These financial statements combine the capital structures of operations of FTI and Markets, both of which issued common and convertible preferred shares as well as equity awards in the form of options on and after the Reorganization (Note 2). In addition to common and preferred shares, FTI issued equity awards in the form of restricted stock awards (“RSAs”) and Markets issued warrants. Unless otherwise stated, the terms of each equity instrument applies to each respective entity.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equity instruments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38"/>
        </w:trPr>
        <w:tc>
          <w:tcPr>
            <w:tcW w:w="3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Issued and Outstanding</w:t>
            </w:r>
            <w:r>
              <w:rPr>
                <w:rFonts w:ascii="Arial" w:cs="Arial" w:eastAsia="Arial" w:hAnsi="Arial"/>
                <w:sz w:val="18"/>
                <w:szCs w:val="18"/>
                <w:b w:val="1"/>
                <w:bCs w:val="1"/>
                <w:color w:val="auto"/>
                <w:vertAlign w:val="superscript"/>
              </w:rPr>
              <w:t>(A)</w:t>
            </w:r>
          </w:p>
        </w:tc>
        <w:tc>
          <w:tcPr>
            <w:tcW w:w="1440" w:type="dxa"/>
            <w:vAlign w:val="bottom"/>
            <w:tcBorders>
              <w:bottom w:val="single" w:sz="8" w:color="auto"/>
            </w:tcBorders>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Authorized Shares</w:t>
            </w: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(B)</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Warrants</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Options</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RSA</w:t>
            </w: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3420" w:type="dxa"/>
            <w:vAlign w:val="bottom"/>
          </w:tcPr>
          <w:p>
            <w:pPr>
              <w:ind w:left="460"/>
              <w:spacing w:after="0"/>
              <w:rPr>
                <w:sz w:val="20"/>
                <w:szCs w:val="20"/>
                <w:color w:val="auto"/>
              </w:rPr>
            </w:pPr>
            <w:r>
              <w:rPr>
                <w:rFonts w:ascii="Arial" w:cs="Arial" w:eastAsia="Arial" w:hAnsi="Arial"/>
                <w:sz w:val="18"/>
                <w:szCs w:val="18"/>
                <w:color w:val="auto"/>
              </w:rPr>
              <w:t>FTI</w:t>
            </w:r>
          </w:p>
        </w:tc>
        <w:tc>
          <w:tcPr>
            <w:tcW w:w="1560" w:type="dxa"/>
            <w:vAlign w:val="bottom"/>
          </w:tcPr>
          <w:p>
            <w:pPr>
              <w:jc w:val="right"/>
              <w:spacing w:after="0"/>
              <w:rPr>
                <w:sz w:val="20"/>
                <w:szCs w:val="20"/>
                <w:color w:val="auto"/>
              </w:rPr>
            </w:pPr>
            <w:r>
              <w:rPr>
                <w:rFonts w:ascii="Arial" w:cs="Arial" w:eastAsia="Arial" w:hAnsi="Arial"/>
                <w:sz w:val="18"/>
                <w:szCs w:val="18"/>
                <w:color w:val="auto"/>
              </w:rPr>
              <w:t>202,800,000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48,918,728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44,973,456</w:t>
            </w:r>
          </w:p>
        </w:tc>
      </w:tr>
      <w:tr>
        <w:trPr>
          <w:trHeight w:val="230"/>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188,540,000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101,071,089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color w:val="auto"/>
              </w:rPr>
              <w:t>Total Common Stock</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391,340,000</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149,989,817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41,460,021</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44,973,456</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34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3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FTI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104,575,110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104,575,110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tcPr>
          <w:p>
            <w:pPr>
              <w:ind w:left="460"/>
              <w:spacing w:after="0"/>
              <w:rPr>
                <w:sz w:val="20"/>
                <w:szCs w:val="20"/>
                <w:color w:val="auto"/>
              </w:rPr>
            </w:pPr>
            <w:r>
              <w:rPr>
                <w:rFonts w:ascii="Arial" w:cs="Arial" w:eastAsia="Arial" w:hAnsi="Arial"/>
                <w:sz w:val="18"/>
                <w:szCs w:val="18"/>
                <w:color w:val="auto"/>
              </w:rPr>
              <w:t>Markets</w:t>
            </w:r>
          </w:p>
        </w:tc>
        <w:tc>
          <w:tcPr>
            <w:tcW w:w="1560" w:type="dxa"/>
            <w:vAlign w:val="bottom"/>
          </w:tcPr>
          <w:p>
            <w:pPr>
              <w:jc w:val="right"/>
              <w:spacing w:after="0"/>
              <w:rPr>
                <w:sz w:val="20"/>
                <w:szCs w:val="20"/>
                <w:color w:val="auto"/>
              </w:rPr>
            </w:pPr>
            <w:r>
              <w:rPr>
                <w:rFonts w:ascii="Arial" w:cs="Arial" w:eastAsia="Arial" w:hAnsi="Arial"/>
                <w:sz w:val="18"/>
                <w:szCs w:val="18"/>
                <w:color w:val="auto"/>
              </w:rPr>
              <w:t>56,573,362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36,326,136</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6,850,717</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4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Convertible Preferred Stock</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161,148,472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140,901,246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34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9"/>
              </w:rPr>
              <w:t>December 31, 2023</w:t>
            </w:r>
            <w:r>
              <w:rPr>
                <w:rFonts w:ascii="Arial" w:cs="Arial" w:eastAsia="Arial" w:hAnsi="Arial"/>
                <w:sz w:val="18"/>
                <w:szCs w:val="18"/>
                <w:b w:val="1"/>
                <w:bCs w:val="1"/>
                <w:color w:val="auto"/>
                <w:w w:val="99"/>
                <w:vertAlign w:val="superscript"/>
              </w:rPr>
              <w:t>(C)</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36"/>
        </w:trPr>
        <w:tc>
          <w:tcPr>
            <w:tcW w:w="3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Issued and Outstanding</w:t>
            </w:r>
            <w:r>
              <w:rPr>
                <w:rFonts w:ascii="Arial" w:cs="Arial" w:eastAsia="Arial" w:hAnsi="Arial"/>
                <w:sz w:val="18"/>
                <w:szCs w:val="18"/>
                <w:b w:val="1"/>
                <w:bCs w:val="1"/>
                <w:color w:val="auto"/>
                <w:vertAlign w:val="superscript"/>
              </w:rPr>
              <w:t>(A)</w:t>
            </w:r>
          </w:p>
        </w:tc>
        <w:tc>
          <w:tcPr>
            <w:tcW w:w="1440" w:type="dxa"/>
            <w:vAlign w:val="bottom"/>
            <w:tcBorders>
              <w:bottom w:val="single" w:sz="8" w:color="auto"/>
            </w:tcBorders>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Authorized Shares</w:t>
            </w: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(B)</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Warrants</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Options</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RSA</w:t>
            </w: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3420" w:type="dxa"/>
            <w:vAlign w:val="bottom"/>
          </w:tcPr>
          <w:p>
            <w:pPr>
              <w:ind w:left="240"/>
              <w:spacing w:after="0"/>
              <w:rPr>
                <w:sz w:val="20"/>
                <w:szCs w:val="20"/>
                <w:color w:val="auto"/>
              </w:rPr>
            </w:pPr>
            <w:r>
              <w:rPr>
                <w:rFonts w:ascii="Arial" w:cs="Arial" w:eastAsia="Arial" w:hAnsi="Arial"/>
                <w:sz w:val="18"/>
                <w:szCs w:val="18"/>
                <w:color w:val="auto"/>
              </w:rPr>
              <w:t>FTI</w:t>
            </w:r>
          </w:p>
        </w:tc>
        <w:tc>
          <w:tcPr>
            <w:tcW w:w="1560" w:type="dxa"/>
            <w:vAlign w:val="bottom"/>
          </w:tcPr>
          <w:p>
            <w:pPr>
              <w:jc w:val="right"/>
              <w:spacing w:after="0"/>
              <w:rPr>
                <w:sz w:val="20"/>
                <w:szCs w:val="20"/>
                <w:color w:val="auto"/>
              </w:rPr>
            </w:pPr>
            <w:r>
              <w:rPr>
                <w:rFonts w:ascii="Arial" w:cs="Arial" w:eastAsia="Arial" w:hAnsi="Arial"/>
                <w:sz w:val="18"/>
                <w:szCs w:val="18"/>
                <w:color w:val="auto"/>
              </w:rPr>
              <w:t>197,100,000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51,618,208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spacing w:after="0"/>
              <w:rPr>
                <w:sz w:val="20"/>
                <w:szCs w:val="20"/>
                <w:color w:val="auto"/>
              </w:rPr>
            </w:pPr>
            <w:r>
              <w:rPr>
                <w:rFonts w:ascii="Arial" w:cs="Arial" w:eastAsia="Arial" w:hAnsi="Arial"/>
                <w:sz w:val="18"/>
                <w:szCs w:val="18"/>
                <w:color w:val="auto"/>
              </w:rPr>
              <w:t>19,807,404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39,098,606</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Preferred Stock</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9"/>
        </w:trPr>
        <w:tc>
          <w:tcPr>
            <w:tcW w:w="3420" w:type="dxa"/>
            <w:vAlign w:val="bottom"/>
          </w:tcPr>
          <w:p>
            <w:pPr>
              <w:ind w:left="240"/>
              <w:spacing w:after="0"/>
              <w:rPr>
                <w:sz w:val="20"/>
                <w:szCs w:val="20"/>
                <w:color w:val="auto"/>
              </w:rPr>
            </w:pPr>
            <w:r>
              <w:rPr>
                <w:rFonts w:ascii="Arial" w:cs="Arial" w:eastAsia="Arial" w:hAnsi="Arial"/>
                <w:sz w:val="18"/>
                <w:szCs w:val="18"/>
                <w:color w:val="auto"/>
              </w:rPr>
              <w:t>FTI</w:t>
            </w:r>
          </w:p>
        </w:tc>
        <w:tc>
          <w:tcPr>
            <w:tcW w:w="1560" w:type="dxa"/>
            <w:vAlign w:val="bottom"/>
          </w:tcPr>
          <w:p>
            <w:pPr>
              <w:jc w:val="right"/>
              <w:spacing w:after="0"/>
              <w:rPr>
                <w:sz w:val="20"/>
                <w:szCs w:val="20"/>
                <w:color w:val="auto"/>
              </w:rPr>
            </w:pPr>
            <w:r>
              <w:rPr>
                <w:rFonts w:ascii="Arial" w:cs="Arial" w:eastAsia="Arial" w:hAnsi="Arial"/>
                <w:sz w:val="18"/>
                <w:szCs w:val="18"/>
                <w:color w:val="auto"/>
              </w:rPr>
              <w:t>106,615,302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104,575,110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line="252"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Except for common and convertible preferred shares, amounts represent the gross common or convertible preferred shares issuable upon exercise or vesting.</w:t>
      </w:r>
    </w:p>
    <w:p>
      <w:pPr>
        <w:spacing w:after="0" w:line="1" w:lineRule="exact"/>
        <w:rPr>
          <w:rFonts w:ascii="Arial" w:cs="Arial" w:eastAsia="Arial" w:hAnsi="Arial"/>
          <w:sz w:val="16"/>
          <w:szCs w:val="16"/>
          <w:color w:val="auto"/>
        </w:rPr>
      </w:pPr>
    </w:p>
    <w:p>
      <w:pPr>
        <w:jc w:val="both"/>
        <w:ind w:left="340" w:hanging="332"/>
        <w:spacing w:after="0" w:line="254"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of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to the respective entity’s Board of Directors are elected by common and preferred shareholders, on an as-converted basis, as a single group. At December 31, 2024, no common or convertible preferred dividends have been declared by either FTI or Markets.</w:t>
      </w:r>
    </w:p>
    <w:p>
      <w:pPr>
        <w:ind w:left="320" w:hanging="312"/>
        <w:spacing w:after="0"/>
        <w:tabs>
          <w:tab w:leader="none" w:pos="3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Applicable to FT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9"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includes information regarding each series of FTI’s and Markets’ convertible preferred stock at December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80" w:type="dxa"/>
            <w:vAlign w:val="bottom"/>
          </w:tcPr>
          <w:p>
            <w:pPr>
              <w:spacing w:after="0"/>
              <w:rPr>
                <w:sz w:val="13"/>
                <w:szCs w:val="13"/>
                <w:color w:val="auto"/>
              </w:rPr>
            </w:pPr>
          </w:p>
        </w:tc>
        <w:tc>
          <w:tcPr>
            <w:tcW w:w="25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8"/>
              </w:rPr>
              <w:t>Number of Shares Outstanding</w:t>
            </w:r>
          </w:p>
        </w:tc>
        <w:tc>
          <w:tcPr>
            <w:tcW w:w="300" w:type="dxa"/>
            <w:vAlign w:val="bottom"/>
          </w:tcPr>
          <w:p>
            <w:pPr>
              <w:spacing w:after="0"/>
              <w:rPr>
                <w:sz w:val="13"/>
                <w:szCs w:val="13"/>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1"/>
                <w:szCs w:val="11"/>
                <w:b w:val="1"/>
                <w:bCs w:val="1"/>
                <w:color w:val="auto"/>
              </w:rPr>
              <w:t>Liquidation Preference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Per Share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80" w:type="dxa"/>
            <w:vAlign w:val="bottom"/>
          </w:tcPr>
          <w:p>
            <w:pPr>
              <w:spacing w:after="0"/>
              <w:rPr>
                <w:sz w:val="15"/>
                <w:szCs w:val="15"/>
                <w:color w:val="auto"/>
              </w:rPr>
            </w:pPr>
          </w:p>
        </w:tc>
        <w:tc>
          <w:tcPr>
            <w:tcW w:w="1620" w:type="dxa"/>
            <w:vAlign w:val="bottom"/>
            <w:tcBorders>
              <w:top w:val="single" w:sz="8" w:color="auto"/>
              <w:bottom w:val="single" w:sz="8" w:color="auto"/>
            </w:tcBorders>
            <w:gridSpan w:val="3"/>
          </w:tcPr>
          <w:p>
            <w:pPr>
              <w:jc w:val="center"/>
              <w:ind w:left="813"/>
              <w:spacing w:after="0"/>
              <w:rPr>
                <w:sz w:val="20"/>
                <w:szCs w:val="20"/>
                <w:color w:val="auto"/>
              </w:rPr>
            </w:pPr>
            <w:r>
              <w:rPr>
                <w:rFonts w:ascii="Arial" w:cs="Arial" w:eastAsia="Arial" w:hAnsi="Arial"/>
                <w:sz w:val="11"/>
                <w:szCs w:val="11"/>
                <w:b w:val="1"/>
                <w:bCs w:val="1"/>
                <w:color w:val="auto"/>
                <w:w w:val="97"/>
              </w:rPr>
              <w:t>December 31,</w:t>
            </w:r>
          </w:p>
        </w:tc>
        <w:tc>
          <w:tcPr>
            <w:tcW w:w="88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December 31,</w:t>
            </w:r>
          </w:p>
        </w:tc>
        <w:tc>
          <w:tcPr>
            <w:tcW w:w="8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1200" w:type="dxa"/>
            <w:vAlign w:val="bottom"/>
          </w:tcPr>
          <w:p>
            <w:pPr>
              <w:jc w:val="right"/>
              <w:ind w:right="41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13"/>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410"/>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70"/>
              <w:spacing w:after="0"/>
              <w:rPr>
                <w:sz w:val="20"/>
                <w:szCs w:val="20"/>
                <w:color w:val="auto"/>
              </w:rPr>
            </w:pPr>
            <w:r>
              <w:rPr>
                <w:rFonts w:ascii="Arial" w:cs="Arial" w:eastAsia="Arial" w:hAnsi="Arial"/>
                <w:sz w:val="11"/>
                <w:szCs w:val="11"/>
                <w:b w:val="1"/>
                <w:bCs w:val="1"/>
                <w:color w:val="auto"/>
                <w:w w:val="93"/>
              </w:rPr>
              <w:t>Liquidation Price</w:t>
            </w:r>
            <w:r>
              <w:rPr>
                <w:rFonts w:ascii="Arial" w:cs="Arial" w:eastAsia="Arial" w:hAnsi="Arial"/>
                <w:sz w:val="14"/>
                <w:szCs w:val="14"/>
                <w:b w:val="1"/>
                <w:bCs w:val="1"/>
                <w:color w:val="auto"/>
                <w:w w:val="93"/>
                <w:vertAlign w:val="superscript"/>
              </w:rPr>
              <w:t>(A)</w:t>
            </w:r>
          </w:p>
        </w:tc>
        <w:tc>
          <w:tcPr>
            <w:tcW w:w="2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Dividends</w:t>
            </w:r>
            <w:r>
              <w:rPr>
                <w:rFonts w:ascii="Arial" w:cs="Arial" w:eastAsia="Arial" w:hAnsi="Arial"/>
                <w:sz w:val="14"/>
                <w:szCs w:val="14"/>
                <w:b w:val="1"/>
                <w:bCs w:val="1"/>
                <w:color w:val="auto"/>
                <w:w w:val="94"/>
                <w:vertAlign w:val="superscript"/>
              </w:rPr>
              <w:t>(B)</w:t>
            </w:r>
          </w:p>
        </w:tc>
        <w:tc>
          <w:tcPr>
            <w:tcW w:w="10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1"/>
                <w:szCs w:val="11"/>
                <w:b w:val="1"/>
                <w:bCs w:val="1"/>
                <w:color w:val="auto"/>
                <w:w w:val="95"/>
              </w:rPr>
              <w:t>Conversion Rate</w:t>
            </w:r>
            <w:r>
              <w:rPr>
                <w:rFonts w:ascii="Arial" w:cs="Arial" w:eastAsia="Arial" w:hAnsi="Arial"/>
                <w:sz w:val="14"/>
                <w:szCs w:val="14"/>
                <w:b w:val="1"/>
                <w:bCs w:val="1"/>
                <w:color w:val="auto"/>
                <w:w w:val="95"/>
                <w:vertAlign w:val="superscript"/>
              </w:rPr>
              <w:t>(C)</w:t>
            </w:r>
          </w:p>
        </w:tc>
        <w:tc>
          <w:tcPr>
            <w:tcW w:w="0" w:type="dxa"/>
            <w:vAlign w:val="bottom"/>
          </w:tcPr>
          <w:p>
            <w:pPr>
              <w:spacing w:after="0"/>
              <w:rPr>
                <w:sz w:val="1"/>
                <w:szCs w:val="1"/>
                <w:color w:val="auto"/>
              </w:rPr>
            </w:pPr>
          </w:p>
        </w:tc>
      </w:tr>
      <w:tr>
        <w:trPr>
          <w:trHeight w:val="183"/>
        </w:trPr>
        <w:tc>
          <w:tcPr>
            <w:tcW w:w="22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b w:val="1"/>
                <w:bCs w:val="1"/>
                <w:color w:val="auto"/>
              </w:rPr>
              <w:t>FTI</w:t>
            </w:r>
            <w:r>
              <w:rPr>
                <w:rFonts w:ascii="Arial" w:cs="Arial" w:eastAsia="Arial" w:hAnsi="Arial"/>
                <w:sz w:val="18"/>
                <w:szCs w:val="18"/>
                <w:b w:val="1"/>
                <w:bCs w:val="1"/>
                <w:color w:val="auto"/>
                <w:vertAlign w:val="superscript"/>
              </w:rPr>
              <w:t>(D)</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80" w:type="dxa"/>
            <w:vAlign w:val="bottom"/>
          </w:tcPr>
          <w:p>
            <w:pPr>
              <w:ind w:left="360"/>
              <w:spacing w:after="0"/>
              <w:rPr>
                <w:sz w:val="20"/>
                <w:szCs w:val="20"/>
                <w:color w:val="auto"/>
              </w:rPr>
            </w:pPr>
            <w:r>
              <w:rPr>
                <w:rFonts w:ascii="Arial" w:cs="Arial" w:eastAsia="Arial" w:hAnsi="Arial"/>
                <w:sz w:val="14"/>
                <w:szCs w:val="14"/>
                <w:color w:val="auto"/>
              </w:rPr>
              <w:t>Series Seed</w:t>
            </w:r>
          </w:p>
        </w:tc>
        <w:tc>
          <w:tcPr>
            <w:tcW w:w="1200" w:type="dxa"/>
            <w:vAlign w:val="bottom"/>
          </w:tcPr>
          <w:p>
            <w:pPr>
              <w:jc w:val="right"/>
              <w:spacing w:after="0"/>
              <w:rPr>
                <w:sz w:val="20"/>
                <w:szCs w:val="20"/>
                <w:color w:val="auto"/>
              </w:rPr>
            </w:pPr>
            <w:r>
              <w:rPr>
                <w:rFonts w:ascii="Arial" w:cs="Arial" w:eastAsia="Arial" w:hAnsi="Arial"/>
                <w:sz w:val="14"/>
                <w:szCs w:val="14"/>
                <w:color w:val="auto"/>
              </w:rPr>
              <w:t>16,100,540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16,100,540</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16,947</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16,947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1.05</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A</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32,860,461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32,860,461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41,759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41,759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1.27</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8"/>
        </w:trPr>
        <w:tc>
          <w:tcPr>
            <w:tcW w:w="2280" w:type="dxa"/>
            <w:vAlign w:val="bottom"/>
          </w:tcPr>
          <w:p>
            <w:pPr>
              <w:ind w:left="360"/>
              <w:spacing w:after="0"/>
              <w:rPr>
                <w:sz w:val="20"/>
                <w:szCs w:val="20"/>
                <w:color w:val="auto"/>
              </w:rPr>
            </w:pPr>
            <w:r>
              <w:rPr>
                <w:rFonts w:ascii="Arial" w:cs="Arial" w:eastAsia="Arial" w:hAnsi="Arial"/>
                <w:sz w:val="14"/>
                <w:szCs w:val="14"/>
                <w:color w:val="auto"/>
              </w:rPr>
              <w:t>Series B</w:t>
            </w:r>
          </w:p>
        </w:tc>
        <w:tc>
          <w:tcPr>
            <w:tcW w:w="1200" w:type="dxa"/>
            <w:vAlign w:val="bottom"/>
          </w:tcPr>
          <w:p>
            <w:pPr>
              <w:jc w:val="right"/>
              <w:spacing w:after="0"/>
              <w:rPr>
                <w:sz w:val="20"/>
                <w:szCs w:val="20"/>
                <w:color w:val="auto"/>
              </w:rPr>
            </w:pPr>
            <w:r>
              <w:rPr>
                <w:rFonts w:ascii="Arial" w:cs="Arial" w:eastAsia="Arial" w:hAnsi="Arial"/>
                <w:sz w:val="14"/>
                <w:szCs w:val="14"/>
                <w:color w:val="auto"/>
              </w:rPr>
              <w:t>29,448,787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29,448,787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73,519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73,519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2.50</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C-1</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504,081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504,081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98"/>
        </w:trPr>
        <w:tc>
          <w:tcPr>
            <w:tcW w:w="2280" w:type="dxa"/>
            <w:vAlign w:val="bottom"/>
          </w:tcPr>
          <w:p>
            <w:pPr>
              <w:ind w:left="360"/>
              <w:spacing w:after="0"/>
              <w:rPr>
                <w:sz w:val="20"/>
                <w:szCs w:val="20"/>
                <w:color w:val="auto"/>
              </w:rPr>
            </w:pPr>
            <w:r>
              <w:rPr>
                <w:rFonts w:ascii="Arial" w:cs="Arial" w:eastAsia="Arial" w:hAnsi="Arial"/>
                <w:sz w:val="14"/>
                <w:szCs w:val="14"/>
                <w:color w:val="auto"/>
              </w:rPr>
              <w:t>Series C-2</w:t>
            </w:r>
          </w:p>
        </w:tc>
        <w:tc>
          <w:tcPr>
            <w:tcW w:w="1200" w:type="dxa"/>
            <w:vAlign w:val="bottom"/>
          </w:tcPr>
          <w:p>
            <w:pPr>
              <w:jc w:val="right"/>
              <w:spacing w:after="0"/>
              <w:rPr>
                <w:sz w:val="20"/>
                <w:szCs w:val="20"/>
                <w:color w:val="auto"/>
              </w:rPr>
            </w:pPr>
            <w:r>
              <w:rPr>
                <w:rFonts w:ascii="Arial" w:cs="Arial" w:eastAsia="Arial" w:hAnsi="Arial"/>
                <w:sz w:val="14"/>
                <w:szCs w:val="14"/>
                <w:color w:val="auto"/>
              </w:rPr>
              <w:t>1,983,287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1,983,287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3"/>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7.56</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207"/>
        </w:trPr>
        <w:tc>
          <w:tcPr>
            <w:tcW w:w="2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Series C</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11,238,629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11,238,629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85,000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7.56</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98"/>
        </w:trPr>
        <w:tc>
          <w:tcPr>
            <w:tcW w:w="2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Series 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12,439,325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12,439,325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219,999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219,999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17.69</w:t>
            </w: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17.69</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104,575,110</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455,275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455,275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Markets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Seed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36,326,136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jc w:val="both"/>
        <w:ind w:left="340" w:hanging="332"/>
        <w:spacing w:after="0" w:line="252"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6"/>
          <w:szCs w:val="16"/>
          <w:color w:val="auto"/>
        </w:rPr>
      </w:pPr>
    </w:p>
    <w:p>
      <w:pPr>
        <w:jc w:val="both"/>
        <w:ind w:left="340" w:right="20" w:hanging="332"/>
        <w:spacing w:after="0" w:line="255" w:lineRule="auto"/>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spacing w:after="0" w:line="1" w:lineRule="exact"/>
        <w:rPr>
          <w:rFonts w:ascii="Arial" w:cs="Arial" w:eastAsia="Arial" w:hAnsi="Arial"/>
          <w:sz w:val="16"/>
          <w:szCs w:val="16"/>
          <w:color w:val="auto"/>
        </w:rPr>
      </w:pPr>
    </w:p>
    <w:p>
      <w:pPr>
        <w:jc w:val="both"/>
        <w:ind w:left="340" w:hanging="332"/>
        <w:spacing w:after="0" w:line="254" w:lineRule="auto"/>
        <w:tabs>
          <w:tab w:leader="none" w:pos="33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share of preferred stock is convertible to common stock, at the option of the holder, at any time after the date of issuance at a specified rate.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ind w:left="320" w:hanging="312"/>
        <w:spacing w:after="0"/>
        <w:tabs>
          <w:tab w:leader="none" w:pos="3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share information presented applies to FTI and FT at December 31, 2024 and 2023, respectively.</w:t>
      </w:r>
    </w:p>
    <w:p>
      <w:pPr>
        <w:spacing w:after="0" w:line="9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2024, as part of the Reorganization, the Company issued 74,121,957 common shares at a par value of $0.0001 per share as part of the formation of Markets. As part of the Reorganization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6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In March 2024, the Company issued 36,326,136 convertible preferred shares of Markets at a price of $2.02 per share for proceeds of $73.3 million, net of issuance costs totaling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229" w:right="3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Protection Provisions</w:t>
      </w:r>
    </w:p>
    <w:p>
      <w:pPr>
        <w:spacing w:after="0" w:line="2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or entering into any transaction deemed to be a liquidation or dissolution of the issuing entity; authorizing a new class or series of equity security have rights with respect to payment upon liquidation senior to any series of the preferred stock; or conduct any initial coin offering or token offering in which the issuing does not retain a majority of the proceeds or tokens following such offering.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 ended December 31, 2024, the Company recognized equity-based compensation expense within Technology and Product Development expense in the Combined Consolidated Statements of Operations of (a) $2.3 million of the $3.0 million grant-date fair value of the warrants to purchase up to 1,926,762 preferred shares related to software development services and (b) $4.2 million grant-date fair value of the warrants to purchase up to 2,997,194 preferred shares related to other services provided by the convertible preferred warrant holder.</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warrants were valued at the grant date using the Black-Scholes option pricing model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center"/>
              <w:ind w:left="234"/>
              <w:spacing w:after="0"/>
              <w:rPr>
                <w:sz w:val="20"/>
                <w:szCs w:val="20"/>
                <w:color w:val="auto"/>
              </w:rPr>
            </w:pPr>
            <w:r>
              <w:rPr>
                <w:rFonts w:ascii="Arial" w:cs="Arial" w:eastAsia="Arial" w:hAnsi="Arial"/>
                <w:sz w:val="14"/>
                <w:szCs w:val="14"/>
                <w:b w:val="1"/>
                <w:bCs w:val="1"/>
                <w:color w:val="auto"/>
              </w:rPr>
              <w:t>Year ended December 31, 2024</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20" w:type="dxa"/>
            <w:vAlign w:val="bottom"/>
          </w:tcPr>
          <w:p>
            <w:pPr>
              <w:spacing w:after="0"/>
              <w:rPr>
                <w:sz w:val="12"/>
                <w:szCs w:val="12"/>
                <w:color w:val="auto"/>
              </w:rPr>
            </w:pPr>
          </w:p>
        </w:tc>
        <w:tc>
          <w:tcPr>
            <w:tcW w:w="10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High</w:t>
            </w:r>
          </w:p>
        </w:tc>
        <w:tc>
          <w:tcPr>
            <w:tcW w:w="1360" w:type="dxa"/>
            <w:vAlign w:val="bottom"/>
          </w:tcPr>
          <w:p>
            <w:pPr>
              <w:jc w:val="right"/>
              <w:ind w:right="456"/>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vMerge w:val="continue"/>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38.8 %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9"/>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2100" w:type="dxa"/>
            <w:vAlign w:val="bottom"/>
            <w:gridSpan w:val="3"/>
          </w:tcPr>
          <w:p>
            <w:pPr>
              <w:ind w:left="136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9"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warrants activity during the year ended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Warrants</w:t>
            </w:r>
          </w:p>
        </w:tc>
        <w:tc>
          <w:tcPr>
            <w:tcW w:w="16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480" w:type="dxa"/>
            <w:vAlign w:val="bottom"/>
          </w:tcPr>
          <w:p>
            <w:pPr>
              <w:jc w:val="right"/>
              <w:ind w:right="75"/>
              <w:spacing w:after="0"/>
              <w:rPr>
                <w:sz w:val="20"/>
                <w:szCs w:val="20"/>
                <w:color w:val="auto"/>
              </w:rPr>
            </w:pPr>
            <w:r>
              <w:rPr>
                <w:rFonts w:ascii="Arial" w:cs="Arial" w:eastAsia="Arial" w:hAnsi="Arial"/>
                <w:sz w:val="14"/>
                <w:szCs w:val="14"/>
                <w:b w:val="1"/>
                <w:bCs w:val="1"/>
                <w:color w:val="auto"/>
              </w:rPr>
              <w:t>Fair Value on Grant</w:t>
            </w:r>
          </w:p>
        </w:tc>
        <w:tc>
          <w:tcPr>
            <w:tcW w:w="0" w:type="dxa"/>
            <w:vAlign w:val="bottom"/>
          </w:tcPr>
          <w:p>
            <w:pPr>
              <w:spacing w:after="0"/>
              <w:rPr>
                <w:sz w:val="1"/>
                <w:szCs w:val="1"/>
                <w:color w:val="auto"/>
              </w:rPr>
            </w:pPr>
          </w:p>
        </w:tc>
      </w:tr>
      <w:tr>
        <w:trPr>
          <w:trHeight w:val="185"/>
        </w:trPr>
        <w:tc>
          <w:tcPr>
            <w:tcW w:w="62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6"/>
                <w:szCs w:val="16"/>
                <w:color w:val="auto"/>
              </w:rPr>
            </w:pPr>
          </w:p>
        </w:tc>
        <w:tc>
          <w:tcPr>
            <w:tcW w:w="1480" w:type="dxa"/>
            <w:vAlign w:val="bottom"/>
          </w:tcPr>
          <w:p>
            <w:pPr>
              <w:jc w:val="right"/>
              <w:ind w:right="57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(A)</w:t>
            </w:r>
          </w:p>
        </w:tc>
        <w:tc>
          <w:tcPr>
            <w:tcW w:w="1620" w:type="dxa"/>
            <w:vAlign w:val="bottom"/>
          </w:tcPr>
          <w:p>
            <w:pPr>
              <w:jc w:val="right"/>
              <w:spacing w:after="0"/>
              <w:rPr>
                <w:sz w:val="20"/>
                <w:szCs w:val="20"/>
                <w:color w:val="auto"/>
              </w:rPr>
            </w:pPr>
            <w:r>
              <w:rPr>
                <w:rFonts w:ascii="Arial" w:cs="Arial" w:eastAsia="Arial" w:hAnsi="Arial"/>
                <w:sz w:val="18"/>
                <w:szCs w:val="18"/>
                <w:color w:val="auto"/>
              </w:rPr>
              <w:t>6,850,717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Forfeited and cancelled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at December 31, 2024</w:t>
            </w:r>
            <w:r>
              <w:rPr>
                <w:rFonts w:ascii="Arial" w:cs="Arial" w:eastAsia="Arial" w:hAnsi="Arial"/>
                <w:sz w:val="23"/>
                <w:szCs w:val="23"/>
                <w:color w:val="auto"/>
                <w:vertAlign w:val="superscript"/>
              </w:rPr>
              <w:t>(B)</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6,850,717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tcPr>
          <w:p>
            <w:pPr>
              <w:ind w:left="20"/>
              <w:spacing w:after="0" w:line="203" w:lineRule="exact"/>
              <w:rPr>
                <w:sz w:val="20"/>
                <w:szCs w:val="20"/>
                <w:color w:val="auto"/>
              </w:rPr>
            </w:pPr>
            <w:r>
              <w:rPr>
                <w:rFonts w:ascii="Arial" w:cs="Arial" w:eastAsia="Arial" w:hAnsi="Arial"/>
                <w:sz w:val="18"/>
                <w:szCs w:val="18"/>
                <w:color w:val="auto"/>
              </w:rPr>
              <w:t>Exercisable at December 31, 2024</w:t>
            </w:r>
            <w:r>
              <w:rPr>
                <w:rFonts w:ascii="Arial" w:cs="Arial" w:eastAsia="Arial" w:hAnsi="Arial"/>
                <w:sz w:val="23"/>
                <w:szCs w:val="23"/>
                <w:color w:val="auto"/>
                <w:vertAlign w:val="superscript"/>
              </w:rPr>
              <w:t>(B)(C)</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4,923,955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62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4" w:lineRule="auto"/>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granted warrants to purchase up to 1,926,762 convertible preferred shares for the First Warrant, as well as warrants to purchase up to 1,926,762 convertible preferred shares for the Second Warrant. With respect to the Third Warrant, only 2,997,194 of the 7,707,069 warrants for convertible preferred shares have been granted by the Company through December 31, 2024. Future grants related to the Third Warrant will be made to the holder based on future monthly levels of service to be provided to the Company.</w:t>
      </w:r>
    </w:p>
    <w:p>
      <w:pPr>
        <w:jc w:val="both"/>
        <w:ind w:left="340" w:hanging="332"/>
        <w:spacing w:after="0" w:line="252" w:lineRule="auto"/>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At December 31, 2024, the weighted-average grant date fair values for outstanding warrants and exercisable warrants were $1.49 and $1.46, and the intrinsic value for outstanding warrants and exercisable warrants was $5.8 million and $4.0 million, respectively. At December 31, 2024, total compensation cost related to granted, but nonvested, warrants not yet recognized was $0.7 million and is expected to be recognized on a weighted-average period of 0.2 years.</w:t>
      </w:r>
    </w:p>
    <w:p>
      <w:pPr>
        <w:ind w:left="320" w:hanging="312"/>
        <w:spacing w:after="0"/>
        <w:tabs>
          <w:tab w:leader="none" w:pos="3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Exercisable warrants have a weighted average exercise period of 2.5 years at December 31, 2024.</w:t>
      </w:r>
    </w:p>
    <w:p>
      <w:pPr>
        <w:spacing w:after="0" w:line="107"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Equity-Based Compensation</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amount of stock-based compensation expense related to equity-based compensation recognized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Combined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6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For the Years Ended</w:t>
            </w:r>
          </w:p>
        </w:tc>
        <w:tc>
          <w:tcPr>
            <w:tcW w:w="620" w:type="dxa"/>
            <w:vAlign w:val="bottom"/>
          </w:tcPr>
          <w:p>
            <w:pPr>
              <w:spacing w:after="0"/>
              <w:rPr>
                <w:sz w:val="17"/>
                <w:szCs w:val="17"/>
                <w:color w:val="auto"/>
              </w:rPr>
            </w:pPr>
          </w:p>
        </w:tc>
      </w:tr>
      <w:tr>
        <w:trPr>
          <w:trHeight w:val="203"/>
        </w:trPr>
        <w:tc>
          <w:tcPr>
            <w:tcW w:w="79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24"/>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product development</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Operations and processing</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45,310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13,450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Incentive Plans</w:t>
      </w:r>
    </w:p>
    <w:p>
      <w:pPr>
        <w:spacing w:after="0" w:line="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December 31, 2024 and 2023, the Company had granted awards equivalent to 48,861,380 and 32,645,381 common shares of FTI, respectively, gross of forfeited and delivered awards.</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9"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options. At December 31, 2024, the Company had granted awards equivalent to 14,213,831 common stock of Markets, gross of forfeited and delivered awards.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2018 Plan — Stock Options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activities of stock options granted under the 2018 Plan for the years ended December 31,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Exercise Price</w:t>
            </w:r>
            <w:r>
              <w:rPr>
                <w:rFonts w:ascii="Arial" w:cs="Arial" w:eastAsia="Arial" w:hAnsi="Arial"/>
                <w:sz w:val="18"/>
                <w:szCs w:val="18"/>
                <w:b w:val="1"/>
                <w:bCs w:val="1"/>
                <w:color w:val="auto"/>
                <w:vertAlign w:val="superscript"/>
              </w:rPr>
              <w:t>(A)</w:t>
            </w: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Remaining Life</w:t>
            </w:r>
          </w:p>
        </w:tc>
        <w:tc>
          <w:tcPr>
            <w:tcW w:w="180" w:type="dxa"/>
            <w:vAlign w:val="bottom"/>
          </w:tcPr>
          <w:p>
            <w:pPr>
              <w:spacing w:after="0"/>
              <w:rPr>
                <w:sz w:val="12"/>
                <w:szCs w:val="12"/>
                <w:color w:val="auto"/>
              </w:rPr>
            </w:pPr>
          </w:p>
        </w:tc>
        <w:tc>
          <w:tcPr>
            <w:tcW w:w="1380" w:type="dxa"/>
            <w:vAlign w:val="bottom"/>
          </w:tcPr>
          <w:p>
            <w:pPr>
              <w:jc w:val="right"/>
              <w:ind w:right="173"/>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201"/>
        </w:trPr>
        <w:tc>
          <w:tcPr>
            <w:tcW w:w="468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6"/>
              </w:rPr>
              <w:t>(Years)</w:t>
            </w:r>
            <w:r>
              <w:rPr>
                <w:rFonts w:ascii="Arial" w:cs="Arial" w:eastAsia="Arial" w:hAnsi="Arial"/>
                <w:sz w:val="18"/>
                <w:szCs w:val="18"/>
                <w:b w:val="1"/>
                <w:bCs w:val="1"/>
                <w:color w:val="auto"/>
                <w:w w:val="96"/>
                <w:vertAlign w:val="superscript"/>
              </w:rPr>
              <w:t>(B)</w:t>
            </w:r>
          </w:p>
        </w:tc>
        <w:tc>
          <w:tcPr>
            <w:tcW w:w="180" w:type="dxa"/>
            <w:vAlign w:val="bottom"/>
          </w:tcPr>
          <w:p>
            <w:pPr>
              <w:spacing w:after="0"/>
              <w:rPr>
                <w:sz w:val="17"/>
                <w:szCs w:val="17"/>
                <w:color w:val="auto"/>
              </w:rPr>
            </w:pPr>
          </w:p>
        </w:tc>
        <w:tc>
          <w:tcPr>
            <w:tcW w:w="1380" w:type="dxa"/>
            <w:vAlign w:val="bottom"/>
          </w:tcPr>
          <w:p>
            <w:pPr>
              <w:jc w:val="right"/>
              <w:ind w:right="453"/>
              <w:spacing w:after="0" w:line="201"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(C)</w:t>
            </w: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19,623,139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(582,905)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and cancelled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(2,801,990)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19,831,348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15,613,098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(1,153,803)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and cancelled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At December 31, 2024</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Options Exercisable</w:t>
            </w:r>
          </w:p>
        </w:tc>
        <w:tc>
          <w:tcPr>
            <w:tcW w:w="1560" w:type="dxa"/>
            <w:vAlign w:val="bottom"/>
          </w:tcPr>
          <w:p>
            <w:pPr>
              <w:jc w:val="right"/>
              <w:spacing w:after="0"/>
              <w:rPr>
                <w:sz w:val="20"/>
                <w:szCs w:val="20"/>
                <w:color w:val="auto"/>
              </w:rPr>
            </w:pPr>
            <w:r>
              <w:rPr>
                <w:rFonts w:ascii="Arial" w:cs="Arial" w:eastAsia="Arial" w:hAnsi="Arial"/>
                <w:sz w:val="18"/>
                <w:szCs w:val="18"/>
                <w:color w:val="auto"/>
              </w:rPr>
              <w:t>21,384,181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Vested and Expected to Vest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29,648,570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right="20" w:hanging="332"/>
        <w:spacing w:after="0" w:line="252"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options and the estimated fair value of the issuing entity’s common shares, which was $.37 per common share of FTI, respectively, at December 31, 2024.</w:t>
      </w:r>
    </w:p>
    <w:p>
      <w:pPr>
        <w:spacing w:after="0" w:line="1" w:lineRule="exact"/>
        <w:rPr>
          <w:rFonts w:ascii="Arial" w:cs="Arial" w:eastAsia="Arial" w:hAnsi="Arial"/>
          <w:sz w:val="16"/>
          <w:szCs w:val="16"/>
          <w:color w:val="auto"/>
        </w:rPr>
      </w:pPr>
    </w:p>
    <w:p>
      <w:pPr>
        <w:ind w:left="340" w:hanging="332"/>
        <w:spacing w:after="0" w:line="191" w:lineRule="auto"/>
        <w:tabs>
          <w:tab w:leader="none" w:pos="3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Options expire on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anniversary of the original grant.</w:t>
      </w:r>
    </w:p>
    <w:p>
      <w:pPr>
        <w:jc w:val="both"/>
        <w:ind w:left="340" w:hanging="332"/>
        <w:spacing w:after="0" w:line="257" w:lineRule="auto"/>
        <w:tabs>
          <w:tab w:leader="none" w:pos="3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13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grant date assumptions of the stock options granted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rPr>
              <w:t>Year ended December 31, 2024</w:t>
            </w: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center"/>
              <w:ind w:left="655"/>
              <w:spacing w:after="0"/>
              <w:rPr>
                <w:sz w:val="20"/>
                <w:szCs w:val="20"/>
                <w:color w:val="auto"/>
              </w:rPr>
            </w:pPr>
            <w:r>
              <w:rPr>
                <w:rFonts w:ascii="Arial" w:cs="Arial" w:eastAsia="Arial" w:hAnsi="Arial"/>
                <w:sz w:val="14"/>
                <w:szCs w:val="14"/>
                <w:b w:val="1"/>
                <w:bCs w:val="1"/>
                <w:color w:val="auto"/>
              </w:rPr>
              <w:t>Year ended December 31, 2023</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11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1060" w:type="dxa"/>
            <w:vAlign w:val="bottom"/>
          </w:tcPr>
          <w:p>
            <w:pPr>
              <w:jc w:val="right"/>
              <w:ind w:right="295"/>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9"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2018 Plan — RSAs</w:t>
      </w:r>
    </w:p>
    <w:p>
      <w:pPr>
        <w:spacing w:after="0" w:line="2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The following table reflects the activities of restricted stock awards granted under the 2018 Plan for the years ended December 31,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RSAs</w:t>
            </w:r>
          </w:p>
        </w:tc>
        <w:tc>
          <w:tcPr>
            <w:tcW w:w="140" w:type="dxa"/>
            <w:vAlign w:val="bottom"/>
          </w:tcPr>
          <w:p>
            <w:pPr>
              <w:spacing w:after="0"/>
              <w:rPr>
                <w:sz w:val="14"/>
                <w:szCs w:val="14"/>
                <w:color w:val="auto"/>
              </w:rPr>
            </w:pPr>
          </w:p>
        </w:tc>
        <w:tc>
          <w:tcPr>
            <w:tcW w:w="144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80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40"/>
              <w:spacing w:after="0"/>
              <w:rPr>
                <w:sz w:val="20"/>
                <w:szCs w:val="20"/>
                <w:color w:val="auto"/>
              </w:rPr>
            </w:pPr>
            <w:r>
              <w:rPr>
                <w:rFonts w:ascii="Arial" w:cs="Arial" w:eastAsia="Arial" w:hAnsi="Arial"/>
                <w:sz w:val="18"/>
                <w:szCs w:val="18"/>
                <w:color w:val="auto"/>
              </w:rPr>
              <w:t>Forfeited and cancelled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2024 Plan — Stock Options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activities of stock options granted under the 2024 Plan for the year ended December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2"/>
                <w:szCs w:val="1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Exercise Price</w:t>
            </w:r>
            <w:r>
              <w:rPr>
                <w:rFonts w:ascii="Arial" w:cs="Arial" w:eastAsia="Arial" w:hAnsi="Arial"/>
                <w:sz w:val="18"/>
                <w:szCs w:val="18"/>
                <w:b w:val="1"/>
                <w:bCs w:val="1"/>
                <w:color w:val="auto"/>
                <w:vertAlign w:val="superscript"/>
              </w:rPr>
              <w:t>(A)</w:t>
            </w:r>
          </w:p>
        </w:tc>
        <w:tc>
          <w:tcPr>
            <w:tcW w:w="16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Remaining Life</w:t>
            </w:r>
          </w:p>
        </w:tc>
        <w:tc>
          <w:tcPr>
            <w:tcW w:w="180" w:type="dxa"/>
            <w:vAlign w:val="bottom"/>
          </w:tcPr>
          <w:p>
            <w:pPr>
              <w:spacing w:after="0"/>
              <w:rPr>
                <w:sz w:val="12"/>
                <w:szCs w:val="12"/>
                <w:color w:val="auto"/>
              </w:rPr>
            </w:pPr>
          </w:p>
        </w:tc>
        <w:tc>
          <w:tcPr>
            <w:tcW w:w="1380" w:type="dxa"/>
            <w:vAlign w:val="bottom"/>
          </w:tcPr>
          <w:p>
            <w:pPr>
              <w:jc w:val="right"/>
              <w:ind w:right="174"/>
              <w:spacing w:after="0" w:line="143"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(Years)</w:t>
            </w:r>
            <w:r>
              <w:rPr>
                <w:rFonts w:ascii="Arial" w:cs="Arial" w:eastAsia="Arial" w:hAnsi="Arial"/>
                <w:sz w:val="9"/>
                <w:szCs w:val="9"/>
                <w:b w:val="1"/>
                <w:bCs w:val="1"/>
                <w:color w:val="auto"/>
                <w:w w:val="99"/>
              </w:rPr>
              <w:t>(B)</w:t>
            </w:r>
          </w:p>
        </w:tc>
        <w:tc>
          <w:tcPr>
            <w:tcW w:w="18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Outstanding at December 31, 2023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4700" w:type="dxa"/>
            <w:vAlign w:val="bottom"/>
          </w:tcPr>
          <w:p>
            <w:pPr>
              <w:ind w:left="460"/>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(1,072,238)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Forfeited and cancelled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At December 31, 2024</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Options Exercisable</w:t>
            </w:r>
          </w:p>
        </w:tc>
        <w:tc>
          <w:tcPr>
            <w:tcW w:w="1560" w:type="dxa"/>
            <w:vAlign w:val="bottom"/>
          </w:tcPr>
          <w:p>
            <w:pPr>
              <w:jc w:val="right"/>
              <w:spacing w:after="0"/>
              <w:rPr>
                <w:sz w:val="20"/>
                <w:szCs w:val="20"/>
                <w:color w:val="auto"/>
              </w:rPr>
            </w:pPr>
            <w:r>
              <w:rPr>
                <w:rFonts w:ascii="Arial" w:cs="Arial" w:eastAsia="Arial" w:hAnsi="Arial"/>
                <w:sz w:val="18"/>
                <w:szCs w:val="18"/>
                <w:color w:val="auto"/>
              </w:rPr>
              <w:t>2,809,098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Vested and Expected to Vest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11,811,451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right="20" w:hanging="332"/>
        <w:spacing w:after="0" w:line="249" w:lineRule="auto"/>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options and the estimated fair value of the issuing entity’s common shares, which was zero per common share of Markets, respectively, at December 31, 2024.</w:t>
      </w:r>
    </w:p>
    <w:p>
      <w:pPr>
        <w:ind w:left="340" w:hanging="332"/>
        <w:spacing w:after="0" w:line="201" w:lineRule="auto"/>
        <w:tabs>
          <w:tab w:leader="none" w:pos="3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Options expire on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anniversary of the original grant.</w:t>
      </w:r>
    </w:p>
    <w:p>
      <w:pPr>
        <w:jc w:val="both"/>
        <w:ind w:left="340" w:hanging="332"/>
        <w:spacing w:after="0" w:line="257" w:lineRule="auto"/>
        <w:tabs>
          <w:tab w:leader="none" w:pos="33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229"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assumptions of the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 2024</w:t>
            </w: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0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Low</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2"/>
                <w:szCs w:val="12"/>
                <w:color w:val="auto"/>
              </w:rPr>
            </w:pPr>
          </w:p>
        </w:tc>
        <w:tc>
          <w:tcPr>
            <w:tcW w:w="1360" w:type="dxa"/>
            <w:vAlign w:val="bottom"/>
          </w:tcPr>
          <w:p>
            <w:pPr>
              <w:jc w:val="right"/>
              <w:ind w:right="455"/>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ind w:right="47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040" w:type="dxa"/>
            <w:vAlign w:val="bottom"/>
          </w:tcPr>
          <w:p>
            <w:pPr>
              <w:spacing w:after="0"/>
              <w:rPr>
                <w:sz w:val="19"/>
                <w:szCs w:val="19"/>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i w:val="1"/>
          <w:iCs w:val="1"/>
          <w:color w:val="auto"/>
        </w:rPr>
        <w:t xml:space="preserve">Unrecognized Compensation Expense </w:t>
      </w:r>
      <w:r>
        <w:rPr>
          <w:rFonts w:ascii="Arial" w:cs="Arial" w:eastAsia="Arial" w:hAnsi="Arial"/>
          <w:sz w:val="18"/>
          <w:szCs w:val="18"/>
          <w:color w:val="auto"/>
        </w:rPr>
        <w:t>— At December 31, 2024, the Company has not yet recognized compensation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awards: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Unrecognized Compensation</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Expense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52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rPr>
              <w:t>Recognition Period</w:t>
            </w: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Vesting Condition</w:t>
            </w:r>
          </w:p>
        </w:tc>
        <w:tc>
          <w:tcPr>
            <w:tcW w:w="8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5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RSAs</w:t>
            </w:r>
          </w:p>
        </w:tc>
        <w:tc>
          <w:tcPr>
            <w:tcW w:w="15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4"/>
                <w:szCs w:val="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4"/>
                <w:szCs w:val="4"/>
                <w:color w:val="auto"/>
              </w:rPr>
            </w:pPr>
          </w:p>
        </w:tc>
        <w:tc>
          <w:tcPr>
            <w:tcW w:w="8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RSAs</w:t>
            </w:r>
          </w:p>
        </w:tc>
        <w:tc>
          <w:tcPr>
            <w:tcW w:w="0" w:type="dxa"/>
            <w:vAlign w:val="bottom"/>
          </w:tcPr>
          <w:p>
            <w:pPr>
              <w:spacing w:after="0"/>
              <w:rPr>
                <w:sz w:val="1"/>
                <w:szCs w:val="1"/>
                <w:color w:val="auto"/>
              </w:rPr>
            </w:pPr>
          </w:p>
        </w:tc>
      </w:tr>
      <w:tr>
        <w:trPr>
          <w:trHeight w:val="197"/>
        </w:trPr>
        <w:tc>
          <w:tcPr>
            <w:tcW w:w="2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15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auto"/>
            </w:tcBorders>
            <w:shd w:val="clear" w:color="auto" w:fill="CCEEFF"/>
          </w:tcPr>
          <w:p>
            <w:pPr>
              <w:ind w:left="240"/>
              <w:spacing w:after="0" w:line="224" w:lineRule="exact"/>
              <w:rPr>
                <w:sz w:val="20"/>
                <w:szCs w:val="20"/>
                <w:color w:val="auto"/>
              </w:rPr>
            </w:pPr>
            <w:r>
              <w:rPr>
                <w:rFonts w:ascii="Arial" w:cs="Arial" w:eastAsia="Arial" w:hAnsi="Arial"/>
                <w:sz w:val="18"/>
                <w:szCs w:val="18"/>
                <w:color w:val="auto"/>
              </w:rPr>
              <w:t>Time-based</w:t>
            </w:r>
            <w:r>
              <w:rPr>
                <w:rFonts w:ascii="Arial" w:cs="Arial" w:eastAsia="Arial" w:hAnsi="Arial"/>
                <w:sz w:val="23"/>
                <w:szCs w:val="23"/>
                <w:color w:val="auto"/>
                <w:vertAlign w:val="superscript"/>
              </w:rPr>
              <w:t>(A)</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17,387,743</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17,387,743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tcPr>
          <w:p>
            <w:pPr>
              <w:ind w:left="240"/>
              <w:spacing w:after="0" w:line="230" w:lineRule="exact"/>
              <w:rPr>
                <w:sz w:val="20"/>
                <w:szCs w:val="20"/>
                <w:color w:val="auto"/>
              </w:rPr>
            </w:pPr>
            <w:r>
              <w:rPr>
                <w:rFonts w:ascii="Arial" w:cs="Arial" w:eastAsia="Arial" w:hAnsi="Arial"/>
                <w:sz w:val="18"/>
                <w:szCs w:val="18"/>
                <w:color w:val="auto"/>
              </w:rPr>
              <w:t>Multiple</w:t>
            </w:r>
            <w:r>
              <w:rPr>
                <w:rFonts w:ascii="Arial" w:cs="Arial" w:eastAsia="Arial" w:hAnsi="Arial"/>
                <w:sz w:val="23"/>
                <w:szCs w:val="23"/>
                <w:color w:val="auto"/>
                <w:vertAlign w:val="superscript"/>
              </w:rPr>
              <w:t>(A)(B)</w:t>
            </w:r>
          </w:p>
        </w:tc>
        <w:tc>
          <w:tcPr>
            <w:tcW w:w="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5,874,850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5,874,850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17,387,743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5,874,850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23,262,593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awards vest over a period of two to four years, and most awards have a one year cliff vesting feature.</w:t>
      </w:r>
    </w:p>
    <w:p>
      <w:pPr>
        <w:spacing w:after="0" w:line="8" w:lineRule="exact"/>
        <w:rPr>
          <w:rFonts w:ascii="Arial" w:cs="Arial" w:eastAsia="Arial" w:hAnsi="Arial"/>
          <w:sz w:val="16"/>
          <w:szCs w:val="16"/>
          <w:color w:val="auto"/>
        </w:rPr>
      </w:pPr>
    </w:p>
    <w:p>
      <w:pPr>
        <w:ind w:left="340" w:right="20" w:hanging="332"/>
        <w:spacing w:after="0" w:line="265"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Awards include a service period vesting condition, as noted above, and a liquidity-based vesting conditions. These awards require a liquidity event, as defined in the award agreement, that has neither occurred nor reasonably likely to occur at December 31, 2024.</w:t>
      </w:r>
    </w:p>
    <w:p>
      <w:pPr>
        <w:spacing w:after="0" w:line="12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Modifications of Awards Under the 2018 Plan</w:t>
      </w:r>
    </w:p>
    <w:p>
      <w:pPr>
        <w:spacing w:after="0" w:line="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extended the post-termination exercise period of vested options held by certain current and former employees, resulting in $6.8 million of incremental equity-based compensation expense recognized during the year ended December 31, 2024. During the year ended December 31, 2024, the Company reduced the exercise price of 6,308,708 options granted as part of the Reorganization from $6.69 per share to $ 4.82 per share, resulting in $3.3 million of incremental equity-based compensation expense recognized during the year ended December 31, 2024.</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 in Consolidated Subsidiaries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amounts relate to equity interests held by the third-party investors in a real estate investment trust subsidiary, Figure REIT, Inc. (“Figure REIT”) and the Figure Markets Offshore Opportunity Investment Fund L.P. (“Offshore Solana Fund”) the Company consolidates, but does not wholly-own.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noncontrolling interests in the net income (loss) is computed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6"/>
              </w:rPr>
              <w:t>December 31, 2024</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w w:val="98"/>
              </w:rPr>
              <w:t>December 31, 2023</w:t>
            </w: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7"/>
              </w:rPr>
              <w:t>Noncontrolling Interest as a</w:t>
            </w:r>
          </w:p>
        </w:tc>
        <w:tc>
          <w:tcPr>
            <w:tcW w:w="1500" w:type="dxa"/>
            <w:vAlign w:val="bottom"/>
            <w:gridSpan w:val="3"/>
          </w:tcPr>
          <w:p>
            <w:pPr>
              <w:jc w:val="center"/>
              <w:ind w:right="80"/>
              <w:spacing w:after="0" w:line="109" w:lineRule="exact"/>
              <w:rPr>
                <w:sz w:val="20"/>
                <w:szCs w:val="20"/>
                <w:color w:val="auto"/>
              </w:rPr>
            </w:pPr>
            <w:r>
              <w:rPr>
                <w:rFonts w:ascii="Arial" w:cs="Arial" w:eastAsia="Arial" w:hAnsi="Arial"/>
                <w:sz w:val="11"/>
                <w:szCs w:val="11"/>
                <w:b w:val="1"/>
                <w:bCs w:val="1"/>
                <w:color w:val="auto"/>
                <w:w w:val="97"/>
              </w:rPr>
              <w:t>Noncontrolling Interest in</w:t>
            </w: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Noncontrolling Interest as a</w:t>
            </w:r>
          </w:p>
        </w:tc>
        <w:tc>
          <w:tcPr>
            <w:tcW w:w="142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7"/>
              </w:rPr>
              <w:t>Noncontrolling Interest in</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Net Income (Loss)</w:t>
            </w:r>
          </w:p>
        </w:tc>
        <w:tc>
          <w:tcPr>
            <w:tcW w:w="16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7"/>
              </w:rPr>
              <w:t>Income (Loss) of</w:t>
            </w:r>
          </w:p>
        </w:tc>
        <w:tc>
          <w:tcPr>
            <w:tcW w:w="160" w:type="dxa"/>
            <w:vAlign w:val="bottom"/>
          </w:tcPr>
          <w:p>
            <w:pPr>
              <w:spacing w:after="0"/>
              <w:rPr>
                <w:sz w:val="9"/>
                <w:szCs w:val="9"/>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 Income (Loss)</w:t>
            </w:r>
          </w:p>
        </w:tc>
        <w:tc>
          <w:tcPr>
            <w:tcW w:w="1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jc w:val="center"/>
              <w:ind w:right="114"/>
              <w:spacing w:after="0" w:line="108" w:lineRule="exact"/>
              <w:rPr>
                <w:sz w:val="20"/>
                <w:szCs w:val="20"/>
                <w:color w:val="auto"/>
              </w:rPr>
            </w:pPr>
            <w:r>
              <w:rPr>
                <w:rFonts w:ascii="Arial" w:cs="Arial" w:eastAsia="Arial" w:hAnsi="Arial"/>
                <w:sz w:val="11"/>
                <w:szCs w:val="11"/>
                <w:b w:val="1"/>
                <w:bCs w:val="1"/>
                <w:color w:val="auto"/>
                <w:w w:val="97"/>
              </w:rPr>
              <w:t>Income (Loss) of</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Percent of Total</w:t>
            </w:r>
            <w:r>
              <w:rPr>
                <w:rFonts w:ascii="Arial" w:cs="Arial" w:eastAsia="Arial" w:hAnsi="Arial"/>
                <w:sz w:val="14"/>
                <w:szCs w:val="14"/>
                <w:b w:val="1"/>
                <w:bCs w:val="1"/>
                <w:color w:val="auto"/>
                <w:w w:val="93"/>
                <w:vertAlign w:val="superscript"/>
              </w:rPr>
              <w:t>(A)</w:t>
            </w:r>
          </w:p>
        </w:tc>
        <w:tc>
          <w:tcPr>
            <w:tcW w:w="15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Consolidated Subsidiaries</w:t>
            </w: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Percent of Total</w:t>
            </w:r>
            <w:r>
              <w:rPr>
                <w:rFonts w:ascii="Arial" w:cs="Arial" w:eastAsia="Arial" w:hAnsi="Arial"/>
                <w:sz w:val="14"/>
                <w:szCs w:val="14"/>
                <w:b w:val="1"/>
                <w:bCs w:val="1"/>
                <w:color w:val="auto"/>
                <w:w w:val="95"/>
                <w:vertAlign w:val="superscript"/>
              </w:rPr>
              <w:t>(A)</w:t>
            </w:r>
          </w:p>
        </w:tc>
        <w:tc>
          <w:tcPr>
            <w:tcW w:w="14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Consolidated Subsidiaries</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5,509</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(9,989)</w:t>
            </w:r>
          </w:p>
        </w:tc>
        <w:tc>
          <w:tcPr>
            <w:tcW w:w="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194"/>
        </w:trPr>
        <w:tc>
          <w:tcPr>
            <w:tcW w:w="2120" w:type="dxa"/>
            <w:vAlign w:val="bottom"/>
          </w:tcPr>
          <w:p>
            <w:pPr>
              <w:ind w:left="20"/>
              <w:spacing w:after="0"/>
              <w:rPr>
                <w:sz w:val="20"/>
                <w:szCs w:val="20"/>
                <w:color w:val="auto"/>
              </w:rPr>
            </w:pPr>
            <w:r>
              <w:rPr>
                <w:rFonts w:ascii="Arial" w:cs="Arial" w:eastAsia="Arial" w:hAnsi="Arial"/>
                <w:sz w:val="14"/>
                <w:szCs w:val="14"/>
                <w:color w:val="auto"/>
              </w:rPr>
              <w:t>Offshore Solana Fund</w:t>
            </w:r>
          </w:p>
        </w:tc>
        <w:tc>
          <w:tcPr>
            <w:tcW w:w="160" w:type="dxa"/>
            <w:vAlign w:val="bottom"/>
          </w:tcPr>
          <w:p>
            <w:pPr>
              <w:spacing w:after="0"/>
              <w:rPr>
                <w:sz w:val="16"/>
                <w:szCs w:val="16"/>
                <w:color w:val="auto"/>
              </w:rPr>
            </w:pPr>
          </w:p>
        </w:tc>
        <w:tc>
          <w:tcPr>
            <w:tcW w:w="1220" w:type="dxa"/>
            <w:vAlign w:val="bottom"/>
          </w:tcPr>
          <w:p>
            <w:pPr>
              <w:jc w:val="right"/>
              <w:ind w:right="14"/>
              <w:spacing w:after="0"/>
              <w:rPr>
                <w:sz w:val="20"/>
                <w:szCs w:val="20"/>
                <w:color w:val="auto"/>
              </w:rPr>
            </w:pPr>
            <w:r>
              <w:rPr>
                <w:rFonts w:ascii="Arial" w:cs="Arial" w:eastAsia="Arial" w:hAnsi="Arial"/>
                <w:sz w:val="14"/>
                <w:szCs w:val="14"/>
                <w:color w:val="auto"/>
              </w:rPr>
              <w:t>8,627</w:t>
            </w:r>
          </w:p>
        </w:tc>
        <w:tc>
          <w:tcPr>
            <w:tcW w:w="80" w:type="dxa"/>
            <w:vAlign w:val="bottom"/>
          </w:tcPr>
          <w:p>
            <w:pPr>
              <w:spacing w:after="0"/>
              <w:rPr>
                <w:sz w:val="16"/>
                <w:szCs w:val="16"/>
                <w:color w:val="auto"/>
              </w:rPr>
            </w:pPr>
          </w:p>
        </w:tc>
        <w:tc>
          <w:tcPr>
            <w:tcW w:w="1540" w:type="dxa"/>
            <w:vAlign w:val="bottom"/>
          </w:tcPr>
          <w:p>
            <w:pPr>
              <w:jc w:val="right"/>
              <w:ind w:right="13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n.a.</w:t>
            </w:r>
          </w:p>
        </w:tc>
        <w:tc>
          <w:tcPr>
            <w:tcW w:w="164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Represents the weighted average percentage of total noncontrolling shareholders' net income (loss) in consolidated subsidiaries.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F-42</w:t>
      </w:r>
    </w:p>
    <w:p>
      <w:pPr>
        <w:sectPr>
          <w:pgSz w:w="11900" w:h="16838" w:orient="portrait"/>
          <w:cols w:equalWidth="0" w:num="1">
            <w:col w:w="11240"/>
          </w:cols>
          <w:pgMar w:left="320" w:top="229"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noncontrolling interests in the equity of consolidated subsidiaries is computed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December 31, 2024</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December 31, 2023</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Noncontrolling Ownership</w:t>
            </w:r>
          </w:p>
        </w:tc>
        <w:tc>
          <w:tcPr>
            <w:tcW w:w="1500" w:type="dxa"/>
            <w:vAlign w:val="bottom"/>
            <w:gridSpan w:val="3"/>
          </w:tcPr>
          <w:p>
            <w:pPr>
              <w:jc w:val="center"/>
              <w:ind w:right="100"/>
              <w:spacing w:after="0" w:line="109" w:lineRule="exact"/>
              <w:rPr>
                <w:sz w:val="20"/>
                <w:szCs w:val="20"/>
                <w:color w:val="auto"/>
              </w:rPr>
            </w:pPr>
            <w:r>
              <w:rPr>
                <w:rFonts w:ascii="Arial" w:cs="Arial" w:eastAsia="Arial" w:hAnsi="Arial"/>
                <w:sz w:val="11"/>
                <w:szCs w:val="11"/>
                <w:b w:val="1"/>
                <w:bCs w:val="1"/>
                <w:color w:val="auto"/>
                <w:w w:val="98"/>
              </w:rPr>
              <w:t>Noncontrolling Interest in</w:t>
            </w: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Noncontrolling Ownership</w:t>
            </w:r>
          </w:p>
        </w:tc>
        <w:tc>
          <w:tcPr>
            <w:tcW w:w="140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8"/>
              </w:rPr>
              <w:t>Noncontrolling Interest in</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Total Consolidated Equity</w:t>
            </w:r>
          </w:p>
        </w:tc>
        <w:tc>
          <w:tcPr>
            <w:tcW w:w="1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6"/>
              </w:rPr>
              <w:t>Equity of Consolidated</w:t>
            </w:r>
          </w:p>
        </w:tc>
        <w:tc>
          <w:tcPr>
            <w:tcW w:w="15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Total Consolidated Equity</w:t>
            </w:r>
          </w:p>
        </w:tc>
        <w:tc>
          <w:tcPr>
            <w:tcW w:w="1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ind w:right="37"/>
              <w:spacing w:after="0" w:line="108" w:lineRule="exact"/>
              <w:rPr>
                <w:sz w:val="20"/>
                <w:szCs w:val="20"/>
                <w:color w:val="auto"/>
              </w:rPr>
            </w:pPr>
            <w:r>
              <w:rPr>
                <w:rFonts w:ascii="Arial" w:cs="Arial" w:eastAsia="Arial" w:hAnsi="Arial"/>
                <w:sz w:val="11"/>
                <w:szCs w:val="11"/>
                <w:b w:val="1"/>
                <w:bCs w:val="1"/>
                <w:color w:val="auto"/>
                <w:w w:val="96"/>
              </w:rPr>
              <w:t>Equity of Consolidated</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Interest as a Percent of Total</w:t>
            </w: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Subsidiaries</w:t>
            </w:r>
          </w:p>
        </w:tc>
        <w:tc>
          <w:tcPr>
            <w:tcW w:w="1500" w:type="dxa"/>
            <w:vAlign w:val="bottom"/>
            <w:gridSpan w:val="3"/>
            <w:vMerge w:val="continue"/>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Interest as a Percent of Total</w:t>
            </w:r>
          </w:p>
        </w:tc>
        <w:tc>
          <w:tcPr>
            <w:tcW w:w="100" w:type="dxa"/>
            <w:vAlign w:val="bottom"/>
          </w:tcPr>
          <w:p>
            <w:pPr>
              <w:spacing w:after="0"/>
              <w:rPr>
                <w:sz w:val="13"/>
                <w:szCs w:val="13"/>
                <w:color w:val="auto"/>
              </w:rPr>
            </w:pPr>
          </w:p>
        </w:tc>
        <w:tc>
          <w:tcPr>
            <w:tcW w:w="1300" w:type="dxa"/>
            <w:vAlign w:val="bottom"/>
          </w:tcPr>
          <w:p>
            <w:pPr>
              <w:jc w:val="center"/>
              <w:ind w:right="37"/>
              <w:spacing w:after="0"/>
              <w:rPr>
                <w:sz w:val="20"/>
                <w:szCs w:val="20"/>
                <w:color w:val="auto"/>
              </w:rPr>
            </w:pPr>
            <w:r>
              <w:rPr>
                <w:rFonts w:ascii="Arial" w:cs="Arial" w:eastAsia="Arial" w:hAnsi="Arial"/>
                <w:sz w:val="11"/>
                <w:szCs w:val="11"/>
                <w:b w:val="1"/>
                <w:bCs w:val="1"/>
                <w:color w:val="auto"/>
                <w:w w:val="97"/>
              </w:rPr>
              <w:t>Subsidiaries</w:t>
            </w: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94"/>
        </w:trPr>
        <w:tc>
          <w:tcPr>
            <w:tcW w:w="2100" w:type="dxa"/>
            <w:vAlign w:val="bottom"/>
          </w:tcPr>
          <w:p>
            <w:pPr>
              <w:ind w:left="20"/>
              <w:spacing w:after="0"/>
              <w:rPr>
                <w:sz w:val="20"/>
                <w:szCs w:val="20"/>
                <w:color w:val="auto"/>
              </w:rPr>
            </w:pPr>
            <w:r>
              <w:rPr>
                <w:rFonts w:ascii="Arial" w:cs="Arial" w:eastAsia="Arial" w:hAnsi="Arial"/>
                <w:sz w:val="14"/>
                <w:szCs w:val="14"/>
                <w:color w:val="auto"/>
              </w:rPr>
              <w:t>Offshore Solana Fund</w:t>
            </w: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17,807</w:t>
            </w:r>
          </w:p>
        </w:tc>
        <w:tc>
          <w:tcPr>
            <w:tcW w:w="100" w:type="dxa"/>
            <w:vAlign w:val="bottom"/>
          </w:tcPr>
          <w:p>
            <w:pPr>
              <w:spacing w:after="0"/>
              <w:rPr>
                <w:sz w:val="16"/>
                <w:szCs w:val="16"/>
                <w:color w:val="auto"/>
              </w:rPr>
            </w:pPr>
          </w:p>
        </w:tc>
        <w:tc>
          <w:tcPr>
            <w:tcW w:w="1520" w:type="dxa"/>
            <w:vAlign w:val="bottom"/>
          </w:tcPr>
          <w:p>
            <w:pPr>
              <w:jc w:val="right"/>
              <w:ind w:right="11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9"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VARIABLE INTEREST ENTITIES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consolidated VIEs at December 31, 2024 included a fund limited partnership and a REIT in which the Company has investments and is deemed to have both the power to direct the most significant activities of the entities and the right to receive benefits, or the obligation to absorb losses, that could potentially be significant to these entities.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table below presents the carrying value and classification of the assets and liabilities of consolidated VIEs on the Combined Consolidated Balance Sheets: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2023</w:t>
            </w:r>
          </w:p>
        </w:tc>
        <w:tc>
          <w:tcPr>
            <w:tcW w:w="960" w:type="dxa"/>
            <w:vAlign w:val="bottom"/>
            <w:tcBorders>
              <w:bottom w:val="single" w:sz="8" w:color="auto"/>
            </w:tcBorders>
          </w:tcPr>
          <w:p>
            <w:pPr>
              <w:spacing w:after="0"/>
              <w:rPr>
                <w:sz w:val="17"/>
                <w:szCs w:val="17"/>
                <w:color w:val="auto"/>
              </w:rPr>
            </w:pPr>
          </w:p>
        </w:tc>
      </w:tr>
      <w:tr>
        <w:trPr>
          <w:trHeight w:val="196"/>
        </w:trPr>
        <w:tc>
          <w:tcPr>
            <w:tcW w:w="3040" w:type="dxa"/>
            <w:vAlign w:val="bottom"/>
          </w:tcPr>
          <w:p>
            <w:pPr>
              <w:spacing w:after="0"/>
              <w:rPr>
                <w:sz w:val="17"/>
                <w:szCs w:val="17"/>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Solana Fund</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Figure REIT</w:t>
            </w:r>
          </w:p>
        </w:tc>
        <w:tc>
          <w:tcPr>
            <w:tcW w:w="360" w:type="dxa"/>
            <w:vAlign w:val="bottom"/>
          </w:tcPr>
          <w:p>
            <w:pPr>
              <w:spacing w:after="0"/>
              <w:rPr>
                <w:sz w:val="17"/>
                <w:szCs w:val="17"/>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Figure REIT</w:t>
            </w:r>
          </w:p>
        </w:tc>
        <w:tc>
          <w:tcPr>
            <w:tcW w:w="600" w:type="dxa"/>
            <w:vAlign w:val="bottom"/>
          </w:tcPr>
          <w:p>
            <w:pPr>
              <w:spacing w:after="0"/>
              <w:rPr>
                <w:sz w:val="17"/>
                <w:szCs w:val="17"/>
                <w:color w:val="auto"/>
              </w:rPr>
            </w:pPr>
          </w:p>
        </w:tc>
        <w:tc>
          <w:tcPr>
            <w:tcW w:w="960" w:type="dxa"/>
            <w:vAlign w:val="bottom"/>
          </w:tcPr>
          <w:p>
            <w:pPr>
              <w:jc w:val="right"/>
              <w:ind w:right="536"/>
              <w:spacing w:after="0"/>
              <w:rPr>
                <w:sz w:val="20"/>
                <w:szCs w:val="20"/>
                <w:color w:val="auto"/>
              </w:rPr>
            </w:pPr>
            <w:r>
              <w:rPr>
                <w:rFonts w:ascii="Arial" w:cs="Arial" w:eastAsia="Arial" w:hAnsi="Arial"/>
                <w:sz w:val="14"/>
                <w:szCs w:val="14"/>
                <w:b w:val="1"/>
                <w:bCs w:val="1"/>
                <w:color w:val="auto"/>
                <w:w w:val="95"/>
              </w:rPr>
              <w:t>Total</w:t>
            </w:r>
          </w:p>
        </w:tc>
      </w:tr>
      <w:tr>
        <w:trPr>
          <w:trHeight w:val="224"/>
        </w:trPr>
        <w:tc>
          <w:tcPr>
            <w:tcW w:w="30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67,264</w:t>
            </w:r>
          </w:p>
        </w:tc>
      </w:tr>
      <w:tr>
        <w:trPr>
          <w:trHeight w:val="311"/>
        </w:trPr>
        <w:tc>
          <w:tcPr>
            <w:tcW w:w="3040" w:type="dxa"/>
            <w:vAlign w:val="bottom"/>
          </w:tcPr>
          <w:p>
            <w:pPr>
              <w:ind w:left="20"/>
              <w:spacing w:after="0"/>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103,556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55,344</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 Intercompany balances have been eliminated.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Offshore Solana Fund</w:t>
      </w:r>
    </w:p>
    <w:p>
      <w:pPr>
        <w:spacing w:after="0" w:line="2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Offshore Solana Fund was initially a wholly-owned subsidiary of the Company. In July 2024, the Company sold 2.8% of the Offshore Solana Fund limited partnership interests to unrelated third parties. As of December 31, 2024,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Combined Balance Sheet and reflects changes thereon in the Combined Statement of Operations. See Note 7 for further discussion of the noncontrolling interests in the entity.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Figure REIT</w:t>
      </w:r>
    </w:p>
    <w:p>
      <w:pPr>
        <w:spacing w:after="0" w:line="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manages Figure REIT, Inc. (“Figure REIT”) and has a variable interest in the entity based on its ability to direct the activities that most significantly impact the economic performance of Figure REIT, as the entity is managed by an advisor, who is controlled and managed directly or indirectly through subsidiaries of the Company. The assets of Figure REIT may be used to settle obligations of the entity. There is no recourse to the Company for liabilities of Figure REIT. Additionally, the Company has significant economic exposure through its direct and indirect interest in the Figure REIT. See Note 7 for further discussion of the noncontrolling interests in the entity.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Non-Consolidated VIEs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the Company continues to be involved with securitization VIEs in its role as the sponsor and the servicer of securitization transactions, the Company has determined that it is not the primary beneficiary of these entities and does not consolidate. These entities are established as grantor trusts for various securitization transactions. The activities that most significantly impact the economic performance of the VIE include servicing activities with respect to delinquent loans and defaults, performed by a third-party subservicer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9"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the aggregate risk characteristics of the unconsolidated VIEs and the Company’s maximum exposure to loss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2024</w:t>
            </w:r>
          </w:p>
        </w:tc>
        <w:tc>
          <w:tcPr>
            <w:tcW w:w="160" w:type="dxa"/>
            <w:vAlign w:val="bottom"/>
          </w:tcPr>
          <w:p>
            <w:pPr>
              <w:spacing w:after="0"/>
              <w:rPr>
                <w:sz w:val="17"/>
                <w:szCs w:val="17"/>
                <w:color w:val="auto"/>
              </w:rPr>
            </w:pP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2023</w:t>
            </w: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UPB of securitization collateral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2,785,341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716,986</w:t>
            </w:r>
          </w:p>
        </w:tc>
      </w:tr>
      <w:tr>
        <w:trPr>
          <w:trHeight w:val="230"/>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delinquency</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Face amount of debt held by third parties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2,586,297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632,602</w:t>
            </w:r>
          </w:p>
        </w:tc>
      </w:tr>
      <w:tr>
        <w:trPr>
          <w:trHeight w:val="311"/>
        </w:trPr>
        <w:tc>
          <w:tcPr>
            <w:tcW w:w="7720" w:type="dxa"/>
            <w:vAlign w:val="bottom"/>
          </w:tcPr>
          <w:p>
            <w:pPr>
              <w:ind w:left="20"/>
              <w:spacing w:after="0"/>
              <w:rPr>
                <w:sz w:val="20"/>
                <w:szCs w:val="20"/>
                <w:color w:val="auto"/>
              </w:rPr>
            </w:pPr>
            <w:r>
              <w:rPr>
                <w:rFonts w:ascii="Arial" w:cs="Arial" w:eastAsia="Arial" w:hAnsi="Arial"/>
                <w:sz w:val="18"/>
                <w:szCs w:val="18"/>
                <w:color w:val="auto"/>
              </w:rPr>
              <w:t>Maximum exposure</w:t>
            </w:r>
            <w:r>
              <w:rPr>
                <w:rFonts w:ascii="Arial" w:cs="Arial" w:eastAsia="Arial" w:hAnsi="Arial"/>
                <w:sz w:val="23"/>
                <w:szCs w:val="23"/>
                <w:color w:val="auto"/>
                <w:vertAlign w:val="superscript"/>
              </w:rPr>
              <w:t>(B)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201,512</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43,333</w:t>
            </w:r>
          </w:p>
        </w:tc>
      </w:tr>
    </w:tbl>
    <w:p>
      <w:pPr>
        <w:spacing w:after="0"/>
        <w:rPr>
          <w:sz w:val="20"/>
          <w:szCs w:val="20"/>
          <w:color w:val="auto"/>
        </w:rPr>
      </w:pPr>
      <w:r>
        <w:rPr>
          <w:rFonts w:ascii="Arial" w:cs="Arial" w:eastAsia="Arial" w:hAnsi="Arial"/>
          <w:sz w:val="16"/>
          <w:szCs w:val="16"/>
          <w:color w:val="auto"/>
        </w:rPr>
        <w:t>_______________</w:t>
      </w:r>
    </w:p>
    <w:p>
      <w:pPr>
        <w:spacing w:after="0" w:line="20"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Represents the percentage of the UPB that is 60+ days delinquent.</w:t>
      </w:r>
    </w:p>
    <w:p>
      <w:pPr>
        <w:spacing w:after="0" w:line="5"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229"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or may become, from time to time, involved in various disputes, litigation, arbitration,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inquiry and 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our business in the future, including litigation that could be material to its business.</w:t>
      </w:r>
    </w:p>
    <w:p>
      <w:pPr>
        <w:spacing w:after="0" w:line="12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is, from time to time, subject to inquiries by government entities, though the Company currently does not believe any of these inquiries would result in a material adverse effect on the Company’s business.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Indemnifications </w:t>
      </w:r>
      <w:r>
        <w:rPr>
          <w:rFonts w:ascii="Arial" w:cs="Arial" w:eastAsia="Arial" w:hAnsi="Arial"/>
          <w:sz w:val="18"/>
          <w:szCs w:val="18"/>
          <w:color w:val="auto"/>
        </w:rPr>
        <w:t>— In the normal course of business, the Company and its subsidiaries entered into contracts that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Debt Covenants </w:t>
      </w:r>
      <w:r>
        <w:rPr>
          <w:rFonts w:ascii="Arial" w:cs="Arial" w:eastAsia="Arial" w:hAnsi="Arial"/>
          <w:sz w:val="18"/>
          <w:szCs w:val="18"/>
          <w:color w:val="auto"/>
        </w:rPr>
        <w:t>— Certain of the Company’s debt obligations are subject to loan covenants and event of default provisions. See Note 6</w:t>
      </w:r>
      <w:r>
        <w:rPr>
          <w:rFonts w:ascii="Arial" w:cs="Arial" w:eastAsia="Arial" w:hAnsi="Arial"/>
          <w:sz w:val="18"/>
          <w:szCs w:val="18"/>
          <w:b w:val="1"/>
          <w:bCs w:val="1"/>
          <w:color w:val="auto"/>
        </w:rPr>
        <w:t xml:space="preserve"> </w:t>
      </w:r>
      <w:r>
        <w:rPr>
          <w:rFonts w:ascii="Arial" w:cs="Arial" w:eastAsia="Arial" w:hAnsi="Arial"/>
          <w:sz w:val="18"/>
          <w:szCs w:val="18"/>
          <w:color w:val="auto"/>
        </w:rPr>
        <w:t>for further discussion of the Company’s debt obligations.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Loan Purchase and Servicing Commitments </w:t>
      </w:r>
      <w:r>
        <w:rPr>
          <w:rFonts w:ascii="Arial" w:cs="Arial" w:eastAsia="Arial" w:hAnsi="Arial"/>
          <w:sz w:val="18"/>
          <w:szCs w:val="18"/>
          <w:color w:val="auto"/>
        </w:rPr>
        <w:t>— The Company enters into agreements with various loan origination partners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and service the loans they originate through the Technology Offering. At December 31, 2024 and 2023, purchase commitments totaled $142.2 million and $25.6 million loan origination partners, respectively. The Company does not record an asset or liability for servicing commitments since it expects such commitments to benefit the Company, but the Company has not yet taken control of the underlying loans.</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Loan Funding Obligations </w:t>
      </w:r>
      <w:r>
        <w:rPr>
          <w:rFonts w:ascii="Arial" w:cs="Arial" w:eastAsia="Arial" w:hAnsi="Arial"/>
          <w:sz w:val="18"/>
          <w:szCs w:val="18"/>
          <w:color w:val="auto"/>
        </w:rPr>
        <w:t>— The HELOC loans that the Company originates or purchases include terms that permit borrowers to draw</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or redraw previously repaid amounts, during a 5-year period after the original origination date. At December 31, 2024 and 2023, borrowers were able to borrow up to $29.1 million and $37.7 million on undrawn HELOC loans that the Company committed to fund.</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Loan Repurchase Obligations </w:t>
      </w:r>
      <w:r>
        <w:rPr>
          <w:rFonts w:ascii="Arial" w:cs="Arial" w:eastAsia="Arial" w:hAnsi="Arial"/>
          <w:sz w:val="18"/>
          <w:szCs w:val="18"/>
          <w:color w:val="auto"/>
        </w:rPr>
        <w:t>— The Company has contractual agreements with certain loan buyers to repurchase or substitute loans</w:t>
      </w:r>
      <w:r>
        <w:rPr>
          <w:rFonts w:ascii="Arial" w:cs="Arial" w:eastAsia="Arial" w:hAnsi="Arial"/>
          <w:sz w:val="18"/>
          <w:szCs w:val="18"/>
          <w:b w:val="1"/>
          <w:bCs w:val="1"/>
          <w:color w:val="auto"/>
        </w:rPr>
        <w:t xml:space="preserve"> </w:t>
      </w:r>
      <w:r>
        <w:rPr>
          <w:rFonts w:ascii="Arial" w:cs="Arial" w:eastAsia="Arial" w:hAnsi="Arial"/>
          <w:sz w:val="18"/>
          <w:szCs w:val="18"/>
          <w:color w:val="auto"/>
        </w:rPr>
        <w:t>where a borrower misses a payment within 30 days since the loan’s origination, though the Company indemnifies the loan buyer against future losses on such loans in certain cases. The Company generally continues to service the defaulting loan through a third-party subservicer and recognizes a loss to the extent the contractual repurchase price of the loan exceeds the estimated fair value on the repurchase date, further adjusted upon resale of the loan, if applicable. For the years ended December 31, 2024 and 2023, the Company repurchased loans for which it recognized losses of $8.2 million and $10.1 million within Other Expense in the Combined Consolidated Statements of Operations, respectively. At December 31, 2024, the Company has contingent commitments to repurchase loans with an aggregate UPB of up to $698.1 million for which the Company recorded repurchase obligations totaling $13.8 million within Payables to third-party loan owners. In addition, the Company recorded a reserve of $6.0 million within Other current liabilities in the Combined Consolidated Balance Sheets, based on the Company’s estimate of expected future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229" w:right="3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Securitization Reserve Account Funding Obligations </w:t>
      </w:r>
      <w:r>
        <w:rPr>
          <w:rFonts w:ascii="Arial" w:cs="Arial" w:eastAsia="Arial" w:hAnsi="Arial"/>
          <w:sz w:val="18"/>
          <w:szCs w:val="18"/>
          <w:color w:val="auto"/>
        </w:rPr>
        <w:t>— The Company, in its capacity as servicer of certain securitizations, has</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fund, and replenish, customary 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has non-cancellable leases on office spaces expiring through 2026, that is does not sublease. Rent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years ended December 31, 2024 and 2023 totaled $2.8 million and $2.9 million, respectively. The Company has leases that include renewal options, leasehold improvement incentives, and escalation clauses. As of December 31, 2024, the Company has not considered such renewal provisions in the determination of the lease term, as it is not reasonably certain these options will be exercised. The terms of the leases do not impose any financial restrictions or covenants. Operating lease ROU assets of $2.5 million and lease liabilities of $2.8 million are presented as part of Other Assets and Other Liabilities, respectively, on the Combined Consolidated Balance Sheets.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Future undiscounted, minimum lease payments for the Company’s non-cancellable operating leases at December 31, 2024,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Amount</w:t>
            </w:r>
          </w:p>
        </w:tc>
      </w:tr>
      <w:tr>
        <w:trPr>
          <w:trHeight w:val="224"/>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2026</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undiscounted lease payments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r>
      <w:tr>
        <w:trPr>
          <w:trHeight w:val="230"/>
        </w:trPr>
        <w:tc>
          <w:tcPr>
            <w:tcW w:w="9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At December 31, 2024 and 2023, the weighted average remaining lease term for operating leases was 1.2 years and 2.1 years, respectively, and the weighted average discount rate was 2.0% and 1.9%, respectively. The Company paid $3.0 million and $2.9 million in cash included in the measurement of lease liabilities,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229"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320"/>
        <w:spacing w:after="0"/>
        <w:rPr>
          <w:sz w:val="20"/>
          <w:szCs w:val="20"/>
          <w:color w:val="auto"/>
        </w:rPr>
      </w:pPr>
      <w:r>
        <w:rPr>
          <w:rFonts w:ascii="Arial" w:cs="Arial" w:eastAsia="Arial" w:hAnsi="Arial"/>
          <w:sz w:val="17"/>
          <w:szCs w:val="17"/>
          <w:b w:val="1"/>
          <w:bCs w:val="1"/>
          <w:color w:val="auto"/>
        </w:rPr>
        <w:t>NOTE 10 – RELATED PARTY TRANSACTIONS</w:t>
      </w:r>
    </w:p>
    <w:p>
      <w:pPr>
        <w:spacing w:after="0" w:line="185" w:lineRule="exact"/>
        <w:rPr>
          <w:sz w:val="20"/>
          <w:szCs w:val="20"/>
          <w:color w:val="auto"/>
        </w:rPr>
      </w:pPr>
    </w:p>
    <w:p>
      <w:pPr>
        <w:jc w:val="center"/>
        <w:ind w:right="7300"/>
        <w:spacing w:after="0"/>
        <w:rPr>
          <w:sz w:val="20"/>
          <w:szCs w:val="20"/>
          <w:color w:val="auto"/>
        </w:rPr>
      </w:pPr>
      <w:r>
        <w:rPr>
          <w:rFonts w:ascii="Arial" w:cs="Arial" w:eastAsia="Arial" w:hAnsi="Arial"/>
          <w:sz w:val="18"/>
          <w:szCs w:val="18"/>
          <w:b w:val="1"/>
          <w:bCs w:val="1"/>
          <w:i w:val="1"/>
          <w:iCs w:val="1"/>
          <w:color w:val="auto"/>
        </w:rPr>
        <w:t>Transactions with Controlled Affiliates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entered into arrangements with entities also controlled, or significantly influenced, by the Controlling Party or other affiliates of the Company.</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Provenance Foundation</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July 2022, FT entered into a non-interest bearing term note with the Provenance Foundation, pursuant to which the FT provided the Provenance Foundation with a loan for a total principal amount of $5.0 million. On June 12, 2023, the term note was amended and restated, pursuant to which the total principal amount of the loan was increased to $9.1 million. The term note is held by Markets and is eligible to be settled in full payment or contribution of equivalent value of Hash Tokens. At December 31, 2024 and 2023 the outstanding principal of the loan was $ 9.1 million and $7.3 million, respectively. Interest accrued on the note for the years ended December 31, 2024 and 2023 is $0.8 million and $0.5 million, respectively.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Reflow</w:t>
      </w:r>
    </w:p>
    <w:p>
      <w:pPr>
        <w:spacing w:after="0" w:line="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holds a 17.3% interest in Reflow, an SEC-registered investment adviser. The interest was contributed to the Company by the Controlling Party. During the years ended December 31, 2024 and 2023, the Company received distributed profits of $0.9 million and $0.5 million recorded in Other Assets on the Combined Consolidated Balance Sheets respectively. Specified support services are performed pursuant to terms outlined in a shared services agreement between the entities. The Company recorded receivables of $0.3 million at December 31, 2023. Receivables at December 31, 2024 were immaterial.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detail on the Company’s investment in Reflow.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Domestic Solana Fund</w:t>
      </w:r>
    </w:p>
    <w:p>
      <w:pPr>
        <w:spacing w:after="0" w:line="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SOL Opportunity Fund L.P. (“Domestic Solana Fund”) was formed on April 23, 2024. As of December 31, 2024 the primary purpose of the Domestic Solana Fund is to make investments in Solana tokens through auctions held through the FTX Trading Ltd. (“FTX”)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detail on the Company’s investment in Domestic Solana Fund.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the Controlling Party</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June 7, 2023, the Company entered into a non-interest bearing term note with the Controlling Party, pursuant to which the Company borrowed the principal amount of $10.0 million in support of a transaction that the Company repaid on June 8, 2023. The Company paid a non-refundable fee of $25,000 to the Controlling Party in connection with the note recorded within Interest Expense in the Combined Consolidated Statements of Operations.</w:t>
      </w:r>
    </w:p>
    <w:p>
      <w:pPr>
        <w:spacing w:after="0" w:line="122"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During the years ended December 31, 2024 and 2023, the Company incurred $0.6 million and $1.0 million in costs to arrange travel for the Controlling Party and other affiliates, respectively.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Investments in Loan Securitizations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retains beneficial interests in loan securitization trusts that it sponsors. See Notes 3 and 8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229"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the assets and liabilities that are measured at fair value on a recurring basis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Fair Value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8"/>
        </w:trPr>
        <w:tc>
          <w:tcPr>
            <w:tcW w:w="4000" w:type="dxa"/>
            <w:vAlign w:val="bottom"/>
          </w:tcPr>
          <w:p>
            <w:pPr>
              <w:spacing w:after="0"/>
              <w:rPr>
                <w:sz w:val="17"/>
                <w:szCs w:val="17"/>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Carrying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60"/>
              <w:spacing w:after="0" w:line="198" w:lineRule="exact"/>
              <w:rPr>
                <w:sz w:val="20"/>
                <w:szCs w:val="20"/>
                <w:color w:val="auto"/>
              </w:rPr>
            </w:pPr>
            <w:r>
              <w:rPr>
                <w:rFonts w:ascii="Arial" w:cs="Arial" w:eastAsia="Arial" w:hAnsi="Arial"/>
                <w:sz w:val="14"/>
                <w:szCs w:val="14"/>
                <w:b w:val="1"/>
                <w:bCs w:val="1"/>
                <w:color w:val="auto"/>
                <w:w w:val="90"/>
              </w:rPr>
              <w:t>Level 3</w:t>
            </w:r>
            <w:r>
              <w:rPr>
                <w:rFonts w:ascii="Arial" w:cs="Arial" w:eastAsia="Arial" w:hAnsi="Arial"/>
                <w:sz w:val="18"/>
                <w:szCs w:val="18"/>
                <w:b w:val="1"/>
                <w:bCs w:val="1"/>
                <w:color w:val="auto"/>
                <w:w w:val="90"/>
                <w:vertAlign w:val="superscript"/>
              </w:rPr>
              <w: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00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287,256</w:t>
            </w:r>
          </w:p>
        </w:tc>
        <w:tc>
          <w:tcPr>
            <w:tcW w:w="1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287,256</w:t>
            </w:r>
          </w:p>
        </w:tc>
      </w:tr>
      <w:tr>
        <w:trPr>
          <w:trHeight w:val="230"/>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57,777</w:t>
            </w:r>
          </w:p>
        </w:tc>
      </w:tr>
      <w:tr>
        <w:trPr>
          <w:trHeight w:val="229"/>
        </w:trPr>
        <w:tc>
          <w:tcPr>
            <w:tcW w:w="4000" w:type="dxa"/>
            <w:vAlign w:val="bottom"/>
          </w:tcPr>
          <w:p>
            <w:pPr>
              <w:ind w:left="460"/>
              <w:spacing w:after="0" w:line="230" w:lineRule="exact"/>
              <w:rPr>
                <w:sz w:val="20"/>
                <w:szCs w:val="20"/>
                <w:color w:val="auto"/>
              </w:rPr>
            </w:pPr>
            <w:r>
              <w:rPr>
                <w:rFonts w:ascii="Arial" w:cs="Arial" w:eastAsia="Arial" w:hAnsi="Arial"/>
                <w:sz w:val="18"/>
                <w:szCs w:val="18"/>
                <w:color w:val="auto"/>
              </w:rPr>
              <w:t>Digital assets</w:t>
            </w:r>
            <w:r>
              <w:rPr>
                <w:rFonts w:ascii="Arial" w:cs="Arial" w:eastAsia="Arial" w:hAnsi="Arial"/>
                <w:sz w:val="23"/>
                <w:szCs w:val="23"/>
                <w:color w:val="auto"/>
                <w:vertAlign w:val="superscript"/>
              </w:rPr>
              <w:t>(B)</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86,036</w:t>
            </w:r>
          </w:p>
        </w:tc>
      </w:tr>
      <w:tr>
        <w:trPr>
          <w:trHeight w:val="229"/>
        </w:trPr>
        <w:tc>
          <w:tcPr>
            <w:tcW w:w="40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Distressed asset claims</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r>
      <w:tr>
        <w:trPr>
          <w:trHeight w:val="230"/>
        </w:trPr>
        <w:tc>
          <w:tcPr>
            <w:tcW w:w="4000" w:type="dxa"/>
            <w:vAlign w:val="bottom"/>
          </w:tcPr>
          <w:p>
            <w:pPr>
              <w:ind w:left="460"/>
              <w:spacing w:after="0" w:line="230" w:lineRule="exact"/>
              <w:rPr>
                <w:sz w:val="20"/>
                <w:szCs w:val="20"/>
                <w:color w:val="auto"/>
              </w:rPr>
            </w:pPr>
            <w:r>
              <w:rPr>
                <w:rFonts w:ascii="Arial" w:cs="Arial" w:eastAsia="Arial" w:hAnsi="Arial"/>
                <w:sz w:val="18"/>
                <w:szCs w:val="18"/>
                <w:color w:val="auto"/>
              </w:rPr>
              <w:t>Marketable securities, at fair value</w:t>
            </w:r>
            <w:r>
              <w:rPr>
                <w:rFonts w:ascii="Arial" w:cs="Arial" w:eastAsia="Arial" w:hAnsi="Arial"/>
                <w:sz w:val="23"/>
                <w:szCs w:val="23"/>
                <w:color w:val="auto"/>
                <w:vertAlign w:val="superscript"/>
              </w:rPr>
              <w:t>(D)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163,489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128,983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163,489</w:t>
            </w:r>
          </w:p>
        </w:tc>
      </w:tr>
      <w:tr>
        <w:trPr>
          <w:trHeight w:val="229"/>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Loans held for sale, at fair value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395,922</w:t>
            </w:r>
          </w:p>
        </w:tc>
      </w:tr>
      <w:tr>
        <w:trPr>
          <w:trHeight w:val="230"/>
        </w:trPr>
        <w:tc>
          <w:tcPr>
            <w:tcW w:w="4000" w:type="dxa"/>
            <w:vAlign w:val="bottom"/>
          </w:tcPr>
          <w:p>
            <w:pPr>
              <w:ind w:left="460"/>
              <w:spacing w:after="0"/>
              <w:rPr>
                <w:sz w:val="20"/>
                <w:szCs w:val="20"/>
                <w:color w:val="auto"/>
              </w:rPr>
            </w:pPr>
            <w:r>
              <w:rPr>
                <w:rFonts w:ascii="Arial" w:cs="Arial" w:eastAsia="Arial" w:hAnsi="Arial"/>
                <w:sz w:val="18"/>
                <w:szCs w:val="18"/>
                <w:color w:val="auto"/>
              </w:rPr>
              <w:t>Loan servicing assets, at fair value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88,497</w:t>
            </w:r>
          </w:p>
        </w:tc>
      </w:tr>
      <w:tr>
        <w:trPr>
          <w:trHeight w:val="248"/>
        </w:trPr>
        <w:tc>
          <w:tcPr>
            <w:tcW w:w="4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1,086,565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000" w:type="dxa"/>
            <w:vAlign w:val="bottom"/>
          </w:tcPr>
          <w:p>
            <w:pPr>
              <w:ind w:left="240"/>
              <w:spacing w:after="0" w:line="230" w:lineRule="exact"/>
              <w:rPr>
                <w:sz w:val="20"/>
                <w:szCs w:val="20"/>
                <w:color w:val="auto"/>
              </w:rPr>
            </w:pPr>
            <w:r>
              <w:rPr>
                <w:rFonts w:ascii="Arial" w:cs="Arial" w:eastAsia="Arial" w:hAnsi="Arial"/>
                <w:sz w:val="18"/>
                <w:szCs w:val="18"/>
                <w:color w:val="auto"/>
              </w:rPr>
              <w:t>Digital asset collateral repayment obligation</w:t>
            </w:r>
            <w:r>
              <w:rPr>
                <w:rFonts w:ascii="Arial" w:cs="Arial" w:eastAsia="Arial" w:hAnsi="Arial"/>
                <w:sz w:val="23"/>
                <w:szCs w:val="23"/>
                <w:color w:val="auto"/>
                <w:vertAlign w:val="superscript"/>
              </w:rPr>
              <w:t>(E)</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64,447</w:t>
            </w:r>
          </w:p>
        </w:tc>
        <w:tc>
          <w:tcPr>
            <w:tcW w:w="10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64,447</w:t>
            </w:r>
          </w:p>
        </w:tc>
      </w:tr>
      <w:tr>
        <w:trPr>
          <w:trHeight w:val="248"/>
        </w:trPr>
        <w:tc>
          <w:tcPr>
            <w:tcW w:w="4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64,447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5"/>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8"/>
        </w:trPr>
        <w:tc>
          <w:tcPr>
            <w:tcW w:w="40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Carrying Value</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340"/>
              <w:spacing w:after="0" w:line="198" w:lineRule="exact"/>
              <w:rPr>
                <w:sz w:val="20"/>
                <w:szCs w:val="20"/>
                <w:color w:val="auto"/>
              </w:rPr>
            </w:pPr>
            <w:r>
              <w:rPr>
                <w:rFonts w:ascii="Arial" w:cs="Arial" w:eastAsia="Arial" w:hAnsi="Arial"/>
                <w:sz w:val="14"/>
                <w:szCs w:val="14"/>
                <w:b w:val="1"/>
                <w:bCs w:val="1"/>
                <w:color w:val="auto"/>
              </w:rPr>
              <w:t>Level 3</w:t>
            </w:r>
            <w:r>
              <w:rPr>
                <w:rFonts w:ascii="Arial" w:cs="Arial" w:eastAsia="Arial" w:hAnsi="Arial"/>
                <w:sz w:val="18"/>
                <w:szCs w:val="18"/>
                <w:b w:val="1"/>
                <w:bCs w:val="1"/>
                <w:color w:val="auto"/>
                <w:vertAlign w:val="superscript"/>
              </w:rPr>
              <w:t>(A)</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000" w:type="dxa"/>
            <w:vAlign w:val="bottom"/>
          </w:tcPr>
          <w:p>
            <w:pPr>
              <w:ind w:left="4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116,548</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116,548</w:t>
            </w:r>
          </w:p>
        </w:tc>
        <w:tc>
          <w:tcPr>
            <w:tcW w:w="3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116,548</w:t>
            </w:r>
          </w:p>
        </w:tc>
      </w:tr>
      <w:tr>
        <w:trPr>
          <w:trHeight w:val="230"/>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59,232</w:t>
            </w:r>
          </w:p>
        </w:tc>
      </w:tr>
      <w:tr>
        <w:trPr>
          <w:trHeight w:val="229"/>
        </w:trPr>
        <w:tc>
          <w:tcPr>
            <w:tcW w:w="4000" w:type="dxa"/>
            <w:vAlign w:val="bottom"/>
          </w:tcPr>
          <w:p>
            <w:pPr>
              <w:ind w:left="460"/>
              <w:spacing w:after="0"/>
              <w:rPr>
                <w:sz w:val="20"/>
                <w:szCs w:val="20"/>
                <w:color w:val="auto"/>
              </w:rPr>
            </w:pPr>
            <w:r>
              <w:rPr>
                <w:rFonts w:ascii="Arial" w:cs="Arial" w:eastAsia="Arial" w:hAnsi="Arial"/>
                <w:sz w:val="18"/>
                <w:szCs w:val="18"/>
                <w:color w:val="auto"/>
              </w:rPr>
              <w:t>Digital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5,865</w:t>
            </w:r>
          </w:p>
        </w:tc>
      </w:tr>
      <w:tr>
        <w:trPr>
          <w:trHeight w:val="230"/>
        </w:trPr>
        <w:tc>
          <w:tcPr>
            <w:tcW w:w="40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Marketable securities, at fair value</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37,066</w:t>
            </w:r>
          </w:p>
        </w:tc>
      </w:tr>
      <w:tr>
        <w:trPr>
          <w:trHeight w:val="230"/>
        </w:trPr>
        <w:tc>
          <w:tcPr>
            <w:tcW w:w="4000" w:type="dxa"/>
            <w:vAlign w:val="bottom"/>
          </w:tcPr>
          <w:p>
            <w:pPr>
              <w:ind w:left="460"/>
              <w:spacing w:after="0"/>
              <w:rPr>
                <w:sz w:val="20"/>
                <w:szCs w:val="20"/>
                <w:color w:val="auto"/>
              </w:rPr>
            </w:pPr>
            <w:r>
              <w:rPr>
                <w:rFonts w:ascii="Arial" w:cs="Arial" w:eastAsia="Arial" w:hAnsi="Arial"/>
                <w:sz w:val="18"/>
                <w:szCs w:val="18"/>
                <w:color w:val="auto"/>
              </w:rPr>
              <w:t>Loans held for sale, at fair value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255,516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255,516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255,516</w:t>
            </w:r>
          </w:p>
        </w:tc>
      </w:tr>
      <w:tr>
        <w:trPr>
          <w:trHeight w:val="230"/>
        </w:trPr>
        <w:tc>
          <w:tcPr>
            <w:tcW w:w="4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Loan held for investment, at fair value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w:t>
            </w:r>
          </w:p>
        </w:tc>
      </w:tr>
      <w:tr>
        <w:trPr>
          <w:trHeight w:val="229"/>
        </w:trPr>
        <w:tc>
          <w:tcPr>
            <w:tcW w:w="4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Loan servicing assets, at fair value</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55,860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55,860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55,860</w:t>
            </w:r>
          </w:p>
        </w:tc>
      </w:tr>
      <w:tr>
        <w:trPr>
          <w:trHeight w:val="248"/>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591,424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181,645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24,318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385,461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591,424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right="20" w:hanging="332"/>
        <w:spacing w:after="0" w:line="249"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See Notes 4 and 5 regarding changes in the carrying values of servicing assets and loans, respectively. There were no transfers of Level 3 instruments to, or from, other fair value levels during the periods presented.</w:t>
      </w:r>
    </w:p>
    <w:p>
      <w:pPr>
        <w:ind w:left="340" w:hanging="332"/>
        <w:spacing w:after="0" w:line="255"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Included in Digital Assets on the Combined Consolidated Balance Sheets and represents digital assets held for sale at fair value and excludes digital assets held at cost that are considered intangible assets.</w:t>
      </w:r>
    </w:p>
    <w:p>
      <w:pPr>
        <w:ind w:left="320" w:hanging="312"/>
        <w:spacing w:after="0"/>
        <w:tabs>
          <w:tab w:leader="none" w:pos="3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Included in Other Assets on the Combined Consolidated Balance Sheets.</w:t>
      </w:r>
    </w:p>
    <w:p>
      <w:pPr>
        <w:spacing w:after="0" w:line="14" w:lineRule="exact"/>
        <w:rPr>
          <w:rFonts w:ascii="Arial" w:cs="Arial" w:eastAsia="Arial" w:hAnsi="Arial"/>
          <w:sz w:val="16"/>
          <w:szCs w:val="16"/>
          <w:color w:val="auto"/>
        </w:rPr>
      </w:pPr>
    </w:p>
    <w:p>
      <w:pPr>
        <w:ind w:left="340" w:right="20" w:hanging="332"/>
        <w:spacing w:after="0" w:line="249" w:lineRule="auto"/>
        <w:tabs>
          <w:tab w:leader="none" w:pos="33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Residual interest securities and non-rated securities in securitization not considered debt securities are included within Level 3 of the fair value hierarchy.</w:t>
      </w:r>
    </w:p>
    <w:p>
      <w:pPr>
        <w:spacing w:after="0" w:line="191" w:lineRule="exact"/>
        <w:rPr>
          <w:rFonts w:ascii="Arial" w:cs="Arial" w:eastAsia="Arial" w:hAnsi="Arial"/>
          <w:sz w:val="16"/>
          <w:szCs w:val="16"/>
          <w:color w:val="auto"/>
        </w:rPr>
      </w:pPr>
    </w:p>
    <w:p>
      <w:pPr>
        <w:ind w:left="340" w:hanging="332"/>
        <w:spacing w:after="0"/>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Included in Other Liabilities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229"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Significant Valuation Inputs</w:t>
      </w:r>
    </w:p>
    <w:p>
      <w:pPr>
        <w:spacing w:after="0" w:line="27"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color w:val="auto"/>
        </w:rPr>
        <w:t>The Company used the following unobservable inputs that it considers significant to value the financial assets and liabilities carried at fair value and classified within Level 3 of the fair value hierarchy: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ind w:left="760"/>
              <w:spacing w:after="0"/>
              <w:rPr>
                <w:sz w:val="20"/>
                <w:szCs w:val="20"/>
                <w:color w:val="auto"/>
              </w:rPr>
            </w:pPr>
            <w:r>
              <w:rPr>
                <w:rFonts w:ascii="Arial" w:cs="Arial" w:eastAsia="Arial" w:hAnsi="Arial"/>
                <w:sz w:val="11"/>
                <w:szCs w:val="11"/>
                <w:b w:val="1"/>
                <w:bCs w:val="1"/>
                <w:color w:val="auto"/>
              </w:rPr>
              <w:t>December 31, 2024</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7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Discount Rate</w:t>
            </w:r>
            <w:r>
              <w:rPr>
                <w:rFonts w:ascii="Arial" w:cs="Arial" w:eastAsia="Arial" w:hAnsi="Arial"/>
                <w:sz w:val="14"/>
                <w:szCs w:val="14"/>
                <w:b w:val="1"/>
                <w:bCs w:val="1"/>
                <w:color w:val="auto"/>
                <w:vertAlign w:val="superscript"/>
              </w:rPr>
              <w:t>(A)</w:t>
            </w:r>
            <w:r>
              <w:rPr>
                <w:rFonts w:ascii="Arial" w:cs="Arial" w:eastAsia="Arial" w:hAnsi="Arial"/>
                <w:sz w:val="11"/>
                <w:szCs w:val="11"/>
                <w:b w:val="1"/>
                <w:bCs w:val="1"/>
                <w:color w:val="auto"/>
              </w:rPr>
              <w:t xml:space="preserve"> (%)</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CPR</w:t>
            </w:r>
            <w:r>
              <w:rPr>
                <w:rFonts w:ascii="Arial" w:cs="Arial" w:eastAsia="Arial" w:hAnsi="Arial"/>
                <w:sz w:val="14"/>
                <w:szCs w:val="14"/>
                <w:b w:val="1"/>
                <w:bCs w:val="1"/>
                <w:color w:val="auto"/>
                <w:vertAlign w:val="superscript"/>
              </w:rPr>
              <w:t>(B)</w:t>
            </w:r>
            <w:r>
              <w:rPr>
                <w:rFonts w:ascii="Arial" w:cs="Arial" w:eastAsia="Arial" w:hAnsi="Arial"/>
                <w:sz w:val="11"/>
                <w:szCs w:val="11"/>
                <w:b w:val="1"/>
                <w:bCs w:val="1"/>
                <w:color w:val="auto"/>
              </w:rPr>
              <w:t xml:space="preserve"> (%)</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CDR</w:t>
            </w:r>
            <w:r>
              <w:rPr>
                <w:rFonts w:ascii="Arial" w:cs="Arial" w:eastAsia="Arial" w:hAnsi="Arial"/>
                <w:sz w:val="14"/>
                <w:szCs w:val="14"/>
                <w:b w:val="1"/>
                <w:bCs w:val="1"/>
                <w:color w:val="auto"/>
                <w:vertAlign w:val="superscript"/>
              </w:rPr>
              <w:t>(C)</w:t>
            </w:r>
            <w:r>
              <w:rPr>
                <w:rFonts w:ascii="Arial" w:cs="Arial" w:eastAsia="Arial" w:hAnsi="Arial"/>
                <w:sz w:val="11"/>
                <w:szCs w:val="11"/>
                <w:b w:val="1"/>
                <w:bCs w:val="1"/>
                <w:color w:val="auto"/>
              </w:rPr>
              <w:t xml:space="preserve"> (%)</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Servicing Rate</w:t>
            </w:r>
            <w:r>
              <w:rPr>
                <w:rFonts w:ascii="Arial" w:cs="Arial" w:eastAsia="Arial" w:hAnsi="Arial"/>
                <w:sz w:val="14"/>
                <w:szCs w:val="14"/>
                <w:b w:val="1"/>
                <w:bCs w:val="1"/>
                <w:color w:val="auto"/>
                <w:w w:val="94"/>
                <w:vertAlign w:val="superscript"/>
              </w:rPr>
              <w:t>(D)</w:t>
            </w:r>
            <w:r>
              <w:rPr>
                <w:rFonts w:ascii="Arial" w:cs="Arial" w:eastAsia="Arial" w:hAnsi="Arial"/>
                <w:sz w:val="11"/>
                <w:szCs w:val="11"/>
                <w:b w:val="1"/>
                <w:bCs w:val="1"/>
                <w:color w:val="auto"/>
                <w:w w:val="94"/>
              </w:rPr>
              <w:t xml:space="preserve"> (%)</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5"/>
              </w:rPr>
              <w:t>Loss Severity</w:t>
            </w:r>
            <w:r>
              <w:rPr>
                <w:rFonts w:ascii="Arial" w:cs="Arial" w:eastAsia="Arial" w:hAnsi="Arial"/>
                <w:sz w:val="14"/>
                <w:szCs w:val="14"/>
                <w:b w:val="1"/>
                <w:bCs w:val="1"/>
                <w:color w:val="auto"/>
                <w:w w:val="95"/>
                <w:vertAlign w:val="superscript"/>
              </w:rPr>
              <w:t>(E)</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Residual interest securities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34,506</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14.5% - 24.0%</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15.2% - 20.1%</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1.5% - 1.7%</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gridSpan w:val="2"/>
          </w:tcPr>
          <w:p>
            <w:pPr>
              <w:jc w:val="center"/>
              <w:ind w:left="28"/>
              <w:spacing w:after="0" w:line="158"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17.7%</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Servicing Assets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86,465</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13.0% - 13.0%</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1.0% - 33.0%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0.0% - 4.4%</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460"/>
              <w:spacing w:after="0" w:line="153" w:lineRule="exact"/>
              <w:rPr>
                <w:sz w:val="20"/>
                <w:szCs w:val="20"/>
                <w:color w:val="auto"/>
              </w:rPr>
            </w:pPr>
            <w:r>
              <w:rPr>
                <w:rFonts w:ascii="Arial" w:cs="Arial" w:eastAsia="Arial" w:hAnsi="Arial"/>
                <w:sz w:val="14"/>
                <w:szCs w:val="14"/>
                <w:color w:val="auto"/>
              </w:rPr>
              <w:t>Mortgage loans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2,032</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10.0% - 11.0%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3.9% - 8.2%</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0.0% - 1.0%</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n.m.</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40"/>
              <w:spacing w:after="0" w:line="196"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88,497</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b w:val="1"/>
                <w:bCs w:val="1"/>
                <w:color w:val="auto"/>
              </w:rPr>
              <w:t>Loans Held for Sale</w:t>
            </w:r>
            <w:r>
              <w:rPr>
                <w:rFonts w:ascii="Arial" w:cs="Arial" w:eastAsia="Arial" w:hAnsi="Arial"/>
                <w:sz w:val="18"/>
                <w:szCs w:val="18"/>
                <w:b w:val="1"/>
                <w:bCs w:val="1"/>
                <w:color w:val="auto"/>
                <w:vertAlign w:val="superscript"/>
              </w:rPr>
              <w:t>(G)</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366,154</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6.4% - 10.1%</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1.3% - 32.4%</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1.5% - 1.7%</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16.6% - 44.2%</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460"/>
              <w:spacing w:after="0" w:line="153"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3,829</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5.1% - 8.7%</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17.9% - 99.7%</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0.4% - 10.2%</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88.0% - 92.0%</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9"/>
        </w:trPr>
        <w:tc>
          <w:tcPr>
            <w:tcW w:w="3560" w:type="dxa"/>
            <w:vAlign w:val="bottom"/>
          </w:tcPr>
          <w:p>
            <w:pPr>
              <w:ind w:left="240"/>
              <w:spacing w:after="0" w:line="169"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369,983</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4"/>
            <w:vMerge w:val="restart"/>
          </w:tcPr>
          <w:p>
            <w:pPr>
              <w:ind w:left="760"/>
              <w:spacing w:after="0"/>
              <w:rPr>
                <w:sz w:val="20"/>
                <w:szCs w:val="20"/>
                <w:color w:val="auto"/>
              </w:rPr>
            </w:pPr>
            <w:r>
              <w:rPr>
                <w:rFonts w:ascii="Arial" w:cs="Arial" w:eastAsia="Arial" w:hAnsi="Arial"/>
                <w:sz w:val="11"/>
                <w:szCs w:val="11"/>
                <w:b w:val="1"/>
                <w:bCs w:val="1"/>
                <w:color w:val="auto"/>
              </w:rPr>
              <w:t>December 31, 2023</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3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7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Discount Rate</w:t>
            </w:r>
            <w:r>
              <w:rPr>
                <w:rFonts w:ascii="Arial" w:cs="Arial" w:eastAsia="Arial" w:hAnsi="Arial"/>
                <w:sz w:val="14"/>
                <w:szCs w:val="14"/>
                <w:b w:val="1"/>
                <w:bCs w:val="1"/>
                <w:color w:val="auto"/>
                <w:vertAlign w:val="superscript"/>
              </w:rPr>
              <w:t>(A)</w:t>
            </w:r>
            <w:r>
              <w:rPr>
                <w:rFonts w:ascii="Arial" w:cs="Arial" w:eastAsia="Arial" w:hAnsi="Arial"/>
                <w:sz w:val="11"/>
                <w:szCs w:val="11"/>
                <w:b w:val="1"/>
                <w:bCs w:val="1"/>
                <w:color w:val="auto"/>
              </w:rPr>
              <w:t xml:space="preserve"> (%)</w:t>
            </w:r>
          </w:p>
        </w:tc>
        <w:tc>
          <w:tcPr>
            <w:tcW w:w="1280" w:type="dxa"/>
            <w:vAlign w:val="bottom"/>
            <w:gridSpan w:val="2"/>
          </w:tcPr>
          <w:p>
            <w:pPr>
              <w:ind w:left="320"/>
              <w:spacing w:after="0"/>
              <w:rPr>
                <w:sz w:val="20"/>
                <w:szCs w:val="20"/>
                <w:color w:val="auto"/>
              </w:rPr>
            </w:pPr>
            <w:r>
              <w:rPr>
                <w:rFonts w:ascii="Arial" w:cs="Arial" w:eastAsia="Arial" w:hAnsi="Arial"/>
                <w:sz w:val="11"/>
                <w:szCs w:val="11"/>
                <w:b w:val="1"/>
                <w:bCs w:val="1"/>
                <w:color w:val="auto"/>
              </w:rPr>
              <w:t>CPR</w:t>
            </w:r>
            <w:r>
              <w:rPr>
                <w:rFonts w:ascii="Arial" w:cs="Arial" w:eastAsia="Arial" w:hAnsi="Arial"/>
                <w:sz w:val="14"/>
                <w:szCs w:val="14"/>
                <w:b w:val="1"/>
                <w:bCs w:val="1"/>
                <w:color w:val="auto"/>
                <w:vertAlign w:val="superscript"/>
              </w:rPr>
              <w:t>(B)</w:t>
            </w:r>
            <w:r>
              <w:rPr>
                <w:rFonts w:ascii="Arial" w:cs="Arial" w:eastAsia="Arial" w:hAnsi="Arial"/>
                <w:sz w:val="11"/>
                <w:szCs w:val="11"/>
                <w:b w:val="1"/>
                <w:bCs w:val="1"/>
                <w:color w:val="auto"/>
              </w:rPr>
              <w:t xml:space="preserve"> (%)</w:t>
            </w:r>
          </w:p>
        </w:tc>
        <w:tc>
          <w:tcPr>
            <w:tcW w:w="1300" w:type="dxa"/>
            <w:vAlign w:val="bottom"/>
            <w:gridSpan w:val="2"/>
          </w:tcPr>
          <w:p>
            <w:pPr>
              <w:ind w:left="340"/>
              <w:spacing w:after="0"/>
              <w:rPr>
                <w:sz w:val="20"/>
                <w:szCs w:val="20"/>
                <w:color w:val="auto"/>
              </w:rPr>
            </w:pPr>
            <w:r>
              <w:rPr>
                <w:rFonts w:ascii="Arial" w:cs="Arial" w:eastAsia="Arial" w:hAnsi="Arial"/>
                <w:sz w:val="11"/>
                <w:szCs w:val="11"/>
                <w:b w:val="1"/>
                <w:bCs w:val="1"/>
                <w:color w:val="auto"/>
              </w:rPr>
              <w:t>CDR</w:t>
            </w:r>
            <w:r>
              <w:rPr>
                <w:rFonts w:ascii="Arial" w:cs="Arial" w:eastAsia="Arial" w:hAnsi="Arial"/>
                <w:sz w:val="14"/>
                <w:szCs w:val="14"/>
                <w:b w:val="1"/>
                <w:bCs w:val="1"/>
                <w:color w:val="auto"/>
                <w:vertAlign w:val="superscript"/>
              </w:rPr>
              <w:t>(C)</w:t>
            </w:r>
            <w:r>
              <w:rPr>
                <w:rFonts w:ascii="Arial" w:cs="Arial" w:eastAsia="Arial" w:hAnsi="Arial"/>
                <w:sz w:val="11"/>
                <w:szCs w:val="11"/>
                <w:b w:val="1"/>
                <w:bCs w:val="1"/>
                <w:color w:val="auto"/>
              </w:rPr>
              <w:t xml:space="preserve"> (%)</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Servicing Rate</w:t>
            </w:r>
            <w:r>
              <w:rPr>
                <w:rFonts w:ascii="Arial" w:cs="Arial" w:eastAsia="Arial" w:hAnsi="Arial"/>
                <w:sz w:val="14"/>
                <w:szCs w:val="14"/>
                <w:b w:val="1"/>
                <w:bCs w:val="1"/>
                <w:color w:val="auto"/>
                <w:w w:val="94"/>
                <w:vertAlign w:val="superscript"/>
              </w:rPr>
              <w:t>(D)</w:t>
            </w:r>
            <w:r>
              <w:rPr>
                <w:rFonts w:ascii="Arial" w:cs="Arial" w:eastAsia="Arial" w:hAnsi="Arial"/>
                <w:sz w:val="11"/>
                <w:szCs w:val="11"/>
                <w:b w:val="1"/>
                <w:bCs w:val="1"/>
                <w:color w:val="auto"/>
                <w:w w:val="94"/>
              </w:rPr>
              <w:t xml:space="preserve"> (%)</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5"/>
              </w:rPr>
              <w:t>Loss Severity</w:t>
            </w:r>
            <w:r>
              <w:rPr>
                <w:rFonts w:ascii="Arial" w:cs="Arial" w:eastAsia="Arial" w:hAnsi="Arial"/>
                <w:sz w:val="14"/>
                <w:szCs w:val="14"/>
                <w:b w:val="1"/>
                <w:bCs w:val="1"/>
                <w:color w:val="auto"/>
                <w:w w:val="95"/>
                <w:vertAlign w:val="superscript"/>
              </w:rPr>
              <w:t>(E)</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Arial" w:cs="Arial" w:eastAsia="Arial" w:hAnsi="Arial"/>
                <w:sz w:val="14"/>
                <w:szCs w:val="14"/>
                <w:color w:val="auto"/>
              </w:rPr>
              <w:t>Residual interest securities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11,952</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21.0% - 21.3%</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13.6% - 30.0%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0.5% - 48.9%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gridSpan w:val="2"/>
          </w:tcPr>
          <w:p>
            <w:pPr>
              <w:jc w:val="center"/>
              <w:ind w:left="28"/>
              <w:spacing w:after="0" w:line="158" w:lineRule="exact"/>
              <w:rPr>
                <w:sz w:val="20"/>
                <w:szCs w:val="20"/>
                <w:color w:val="auto"/>
              </w:rPr>
            </w:pPr>
            <w:r>
              <w:rPr>
                <w:rFonts w:ascii="Arial" w:cs="Arial" w:eastAsia="Arial" w:hAnsi="Arial"/>
                <w:sz w:val="14"/>
                <w:szCs w:val="14"/>
                <w:color w:val="auto"/>
              </w:rPr>
              <w:t>21.2%</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16.7%</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Servicing Assets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53,645</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12.0% - 14.0%</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10.0% - 19.4%</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0.3% - 2.3%</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Mortgage loans</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2,215</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9.0% - 11.0%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4.2% - 7.4%</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0.1% - 0.5%</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n.m.</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40"/>
              <w:spacing w:after="0" w:line="196"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55,860</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shd w:val="clear" w:color="auto" w:fill="CCEEFF"/>
          </w:tcPr>
          <w:p>
            <w:pPr>
              <w:ind w:left="20"/>
              <w:spacing w:after="0" w:line="170" w:lineRule="exact"/>
              <w:rPr>
                <w:sz w:val="20"/>
                <w:szCs w:val="20"/>
                <w:color w:val="auto"/>
              </w:rPr>
            </w:pPr>
            <w:r>
              <w:rPr>
                <w:rFonts w:ascii="Arial" w:cs="Arial" w:eastAsia="Arial" w:hAnsi="Arial"/>
                <w:sz w:val="14"/>
                <w:szCs w:val="14"/>
                <w:b w:val="1"/>
                <w:bCs w:val="1"/>
                <w:color w:val="auto"/>
              </w:rPr>
              <w:t>Loans Held for Sale</w:t>
            </w:r>
            <w:r>
              <w:rPr>
                <w:rFonts w:ascii="Arial" w:cs="Arial" w:eastAsia="Arial" w:hAnsi="Arial"/>
                <w:sz w:val="18"/>
                <w:szCs w:val="18"/>
                <w:b w:val="1"/>
                <w:bCs w:val="1"/>
                <w:color w:val="auto"/>
                <w:vertAlign w:val="superscript"/>
              </w:rPr>
              <w:t>(G)</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24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244,670</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7.6% - 17.7%</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0.4% - 21.0%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0.5% - 48.9%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39.6% - 58.1%</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10,846</w:t>
            </w:r>
          </w:p>
        </w:tc>
        <w:tc>
          <w:tcPr>
            <w:tcW w:w="1300" w:type="dxa"/>
            <w:vAlign w:val="bottom"/>
            <w:gridSpan w:val="2"/>
            <w:shd w:val="clear" w:color="auto" w:fill="CCEEFF"/>
          </w:tcPr>
          <w:p>
            <w:pPr>
              <w:jc w:val="center"/>
              <w:ind w:left="8"/>
              <w:spacing w:after="0" w:line="153" w:lineRule="exact"/>
              <w:rPr>
                <w:sz w:val="20"/>
                <w:szCs w:val="20"/>
                <w:color w:val="auto"/>
              </w:rPr>
            </w:pPr>
            <w:r>
              <w:rPr>
                <w:rFonts w:ascii="Arial" w:cs="Arial" w:eastAsia="Arial" w:hAnsi="Arial"/>
                <w:sz w:val="14"/>
                <w:szCs w:val="14"/>
                <w:color w:val="auto"/>
              </w:rPr>
              <w:t>6.5% - 10.1%</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13.8% - 45.6%</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1.4% - 11.2%</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color w:val="auto"/>
              </w:rPr>
              <w:t>88.0% - 92.0%</w:t>
            </w:r>
          </w:p>
        </w:tc>
        <w:tc>
          <w:tcPr>
            <w:tcW w:w="0" w:type="dxa"/>
            <w:vAlign w:val="bottom"/>
          </w:tcPr>
          <w:p>
            <w:pPr>
              <w:spacing w:after="0"/>
              <w:rPr>
                <w:sz w:val="1"/>
                <w:szCs w:val="1"/>
                <w:color w:val="auto"/>
              </w:rPr>
            </w:pPr>
          </w:p>
        </w:tc>
      </w:tr>
      <w:tr>
        <w:trPr>
          <w:trHeight w:val="185"/>
        </w:trPr>
        <w:tc>
          <w:tcPr>
            <w:tcW w:w="35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3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96"/>
        </w:trPr>
        <w:tc>
          <w:tcPr>
            <w:tcW w:w="3560" w:type="dxa"/>
            <w:vAlign w:val="bottom"/>
          </w:tcPr>
          <w:p>
            <w:pPr>
              <w:ind w:left="240"/>
              <w:spacing w:after="0" w:line="196" w:lineRule="exact"/>
              <w:rPr>
                <w:sz w:val="20"/>
                <w:szCs w:val="20"/>
                <w:color w:val="auto"/>
              </w:rPr>
            </w:pPr>
            <w:r>
              <w:rPr>
                <w:rFonts w:ascii="Arial" w:cs="Arial" w:eastAsia="Arial" w:hAnsi="Arial"/>
                <w:sz w:val="14"/>
                <w:szCs w:val="14"/>
                <w:color w:val="auto"/>
              </w:rPr>
              <w:t>Total / Weighted average</w:t>
            </w:r>
            <w:r>
              <w:rPr>
                <w:rFonts w:ascii="Arial" w:cs="Arial" w:eastAsia="Arial" w:hAnsi="Arial"/>
                <w:sz w:val="18"/>
                <w:szCs w:val="18"/>
                <w:color w:val="auto"/>
                <w:vertAlign w:val="superscript"/>
              </w:rPr>
              <w:t>(F)</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255,516</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0" w:type="dxa"/>
            <w:vAlign w:val="bottom"/>
          </w:tcPr>
          <w:p>
            <w:pPr>
              <w:jc w:val="center"/>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Investment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60" w:type="dxa"/>
            <w:vAlign w:val="bottom"/>
          </w:tcPr>
          <w:p>
            <w:pPr>
              <w:ind w:left="460"/>
              <w:spacing w:after="0" w:line="153" w:lineRule="exact"/>
              <w:rPr>
                <w:sz w:val="20"/>
                <w:szCs w:val="20"/>
                <w:color w:val="auto"/>
              </w:rPr>
            </w:pPr>
            <w:r>
              <w:rPr>
                <w:rFonts w:ascii="Arial" w:cs="Arial" w:eastAsia="Arial" w:hAnsi="Arial"/>
                <w:sz w:val="14"/>
                <w:szCs w:val="14"/>
                <w:color w:val="auto"/>
              </w:rPr>
              <w:t>HELOC loans</w:t>
            </w:r>
          </w:p>
        </w:tc>
        <w:tc>
          <w:tcPr>
            <w:tcW w:w="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auto"/>
              </w:rPr>
              <w:t>61,337</w:t>
            </w:r>
          </w:p>
        </w:tc>
        <w:tc>
          <w:tcPr>
            <w:tcW w:w="1300" w:type="dxa"/>
            <w:vAlign w:val="bottom"/>
            <w:gridSpan w:val="2"/>
          </w:tcPr>
          <w:p>
            <w:pPr>
              <w:jc w:val="center"/>
              <w:ind w:left="8"/>
              <w:spacing w:after="0" w:line="153" w:lineRule="exact"/>
              <w:rPr>
                <w:sz w:val="20"/>
                <w:szCs w:val="20"/>
                <w:color w:val="auto"/>
              </w:rPr>
            </w:pPr>
            <w:r>
              <w:rPr>
                <w:rFonts w:ascii="Arial" w:cs="Arial" w:eastAsia="Arial" w:hAnsi="Arial"/>
                <w:sz w:val="14"/>
                <w:szCs w:val="14"/>
                <w:color w:val="auto"/>
              </w:rPr>
              <w:t>7.7% - 19.5%</w:t>
            </w:r>
          </w:p>
        </w:tc>
        <w:tc>
          <w:tcPr>
            <w:tcW w:w="10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0.3% - 19.0%</w:t>
            </w:r>
          </w:p>
        </w:tc>
        <w:tc>
          <w:tcPr>
            <w:tcW w:w="80" w:type="dxa"/>
            <w:vAlign w:val="bottom"/>
          </w:tcPr>
          <w:p>
            <w:pPr>
              <w:spacing w:after="0"/>
              <w:rPr>
                <w:sz w:val="13"/>
                <w:szCs w:val="13"/>
                <w:color w:val="auto"/>
              </w:rPr>
            </w:pP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0.2% - 63.7%</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color w:val="auto"/>
              </w:rPr>
              <w:t>n.a.</w:t>
            </w:r>
          </w:p>
        </w:tc>
        <w:tc>
          <w:tcPr>
            <w:tcW w:w="1200" w:type="dxa"/>
            <w:vAlign w:val="bottom"/>
          </w:tcPr>
          <w:p>
            <w:pPr>
              <w:jc w:val="center"/>
              <w:spacing w:after="0" w:line="153" w:lineRule="exact"/>
              <w:rPr>
                <w:sz w:val="20"/>
                <w:szCs w:val="20"/>
                <w:color w:val="auto"/>
              </w:rPr>
            </w:pPr>
            <w:r>
              <w:rPr>
                <w:rFonts w:ascii="Arial" w:cs="Arial" w:eastAsia="Arial" w:hAnsi="Arial"/>
                <w:sz w:val="14"/>
                <w:szCs w:val="14"/>
                <w:color w:val="auto"/>
              </w:rPr>
              <w:t>37.6% - 60.0%</w:t>
            </w: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00" w:type="dxa"/>
            <w:vAlign w:val="bottom"/>
            <w:gridSpan w:val="2"/>
          </w:tcPr>
          <w:p>
            <w:pPr>
              <w:jc w:val="center"/>
              <w:ind w:left="28"/>
              <w:spacing w:after="0" w:line="158"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Significant increases (decreases) in the discount rate, in isolation, would result in a significantly lower (higher) fair value measurement.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2"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F-50</w:t>
      </w:r>
    </w:p>
    <w:p>
      <w:pPr>
        <w:sectPr>
          <w:pgSz w:w="11900" w:h="16838" w:orient="portrait"/>
          <w:cols w:equalWidth="0" w:num="1">
            <w:col w:w="11240"/>
          </w:cols>
          <w:pgMar w:left="320" w:top="229" w:right="3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hanging="332"/>
        <w:spacing w:after="0" w:line="263" w:lineRule="auto"/>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Significant increases (decreases) in the CPR, in isolation, would result in a significantly higher (lower) fair value measurement for residual interest securities and loans held for sale or investment, while the inverse is true for servicing assets.</w:t>
      </w:r>
    </w:p>
    <w:p>
      <w:pPr>
        <w:ind w:left="320" w:hanging="312"/>
        <w:spacing w:after="0"/>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Significant increases (decreases) in the CDR, in isolation, would result in a significantly lower (higher) fair value measurement.</w:t>
      </w:r>
    </w:p>
    <w:p>
      <w:pPr>
        <w:spacing w:after="0" w:line="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Significant increases (decreases) in the servicing rate in excess of servicing costs, in isolation, would result in a significantly higher (lower) fair value measurement. Weighted average total mortgage servicing amount, net of subservicing costs.</w:t>
      </w:r>
    </w:p>
    <w:p>
      <w:pPr>
        <w:ind w:left="340" w:hanging="332"/>
        <w:spacing w:after="0"/>
        <w:tabs>
          <w:tab w:leader="none" w:pos="3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Significant increases (decreases) in the severity, in isolation, would result in a significantly lower (higher) fair value measurement.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Unobservable inputs were weighted by respective fair value of each class.</w:t>
      </w:r>
    </w:p>
    <w:p>
      <w:pPr>
        <w:spacing w:after="0" w:line="14" w:lineRule="exact"/>
        <w:rPr>
          <w:rFonts w:ascii="Arial" w:cs="Arial" w:eastAsia="Arial" w:hAnsi="Arial"/>
          <w:sz w:val="16"/>
          <w:szCs w:val="16"/>
          <w:color w:val="auto"/>
        </w:rPr>
      </w:pPr>
    </w:p>
    <w:p>
      <w:pPr>
        <w:jc w:val="both"/>
        <w:ind w:left="340" w:hanging="332"/>
        <w:spacing w:after="0" w:line="260" w:lineRule="auto"/>
        <w:tabs>
          <w:tab w:leader="none" w:pos="33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HELOC loans are measured at estimated fair value using a discounted cash flow valuation methodology, more specifically a residential mortgage cash flow model. Personal loans are measured at estimated fair value using a discounted cash flow valuation methodology, more specifically a loan cash flow model. The Company uses an estimated recovery from collections and recent sales to fair value personal loans that are thirty days past due; the fair value of such loans at December 31, 2024 and 2023 are not material.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Marketable Securities</w:t>
      </w:r>
    </w:p>
    <w:p>
      <w:pPr>
        <w:spacing w:after="0" w:line="2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The following table summarizes activities involving the Company’s marketable securities that are measured at fair value and classified within Level 3 of the fair value hierarchy for the years ended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16,177</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Principal payments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29"/>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(B)</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11,952</w:t>
            </w:r>
          </w:p>
        </w:tc>
      </w:tr>
      <w:tr>
        <w:trPr>
          <w:trHeight w:val="229"/>
        </w:trPr>
        <w:tc>
          <w:tcPr>
            <w:tcW w:w="966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Purchases</w:t>
            </w:r>
            <w:r>
              <w:rPr>
                <w:rFonts w:ascii="Arial" w:cs="Arial" w:eastAsia="Arial" w:hAnsi="Arial"/>
                <w:sz w:val="23"/>
                <w:szCs w:val="23"/>
                <w:color w:val="auto"/>
                <w:vertAlign w:val="superscript"/>
              </w:rPr>
              <w:t>(A)</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Sales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966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Change in fair value</w:t>
            </w:r>
            <w:r>
              <w:rPr>
                <w:rFonts w:ascii="Arial" w:cs="Arial" w:eastAsia="Arial" w:hAnsi="Arial"/>
                <w:sz w:val="23"/>
                <w:szCs w:val="23"/>
                <w:color w:val="auto"/>
                <w:vertAlign w:val="superscript"/>
              </w:rPr>
              <w:t>(B)</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Includes premiums paid on the purchased notes.</w:t>
      </w:r>
    </w:p>
    <w:p>
      <w:pPr>
        <w:spacing w:after="0" w:line="14" w:lineRule="exact"/>
        <w:rPr>
          <w:rFonts w:ascii="Arial" w:cs="Arial" w:eastAsia="Arial" w:hAnsi="Arial"/>
          <w:sz w:val="16"/>
          <w:szCs w:val="16"/>
          <w:color w:val="auto"/>
        </w:rPr>
      </w:pPr>
    </w:p>
    <w:p>
      <w:pPr>
        <w:ind w:left="340" w:hanging="332"/>
        <w:spacing w:after="0"/>
        <w:tabs>
          <w:tab w:leader="none" w:pos="3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Included in Gain on Sale of Loans, Net in the Combined Consolidated Statements of Operations.</w:t>
      </w:r>
    </w:p>
    <w:p>
      <w:pPr>
        <w:spacing w:after="0" w:line="15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Significant Valuation Input Sensitivity</w:t>
      </w:r>
    </w:p>
    <w:p>
      <w:pPr>
        <w:spacing w:after="0" w:line="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following tables summarize the estimated change in fair value of assets carried at fair value and classified within Level 3 of the fair value hierarchy for the unobservable inputs in "— Significant Valuation Inputs" at December 31, 2024.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229"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variations in an assumption generally may not be extrapolated because the relationship of the change in the assumption to the change in fair value may not be linear.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60" w:type="dxa"/>
            <w:vAlign w:val="bottom"/>
          </w:tcPr>
          <w:p>
            <w:pPr>
              <w:spacing w:after="0"/>
              <w:rPr>
                <w:sz w:val="17"/>
                <w:szCs w:val="17"/>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+1%</w:t>
            </w: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w:t>
            </w:r>
          </w:p>
        </w:tc>
        <w:tc>
          <w:tcPr>
            <w:tcW w:w="700" w:type="dxa"/>
            <w:vAlign w:val="bottom"/>
            <w:tcBorders>
              <w:bottom w:val="single" w:sz="8" w:color="auto"/>
            </w:tcBorders>
          </w:tcPr>
          <w:p>
            <w:pPr>
              <w:spacing w:after="0"/>
              <w:rPr>
                <w:sz w:val="17"/>
                <w:szCs w:val="17"/>
                <w:color w:val="auto"/>
              </w:rPr>
            </w:pPr>
          </w:p>
        </w:tc>
      </w:tr>
      <w:tr>
        <w:trPr>
          <w:trHeight w:val="196"/>
        </w:trPr>
        <w:tc>
          <w:tcPr>
            <w:tcW w:w="27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r>
      <w:tr>
        <w:trPr>
          <w:trHeight w:val="21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Discount Rate</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Marketable Securities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interest securities</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1,599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699</w:t>
            </w:r>
          </w:p>
        </w:tc>
        <w:tc>
          <w:tcPr>
            <w:tcW w:w="6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5"/>
              </w:rPr>
              <w:t>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(1,163)</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(2,124)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Servicing Assets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5,510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2,668</w:t>
            </w:r>
          </w:p>
        </w:tc>
        <w:tc>
          <w:tcPr>
            <w:tcW w:w="6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5"/>
              </w:rPr>
              <w:t>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(2,514)</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(4,880)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2760" w:type="dxa"/>
            <w:vAlign w:val="bottom"/>
          </w:tcPr>
          <w:p>
            <w:pPr>
              <w:ind w:left="240"/>
              <w:spacing w:after="0"/>
              <w:rPr>
                <w:sz w:val="20"/>
                <w:szCs w:val="20"/>
                <w:color w:val="auto"/>
              </w:rPr>
            </w:pPr>
            <w:r>
              <w:rPr>
                <w:rFonts w:ascii="Arial" w:cs="Arial" w:eastAsia="Arial" w:hAnsi="Arial"/>
                <w:sz w:val="18"/>
                <w:szCs w:val="18"/>
                <w:color w:val="auto"/>
              </w:rPr>
              <w:t>Mortgage loans</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202</w:t>
            </w: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97</w:t>
            </w:r>
          </w:p>
        </w:tc>
        <w:tc>
          <w:tcPr>
            <w:tcW w:w="680" w:type="dxa"/>
            <w:vAlign w:val="bottom"/>
          </w:tcPr>
          <w:p>
            <w:pPr>
              <w:jc w:val="center"/>
              <w:ind w:left="193"/>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19"/>
                <w:szCs w:val="19"/>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20" w:type="dxa"/>
            <w:vAlign w:val="bottom"/>
          </w:tcPr>
          <w:p>
            <w:pPr>
              <w:jc w:val="right"/>
              <w:ind w:right="275"/>
              <w:spacing w:after="0"/>
              <w:rPr>
                <w:sz w:val="20"/>
                <w:szCs w:val="20"/>
                <w:color w:val="auto"/>
              </w:rPr>
            </w:pPr>
            <w:r>
              <w:rPr>
                <w:rFonts w:ascii="Arial" w:cs="Arial" w:eastAsia="Arial" w:hAnsi="Arial"/>
                <w:sz w:val="18"/>
                <w:szCs w:val="18"/>
                <w:color w:val="auto"/>
              </w:rPr>
              <w:t>(171)</w:t>
            </w: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27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23"/>
                <w:szCs w:val="23"/>
                <w:i w:val="1"/>
                <w:iCs w:val="1"/>
                <w:color w:val="auto"/>
                <w:vertAlign w:val="superscript"/>
              </w:rPr>
              <w:t>(A)</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2760" w:type="dxa"/>
            <w:vAlign w:val="bottom"/>
          </w:tcPr>
          <w:p>
            <w:pPr>
              <w:ind w:left="240"/>
              <w:spacing w:after="0"/>
              <w:rPr>
                <w:sz w:val="20"/>
                <w:szCs w:val="20"/>
                <w:color w:val="auto"/>
              </w:rPr>
            </w:pPr>
            <w:r>
              <w:rPr>
                <w:rFonts w:ascii="Arial" w:cs="Arial" w:eastAsia="Arial" w:hAnsi="Arial"/>
                <w:sz w:val="18"/>
                <w:szCs w:val="18"/>
                <w:color w:val="auto"/>
              </w:rPr>
              <w:t>HELOC loans</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7,804</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6,025</w:t>
            </w:r>
          </w:p>
        </w:tc>
        <w:tc>
          <w:tcPr>
            <w:tcW w:w="680" w:type="dxa"/>
            <w:vAlign w:val="bottom"/>
          </w:tcPr>
          <w:p>
            <w:pPr>
              <w:jc w:val="center"/>
              <w:ind w:left="193"/>
              <w:spacing w:after="0"/>
              <w:rPr>
                <w:sz w:val="20"/>
                <w:szCs w:val="20"/>
                <w:color w:val="auto"/>
              </w:rPr>
            </w:pPr>
            <w:r>
              <w:rPr>
                <w:rFonts w:ascii="Arial" w:cs="Arial" w:eastAsia="Arial" w:hAnsi="Arial"/>
                <w:sz w:val="18"/>
                <w:szCs w:val="18"/>
                <w:color w:val="auto"/>
                <w:w w:val="95"/>
              </w:rPr>
              <w:t>1.8</w:t>
            </w:r>
          </w:p>
        </w:tc>
        <w:tc>
          <w:tcPr>
            <w:tcW w:w="100" w:type="dxa"/>
            <w:vAlign w:val="bottom"/>
          </w:tcPr>
          <w:p>
            <w:pPr>
              <w:spacing w:after="0"/>
              <w:rPr>
                <w:sz w:val="20"/>
                <w:szCs w:val="20"/>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(10,088)</w:t>
            </w:r>
          </w:p>
        </w:tc>
        <w:tc>
          <w:tcPr>
            <w:tcW w:w="3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20" w:type="dxa"/>
            <w:vAlign w:val="bottom"/>
          </w:tcPr>
          <w:p>
            <w:pPr>
              <w:jc w:val="right"/>
              <w:ind w:right="275"/>
              <w:spacing w:after="0"/>
              <w:rPr>
                <w:sz w:val="20"/>
                <w:szCs w:val="20"/>
                <w:color w:val="auto"/>
              </w:rPr>
            </w:pPr>
            <w:r>
              <w:rPr>
                <w:rFonts w:ascii="Arial" w:cs="Arial" w:eastAsia="Arial" w:hAnsi="Arial"/>
                <w:sz w:val="18"/>
                <w:szCs w:val="18"/>
                <w:color w:val="auto"/>
              </w:rPr>
              <w:t>(21,523)</w:t>
            </w: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62"/>
        </w:trPr>
        <w:tc>
          <w:tcPr>
            <w:tcW w:w="2760" w:type="dxa"/>
            <w:vAlign w:val="bottom"/>
          </w:tcPr>
          <w:p>
            <w:pPr>
              <w:spacing w:after="0"/>
              <w:rPr>
                <w:sz w:val="24"/>
                <w:szCs w:val="24"/>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-10%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+10%</w:t>
            </w: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w:t>
            </w:r>
          </w:p>
        </w:tc>
        <w:tc>
          <w:tcPr>
            <w:tcW w:w="700" w:type="dxa"/>
            <w:vAlign w:val="bottom"/>
            <w:tcBorders>
              <w:bottom w:val="single" w:sz="8" w:color="auto"/>
            </w:tcBorders>
          </w:tcPr>
          <w:p>
            <w:pPr>
              <w:spacing w:after="0"/>
              <w:rPr>
                <w:sz w:val="24"/>
                <w:szCs w:val="24"/>
                <w:color w:val="auto"/>
              </w:rPr>
            </w:pPr>
          </w:p>
        </w:tc>
      </w:tr>
      <w:tr>
        <w:trPr>
          <w:trHeight w:val="196"/>
        </w:trPr>
        <w:tc>
          <w:tcPr>
            <w:tcW w:w="27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r>
      <w:tr>
        <w:trPr>
          <w:trHeight w:val="21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CPR</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Marketable Securities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interest securities</w:t>
            </w:r>
          </w:p>
        </w:tc>
        <w:tc>
          <w:tcPr>
            <w:tcW w:w="13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(3,824)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(2,065)</w:t>
            </w:r>
          </w:p>
        </w:tc>
        <w:tc>
          <w:tcPr>
            <w:tcW w:w="68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1,912</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4,160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Servicing Assets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5,642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2,721</w:t>
            </w:r>
          </w:p>
        </w:tc>
        <w:tc>
          <w:tcPr>
            <w:tcW w:w="6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5"/>
              </w:rPr>
              <w:t>3.1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(2,540)</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(4,924)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2760" w:type="dxa"/>
            <w:vAlign w:val="bottom"/>
          </w:tcPr>
          <w:p>
            <w:pPr>
              <w:ind w:left="240"/>
              <w:spacing w:after="0"/>
              <w:rPr>
                <w:sz w:val="20"/>
                <w:szCs w:val="20"/>
                <w:color w:val="auto"/>
              </w:rPr>
            </w:pPr>
            <w:r>
              <w:rPr>
                <w:rFonts w:ascii="Arial" w:cs="Arial" w:eastAsia="Arial" w:hAnsi="Arial"/>
                <w:sz w:val="18"/>
                <w:szCs w:val="18"/>
                <w:color w:val="auto"/>
              </w:rPr>
              <w:t>Mortgage loans</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114</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56</w:t>
            </w:r>
          </w:p>
        </w:tc>
        <w:tc>
          <w:tcPr>
            <w:tcW w:w="680" w:type="dxa"/>
            <w:vAlign w:val="bottom"/>
          </w:tcPr>
          <w:p>
            <w:pPr>
              <w:jc w:val="center"/>
              <w:ind w:left="193"/>
              <w:spacing w:after="0"/>
              <w:rPr>
                <w:sz w:val="20"/>
                <w:szCs w:val="20"/>
                <w:color w:val="auto"/>
              </w:rPr>
            </w:pPr>
            <w:r>
              <w:rPr>
                <w:rFonts w:ascii="Arial" w:cs="Arial" w:eastAsia="Arial" w:hAnsi="Arial"/>
                <w:sz w:val="18"/>
                <w:szCs w:val="18"/>
                <w:color w:val="auto"/>
                <w:w w:val="95"/>
              </w:rPr>
              <w:t>2.7</w:t>
            </w:r>
          </w:p>
        </w:tc>
        <w:tc>
          <w:tcPr>
            <w:tcW w:w="100" w:type="dxa"/>
            <w:vAlign w:val="bottom"/>
          </w:tcPr>
          <w:p>
            <w:pPr>
              <w:spacing w:after="0"/>
              <w:rPr>
                <w:sz w:val="19"/>
                <w:szCs w:val="19"/>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20" w:type="dxa"/>
            <w:vAlign w:val="bottom"/>
          </w:tcPr>
          <w:p>
            <w:pPr>
              <w:jc w:val="right"/>
              <w:ind w:right="275"/>
              <w:spacing w:after="0"/>
              <w:rPr>
                <w:sz w:val="20"/>
                <w:szCs w:val="20"/>
                <w:color w:val="auto"/>
              </w:rPr>
            </w:pPr>
            <w:r>
              <w:rPr>
                <w:rFonts w:ascii="Arial" w:cs="Arial" w:eastAsia="Arial" w:hAnsi="Arial"/>
                <w:sz w:val="18"/>
                <w:szCs w:val="18"/>
                <w:color w:val="auto"/>
              </w:rPr>
              <w:t>(105)</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27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23"/>
                <w:szCs w:val="23"/>
                <w:i w:val="1"/>
                <w:iCs w:val="1"/>
                <w:color w:val="auto"/>
                <w:vertAlign w:val="superscript"/>
              </w:rPr>
              <w:t>(A)</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760" w:type="dxa"/>
            <w:vAlign w:val="bottom"/>
          </w:tcPr>
          <w:p>
            <w:pPr>
              <w:ind w:left="240"/>
              <w:spacing w:after="0"/>
              <w:rPr>
                <w:sz w:val="20"/>
                <w:szCs w:val="20"/>
                <w:color w:val="auto"/>
              </w:rPr>
            </w:pPr>
            <w:r>
              <w:rPr>
                <w:rFonts w:ascii="Arial" w:cs="Arial" w:eastAsia="Arial" w:hAnsi="Arial"/>
                <w:sz w:val="18"/>
                <w:szCs w:val="18"/>
                <w:color w:val="auto"/>
              </w:rPr>
              <w:t>HELOC loans</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616</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336</w:t>
            </w:r>
          </w:p>
        </w:tc>
        <w:tc>
          <w:tcPr>
            <w:tcW w:w="680" w:type="dxa"/>
            <w:vAlign w:val="bottom"/>
          </w:tcPr>
          <w:p>
            <w:pPr>
              <w:jc w:val="center"/>
              <w:ind w:left="193"/>
              <w:spacing w:after="0"/>
              <w:rPr>
                <w:sz w:val="20"/>
                <w:szCs w:val="20"/>
                <w:color w:val="auto"/>
              </w:rPr>
            </w:pPr>
            <w:r>
              <w:rPr>
                <w:rFonts w:ascii="Arial" w:cs="Arial" w:eastAsia="Arial" w:hAnsi="Arial"/>
                <w:sz w:val="18"/>
                <w:szCs w:val="18"/>
                <w:color w:val="auto"/>
                <w:w w:val="95"/>
              </w:rPr>
              <w:t>0.1</w:t>
            </w:r>
          </w:p>
        </w:tc>
        <w:tc>
          <w:tcPr>
            <w:tcW w:w="100" w:type="dxa"/>
            <w:vAlign w:val="bottom"/>
          </w:tcPr>
          <w:p>
            <w:pPr>
              <w:spacing w:after="0"/>
              <w:rPr>
                <w:sz w:val="19"/>
                <w:szCs w:val="19"/>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20" w:type="dxa"/>
            <w:vAlign w:val="bottom"/>
          </w:tcPr>
          <w:p>
            <w:pPr>
              <w:jc w:val="right"/>
              <w:ind w:right="275"/>
              <w:spacing w:after="0"/>
              <w:rPr>
                <w:sz w:val="20"/>
                <w:szCs w:val="20"/>
                <w:color w:val="auto"/>
              </w:rPr>
            </w:pPr>
            <w:r>
              <w:rPr>
                <w:rFonts w:ascii="Arial" w:cs="Arial" w:eastAsia="Arial" w:hAnsi="Arial"/>
                <w:sz w:val="18"/>
                <w:szCs w:val="18"/>
                <w:color w:val="auto"/>
              </w:rPr>
              <w:t>(732)</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CDR</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760" w:type="dxa"/>
            <w:vAlign w:val="bottom"/>
          </w:tcPr>
          <w:p>
            <w:pPr>
              <w:ind w:left="140"/>
              <w:spacing w:after="0"/>
              <w:rPr>
                <w:sz w:val="20"/>
                <w:szCs w:val="20"/>
                <w:color w:val="auto"/>
              </w:rPr>
            </w:pPr>
            <w:r>
              <w:rPr>
                <w:rFonts w:ascii="Arial" w:cs="Arial" w:eastAsia="Arial" w:hAnsi="Arial"/>
                <w:sz w:val="18"/>
                <w:szCs w:val="18"/>
                <w:i w:val="1"/>
                <w:iCs w:val="1"/>
                <w:color w:val="auto"/>
              </w:rPr>
              <w:t>Marketable Securities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interest securities</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1,049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424</w:t>
            </w:r>
          </w:p>
        </w:tc>
        <w:tc>
          <w:tcPr>
            <w:tcW w:w="6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5"/>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(723)</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(1,263)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760" w:type="dxa"/>
            <w:vAlign w:val="bottom"/>
          </w:tcPr>
          <w:p>
            <w:pPr>
              <w:ind w:left="140"/>
              <w:spacing w:after="0" w:line="230" w:lineRule="exact"/>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23"/>
                <w:szCs w:val="23"/>
                <w:i w:val="1"/>
                <w:iCs w:val="1"/>
                <w:color w:val="auto"/>
                <w:vertAlign w:val="superscript"/>
              </w:rPr>
              <w:t>(A)</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HELOC loans</w:t>
            </w:r>
          </w:p>
        </w:tc>
        <w:tc>
          <w:tcPr>
            <w:tcW w:w="13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560</w:t>
            </w:r>
          </w:p>
        </w:tc>
        <w:tc>
          <w:tcPr>
            <w:tcW w:w="68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(570)</w:t>
            </w: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Servicing Rate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7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Servicing Assets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2760" w:type="dxa"/>
            <w:vAlign w:val="bottom"/>
          </w:tcPr>
          <w:p>
            <w:pPr>
              <w:ind w:left="240"/>
              <w:spacing w:after="0"/>
              <w:rPr>
                <w:sz w:val="20"/>
                <w:szCs w:val="20"/>
                <w:color w:val="auto"/>
              </w:rPr>
            </w:pPr>
            <w:r>
              <w:rPr>
                <w:rFonts w:ascii="Arial" w:cs="Arial" w:eastAsia="Arial" w:hAnsi="Arial"/>
                <w:sz w:val="18"/>
                <w:szCs w:val="18"/>
                <w:color w:val="auto"/>
              </w:rPr>
              <w:t>HELOC loans</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6,020</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3,011</w:t>
            </w:r>
          </w:p>
        </w:tc>
        <w:tc>
          <w:tcPr>
            <w:tcW w:w="680" w:type="dxa"/>
            <w:vAlign w:val="bottom"/>
          </w:tcPr>
          <w:p>
            <w:pPr>
              <w:jc w:val="center"/>
              <w:ind w:left="193"/>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0"/>
                <w:szCs w:val="20"/>
                <w:color w:val="auto"/>
              </w:rPr>
            </w:pPr>
          </w:p>
        </w:tc>
        <w:tc>
          <w:tcPr>
            <w:tcW w:w="1400" w:type="dxa"/>
            <w:vAlign w:val="bottom"/>
          </w:tcPr>
          <w:p>
            <w:pPr>
              <w:jc w:val="right"/>
              <w:ind w:right="275"/>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20" w:type="dxa"/>
            <w:vAlign w:val="bottom"/>
          </w:tcPr>
          <w:p>
            <w:pPr>
              <w:jc w:val="right"/>
              <w:ind w:right="275"/>
              <w:spacing w:after="0"/>
              <w:rPr>
                <w:sz w:val="20"/>
                <w:szCs w:val="20"/>
                <w:color w:val="auto"/>
              </w:rPr>
            </w:pPr>
            <w:r>
              <w:rPr>
                <w:rFonts w:ascii="Arial" w:cs="Arial" w:eastAsia="Arial" w:hAnsi="Arial"/>
                <w:sz w:val="18"/>
                <w:szCs w:val="18"/>
                <w:color w:val="auto"/>
              </w:rPr>
              <w:t>(6,015)</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Excludes non-HELOC loans as not considered material.</w:t>
      </w:r>
    </w:p>
    <w:p>
      <w:pPr>
        <w:spacing w:after="0" w:line="1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Assets and Liabilities Not Measured at Fair Value on a Recurring Basis</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Debt is presented at face value, net of debt issuance costs that are amortized over the contractual term using the effective interest method. The carrying value of debt associated with the warehouse facilities and MSR financing approximates the fair value due to their relatively short maturities. The carrying value of debt associated with financed retained residuals is disclosed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229"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summarizes information about the liabilities that are not measured at fair value on a recurring basis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2024</w:t>
            </w: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5"/>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8"/>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180" w:type="dxa"/>
            <w:vAlign w:val="bottom"/>
            <w:gridSpan w:val="2"/>
          </w:tcPr>
          <w:p>
            <w:pPr>
              <w:ind w:left="120"/>
              <w:spacing w:after="0" w:line="198" w:lineRule="exact"/>
              <w:rPr>
                <w:sz w:val="20"/>
                <w:szCs w:val="20"/>
                <w:color w:val="auto"/>
              </w:rPr>
            </w:pPr>
            <w:r>
              <w:rPr>
                <w:rFonts w:ascii="Arial" w:cs="Arial" w:eastAsia="Arial" w:hAnsi="Arial"/>
                <w:sz w:val="14"/>
                <w:szCs w:val="14"/>
                <w:b w:val="1"/>
                <w:bCs w:val="1"/>
                <w:color w:val="auto"/>
              </w:rPr>
              <w:t>Level 2</w:t>
            </w:r>
            <w:r>
              <w:rPr>
                <w:rFonts w:ascii="Arial" w:cs="Arial" w:eastAsia="Arial" w:hAnsi="Arial"/>
                <w:sz w:val="18"/>
                <w:szCs w:val="18"/>
                <w:b w:val="1"/>
                <w:bCs w:val="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460"/>
              <w:spacing w:after="0"/>
              <w:rPr>
                <w:sz w:val="20"/>
                <w:szCs w:val="20"/>
                <w:color w:val="auto"/>
              </w:rPr>
            </w:pPr>
            <w:r>
              <w:rPr>
                <w:rFonts w:ascii="Arial" w:cs="Arial" w:eastAsia="Arial" w:hAnsi="Arial"/>
                <w:sz w:val="18"/>
                <w:szCs w:val="18"/>
                <w:color w:val="auto"/>
              </w:rPr>
              <w:t>Financed Retained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128,101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127,327</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127,327</w:t>
            </w:r>
          </w:p>
        </w:tc>
      </w:tr>
      <w:tr>
        <w:trPr>
          <w:trHeight w:val="248"/>
        </w:trPr>
        <w:tc>
          <w:tcPr>
            <w:tcW w:w="4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59"/>
        </w:trPr>
        <w:tc>
          <w:tcPr>
            <w:tcW w:w="4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5"/>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Fair Value</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8"/>
        </w:trPr>
        <w:tc>
          <w:tcPr>
            <w:tcW w:w="4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180" w:type="dxa"/>
            <w:vAlign w:val="bottom"/>
            <w:gridSpan w:val="2"/>
          </w:tcPr>
          <w:p>
            <w:pPr>
              <w:ind w:left="120"/>
              <w:spacing w:after="0" w:line="198" w:lineRule="exact"/>
              <w:rPr>
                <w:sz w:val="20"/>
                <w:szCs w:val="20"/>
                <w:color w:val="auto"/>
              </w:rPr>
            </w:pPr>
            <w:r>
              <w:rPr>
                <w:rFonts w:ascii="Arial" w:cs="Arial" w:eastAsia="Arial" w:hAnsi="Arial"/>
                <w:sz w:val="14"/>
                <w:szCs w:val="14"/>
                <w:b w:val="1"/>
                <w:bCs w:val="1"/>
                <w:color w:val="auto"/>
              </w:rPr>
              <w:t>Level 2</w:t>
            </w:r>
            <w:r>
              <w:rPr>
                <w:rFonts w:ascii="Arial" w:cs="Arial" w:eastAsia="Arial" w:hAnsi="Arial"/>
                <w:sz w:val="18"/>
                <w:szCs w:val="18"/>
                <w:b w:val="1"/>
                <w:bCs w:val="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Total</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460"/>
              <w:spacing w:after="0"/>
              <w:rPr>
                <w:sz w:val="20"/>
                <w:szCs w:val="20"/>
                <w:color w:val="auto"/>
              </w:rPr>
            </w:pPr>
            <w:r>
              <w:rPr>
                <w:rFonts w:ascii="Arial" w:cs="Arial" w:eastAsia="Arial" w:hAnsi="Arial"/>
                <w:sz w:val="18"/>
                <w:szCs w:val="18"/>
                <w:color w:val="auto"/>
              </w:rPr>
              <w:t>Financed Retained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24,667</w:t>
            </w:r>
          </w:p>
        </w:tc>
        <w:tc>
          <w:tcPr>
            <w:tcW w:w="100" w:type="dxa"/>
            <w:vAlign w:val="bottom"/>
          </w:tcPr>
          <w:p>
            <w:pPr>
              <w:spacing w:after="0"/>
              <w:rPr>
                <w:sz w:val="19"/>
                <w:szCs w:val="19"/>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24,667</w:t>
            </w:r>
          </w:p>
        </w:tc>
      </w:tr>
      <w:tr>
        <w:trPr>
          <w:trHeight w:val="248"/>
        </w:trPr>
        <w:tc>
          <w:tcPr>
            <w:tcW w:w="4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340" w:hanging="332"/>
        <w:spacing w:after="0" w:line="270" w:lineRule="auto"/>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fair value of financed retained interests was classified as Level 2 and valued using a discounted cash flow model, with key inputs relating to the underlying contractual coupons, terms, discount rate and expectations for defaults and prepayments.</w:t>
      </w:r>
    </w:p>
    <w:p>
      <w:pPr>
        <w:spacing w:after="0" w:line="11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Assets Measured at Fair Value on a Non-recurring Basis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Digital Assets</w:t>
      </w:r>
    </w:p>
    <w:p>
      <w:pPr>
        <w:spacing w:after="0" w:line="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held Hash at cost of $1.5 million at December 31, 2024. During the year ended December 31, 2024, the Company recognized impairment of $5.9 million in Other Income (Expense), Net in the Combined Consolidated Statements of Operations. The Company determined an impairment indicator existed upon performing a valuation, with the assistance of a third-party specialists, of Hash in connection to the Reorganization. Therefore the Company recognized an impairment equal to the difference between the fair value and costs basis. We did not record any impairment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229"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files two separate consolidated federal income tax returns for FTI and Markets.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provision for income taxes is included in the Income Tax Provision in the Combined Consolidated Statements of Operations. The following table details the Company’s income tax provision for the years ended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980" w:type="dxa"/>
            <w:vAlign w:val="bottom"/>
          </w:tcPr>
          <w:p>
            <w:pPr>
              <w:ind w:left="240"/>
              <w:spacing w:after="0" w:line="223" w:lineRule="exact"/>
              <w:rPr>
                <w:sz w:val="20"/>
                <w:szCs w:val="20"/>
                <w:color w:val="auto"/>
              </w:rPr>
            </w:pPr>
            <w:r>
              <w:rPr>
                <w:rFonts w:ascii="Arial" w:cs="Arial" w:eastAsia="Arial" w:hAnsi="Arial"/>
                <w:sz w:val="18"/>
                <w:szCs w:val="18"/>
                <w:color w:val="auto"/>
              </w:rPr>
              <w:t>Total current</w:t>
            </w:r>
            <w:r>
              <w:rPr>
                <w:rFonts w:ascii="Arial" w:cs="Arial" w:eastAsia="Arial" w:hAnsi="Arial"/>
                <w:sz w:val="23"/>
                <w:szCs w:val="23"/>
                <w:color w:val="auto"/>
                <w:vertAlign w:val="superscript"/>
              </w:rPr>
              <w:t>(A)</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The deferred tax component of the Company’s income tax provision is fully reserved in the valuation allowance.</w:t>
      </w:r>
    </w:p>
    <w:p>
      <w:pPr>
        <w:spacing w:after="0" w:line="1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Company’s income tax provision for the years ended December 31, 2024 and 2023 is $2.2 million and $0.1 million, respectively. The income tax expense in the current year is due to overall profits of FTI for which we are not able to fully offset by net operating losses due to restricted usage pursuant the Tax Cuts and Jobs Act of 2017.</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table is a reconciliation of the income taxes expected at the statutory federal income tax rate and income tax provision (benefit) for the years ended December 31, 2024 and 2023:</w:t>
      </w:r>
    </w:p>
    <w:p>
      <w:pPr>
        <w:spacing w:after="0" w:line="14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r>
      <w:tr>
        <w:trPr>
          <w:trHeight w:val="224"/>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at federal statutory rate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780" w:type="dxa"/>
            <w:vAlign w:val="bottom"/>
            <w:gridSpan w:val="2"/>
          </w:tcPr>
          <w:p>
            <w:pPr>
              <w:ind w:left="240"/>
              <w:spacing w:after="0"/>
              <w:rPr>
                <w:sz w:val="20"/>
                <w:szCs w:val="20"/>
                <w:color w:val="auto"/>
              </w:rPr>
            </w:pPr>
            <w:r>
              <w:rPr>
                <w:rFonts w:ascii="Arial" w:cs="Arial" w:eastAsia="Arial" w:hAnsi="Arial"/>
                <w:sz w:val="18"/>
                <w:szCs w:val="18"/>
                <w:color w:val="auto"/>
              </w:rPr>
              <w:t>State tax, net of federal benefit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0.4</w:t>
            </w:r>
          </w:p>
        </w:tc>
      </w:tr>
      <w:tr>
        <w:trPr>
          <w:trHeight w:val="229"/>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Permanent items</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gridSpan w:val="2"/>
          </w:tcPr>
          <w:p>
            <w:pPr>
              <w:ind w:left="240"/>
              <w:spacing w:after="0"/>
              <w:rPr>
                <w:sz w:val="20"/>
                <w:szCs w:val="20"/>
                <w:color w:val="auto"/>
              </w:rPr>
            </w:pPr>
            <w:r>
              <w:rPr>
                <w:rFonts w:ascii="Arial" w:cs="Arial" w:eastAsia="Arial" w:hAnsi="Arial"/>
                <w:sz w:val="18"/>
                <w:szCs w:val="18"/>
                <w:color w:val="auto"/>
              </w:rPr>
              <w:t>Change in valuation allowance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30"/>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Stock compensation</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30"/>
        </w:trPr>
        <w:tc>
          <w:tcPr>
            <w:tcW w:w="8780" w:type="dxa"/>
            <w:vAlign w:val="bottom"/>
            <w:gridSpan w:val="2"/>
          </w:tcPr>
          <w:p>
            <w:pPr>
              <w:ind w:left="240"/>
              <w:spacing w:after="0"/>
              <w:rPr>
                <w:sz w:val="20"/>
                <w:szCs w:val="20"/>
                <w:color w:val="auto"/>
              </w:rPr>
            </w:pPr>
            <w:r>
              <w:rPr>
                <w:rFonts w:ascii="Arial" w:cs="Arial" w:eastAsia="Arial" w:hAnsi="Arial"/>
                <w:sz w:val="18"/>
                <w:szCs w:val="18"/>
                <w:color w:val="auto"/>
              </w:rPr>
              <w:t>Tax credits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(43.0)</w:t>
            </w:r>
          </w:p>
        </w:tc>
        <w:tc>
          <w:tcPr>
            <w:tcW w:w="100" w:type="dxa"/>
            <w:vAlign w:val="bottom"/>
          </w:tcPr>
          <w:p>
            <w:pPr>
              <w:spacing w:after="0"/>
              <w:rPr>
                <w:sz w:val="19"/>
                <w:szCs w:val="19"/>
                <w:color w:val="auto"/>
              </w:rPr>
            </w:pP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(4.1)</w:t>
            </w:r>
          </w:p>
        </w:tc>
      </w:tr>
      <w:tr>
        <w:trPr>
          <w:trHeight w:val="229"/>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Return to provision</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(15.1)</w:t>
            </w:r>
          </w:p>
        </w:tc>
      </w:tr>
      <w:tr>
        <w:trPr>
          <w:trHeight w:val="230"/>
        </w:trPr>
        <w:tc>
          <w:tcPr>
            <w:tcW w:w="8780" w:type="dxa"/>
            <w:vAlign w:val="bottom"/>
            <w:gridSpan w:val="2"/>
          </w:tcPr>
          <w:p>
            <w:pPr>
              <w:ind w:left="240"/>
              <w:spacing w:after="0"/>
              <w:rPr>
                <w:sz w:val="20"/>
                <w:szCs w:val="20"/>
                <w:color w:val="auto"/>
              </w:rPr>
            </w:pPr>
            <w:r>
              <w:rPr>
                <w:rFonts w:ascii="Arial" w:cs="Arial" w:eastAsia="Arial" w:hAnsi="Arial"/>
                <w:sz w:val="18"/>
                <w:szCs w:val="18"/>
                <w:color w:val="auto"/>
              </w:rPr>
              <w:t>Rate change / state deferred adjustments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(10.8)</w:t>
            </w:r>
          </w:p>
        </w:tc>
        <w:tc>
          <w:tcPr>
            <w:tcW w:w="100" w:type="dxa"/>
            <w:vAlign w:val="bottom"/>
          </w:tcPr>
          <w:p>
            <w:pPr>
              <w:spacing w:after="0"/>
              <w:rPr>
                <w:sz w:val="19"/>
                <w:szCs w:val="19"/>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 in unrecognized tax benefits</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229"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deferred tax assets and liabilities at December 31, 2024 and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Net operating losses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59,423</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63,193</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Tax credits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Loan sale indemnification reserve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Research and development capitalization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85,900</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(71,129)</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r>
      <w:tr>
        <w:trPr>
          <w:trHeight w:val="250"/>
        </w:trPr>
        <w:tc>
          <w:tcPr>
            <w:tcW w:w="7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Servicing asset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r>
      <w:tr>
        <w:trPr>
          <w:trHeight w:val="229"/>
        </w:trPr>
        <w:tc>
          <w:tcPr>
            <w:tcW w:w="7980" w:type="dxa"/>
            <w:vAlign w:val="bottom"/>
          </w:tcPr>
          <w:p>
            <w:pPr>
              <w:ind w:left="460"/>
              <w:spacing w:after="0" w:line="230" w:lineRule="exact"/>
              <w:rPr>
                <w:sz w:val="20"/>
                <w:szCs w:val="20"/>
                <w:color w:val="auto"/>
              </w:rPr>
            </w:pPr>
            <w:r>
              <w:rPr>
                <w:rFonts w:ascii="Arial" w:cs="Arial" w:eastAsia="Arial" w:hAnsi="Arial"/>
                <w:sz w:val="18"/>
                <w:szCs w:val="18"/>
                <w:color w:val="auto"/>
              </w:rPr>
              <w:t>Unrealized gains (losses)</w:t>
            </w:r>
            <w:r>
              <w:rPr>
                <w:rFonts w:ascii="Arial" w:cs="Arial" w:eastAsia="Arial" w:hAnsi="Arial"/>
                <w:sz w:val="23"/>
                <w:szCs w:val="23"/>
                <w:color w:val="auto"/>
                <w:vertAlign w:val="superscript"/>
              </w:rPr>
              <w:t>(A)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ROU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14,771</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Primarily relates to unrealized gains from digital assets held for sale.</w:t>
      </w:r>
    </w:p>
    <w:p>
      <w:pPr>
        <w:spacing w:after="0" w:line="14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available objective evidence, management believes it is more-likely-than-not that our deferred tax assets may not be realizable as of the balance sheet date. Accordingly, the Company has recorded a valuation allowance on deferred tax assets in excess of deferred tax liabilities. The Company continues to establish a full valuation allowance against its net deferred tax assets. The change in valuation allowance during December 31, 2024 decreased by $1.5 million. At December 31, 2024 and 2023, the valuation allowance was $69.6 million and $71.1 million, respectively.</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For the years ended December 31, 2024 and 2023, the Company has net operating losses for U.S. federal and state tax purposes of approximately $221.9 million and $176.6 million, respectively. Federal tax losses will carryforward indefinitely. For state purposes, such losses would begin to expire in 2029.</w:t>
      </w:r>
    </w:p>
    <w:p>
      <w:pPr>
        <w:spacing w:after="0" w:line="117"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For the year ended December 31, 2024 and 2023, the Company has federal and state research tax credit carryforwards of $5.7 million and $0.2 million, respectively. The federal credits have a 20-year carryforward period and will begin to expire in 2038 and the state credits may be carried forward indefinitely. The Company is performing an R&amp;D tax credit study in connection with the filing of its 2024 federal income tax return, but has not completed the study before the Company's Combined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229"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Company's ability to utilize the net operating loss in the future may be subject to substantial restrictions in the event of past or future ownership changes as defined in Section 382 of the Internal Revenue Code and similar state tax laws.</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At December 31, 2024 and 2023, the unrecognized tax benefits recorded were approximately $3.0 million and $0.1 million, respectively. The unrecognized tax benefits are netted against the respective deferred tax assets. The Company does not anticipate a significant change in the unrecognized tax benefits within the next 12 months.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None of the unrecognized tax benefits would affect the Company's effective tax rate if these amounts are recognized due to our full valuation allowance.</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Company’s operations and resulting income taxes are calculated as if the Company filed a combined separate federal income tax return. All tax years since inception are subject to examination by tax authorities. The Company is currently not under examination by any federal or state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229"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t>FT INTERMEDIATE, INC. AND FIGURE MARKETS HOLDINGS, INC. AND THEIR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CONSOLIDATED FINANCIAL STATEMENTS</w:t>
      </w:r>
    </w:p>
    <w:p>
      <w:pPr>
        <w:jc w:val="center"/>
        <w:spacing w:after="0"/>
        <w:rPr>
          <w:sz w:val="20"/>
          <w:szCs w:val="20"/>
          <w:color w:val="auto"/>
        </w:rPr>
      </w:pPr>
      <w:r>
        <w:rPr>
          <w:rFonts w:ascii="Arial" w:cs="Arial" w:eastAsia="Arial" w:hAnsi="Arial"/>
          <w:sz w:val="18"/>
          <w:szCs w:val="18"/>
          <w:b w:val="1"/>
          <w:bCs w:val="1"/>
          <w:color w:val="auto"/>
        </w:rPr>
        <w:t>(dollars in tables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following events occurred subsequent to December 31, 2024 through April 7, 2025, the date at which the Company's Combined Financial Statements were available to be issued.</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to Warehouse Facility 4</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January 29, 2025, the Company amended Warehouse Facility 4 to adjust the maximum borrowings available to be issued through the facility of $335.3 million and extend the maturity date to January 2026.</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Digital Asset Loan Facility Agreement</w:t>
      </w:r>
    </w:p>
    <w:p>
      <w:pPr>
        <w:spacing w:after="0" w:line="16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On April 3, 2025, Figure Markets Credit LLC (“FMC”) executed a Master Participation Agreement with an asset management firm that allows FMC to grant 100% participation interest for digital asset backed loans owned by FMC. An initial facility size of $30.0 million was established, with the ability to increase to a maximum facility size of $ 50.0 million. The facility bears interest at a rate of 13.5%, has a scheduled termination date in April 2026, after which the purchase period will close and the facility matures in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229" w:right="339" w:bottom="1440" w:gutter="0" w:footer="0" w:header="0"/>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252095</wp:posOffset>
            </wp:positionV>
            <wp:extent cx="2057400" cy="436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FT Intermediate,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551815</wp:posOffset>
            </wp:positionV>
            <wp:extent cx="1517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0"/>
        <w:spacing w:after="0"/>
        <w:tabs>
          <w:tab w:leader="none" w:pos="5260" w:val="left"/>
          <w:tab w:leader="none" w:pos="826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BofA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219075</wp:posOffset>
            </wp:positionV>
            <wp:extent cx="10369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b w:val="1"/>
          <w:bCs w:val="1"/>
          <w:color w:val="auto"/>
        </w:rPr>
        <w:t>Through and including , 2025 (the 25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ind w:left="4400"/>
              <w:spacing w:after="0"/>
              <w:rPr>
                <w:sz w:val="20"/>
                <w:szCs w:val="20"/>
                <w:color w:val="auto"/>
              </w:rPr>
            </w:pPr>
            <w:r>
              <w:rPr>
                <w:rFonts w:ascii="Arial" w:cs="Arial" w:eastAsia="Arial" w:hAnsi="Arial"/>
                <w:sz w:val="18"/>
                <w:szCs w:val="18"/>
                <w:color w:val="auto"/>
              </w:rPr>
              <w:t>Prospectus dated</w:t>
            </w:r>
          </w:p>
        </w:tc>
        <w:tc>
          <w:tcPr>
            <w:tcW w:w="5160" w:type="dxa"/>
            <w:vAlign w:val="bottom"/>
          </w:tcPr>
          <w:p>
            <w:pPr>
              <w:jc w:val="right"/>
              <w:ind w:right="4310"/>
              <w:spacing w:after="0"/>
              <w:rPr>
                <w:sz w:val="20"/>
                <w:szCs w:val="20"/>
                <w:color w:val="auto"/>
              </w:rPr>
            </w:pPr>
            <w:r>
              <w:rPr>
                <w:rFonts w:ascii="Arial" w:cs="Arial" w:eastAsia="Arial" w:hAnsi="Arial"/>
                <w:sz w:val="18"/>
                <w:szCs w:val="18"/>
                <w:color w:val="auto"/>
              </w:rPr>
              <w:t>, 2025</w:t>
            </w:r>
          </w:p>
        </w:tc>
      </w:tr>
      <w:tr>
        <w:trPr>
          <w:trHeight w:val="192"/>
        </w:trPr>
        <w:tc>
          <w:tcPr>
            <w:tcW w:w="608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16"/>
                <w:szCs w:val="16"/>
                <w:color w:val="auto"/>
              </w:rPr>
            </w:pPr>
          </w:p>
        </w:tc>
      </w:tr>
      <w:tr>
        <w:trPr>
          <w:trHeight w:val="41"/>
        </w:trPr>
        <w:tc>
          <w:tcPr>
            <w:tcW w:w="6080" w:type="dxa"/>
            <w:vAlign w:val="bottom"/>
            <w:tcBorders>
              <w:bottom w:val="single" w:sz="8" w:color="auto"/>
            </w:tcBorders>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440" w:right="339" w:bottom="1440" w:gutter="0" w:footer="0" w:header="0"/>
        </w:sectPr>
      </w:pPr>
    </w:p>
    <w:bookmarkStart w:id="276" w:name="page277"/>
    <w:bookmarkEnd w:id="276"/>
    <w:p>
      <w:pPr>
        <w:spacing w:after="0" w:line="13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table sets forth all expenses to be paid by us in connection with this registration statement and the listing of our Class A common stock, other than underwriting discounts and commissions. All amounts shown are estimates except for the SEC registration fee, the FINRA filing fee, and the exchange listing fee.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exchange listing fee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fees and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 agent and registrar fees and expenses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 Paid or to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Paid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8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93" w:lineRule="exact"/>
        <w:rPr>
          <w:sz w:val="20"/>
          <w:szCs w:val="20"/>
          <w:color w:val="auto"/>
        </w:rPr>
      </w:pPr>
    </w:p>
    <w:p>
      <w:pPr>
        <w:sectPr>
          <w:pgSz w:w="11900" w:h="16838" w:orient="portrait"/>
          <w:cols w:equalWidth="0" w:num="2">
            <w:col w:w="8940" w:space="720"/>
            <w:col w:w="1580"/>
          </w:cols>
          <w:pgMar w:left="320" w:top="1440" w:right="3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NRS 78.138 provides that, subject to certain exceptions under Nevada law, unless the articles of incorporation or an amendment thereto provides for greater individual liability, a director or officer is not individually liable to a corporation or its stockholders or creditors for any damages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type w:val="continuous"/>
        </w:sectPr>
      </w:pPr>
    </w:p>
    <w:bookmarkStart w:id="277" w:name="page278"/>
    <w:bookmarkEnd w:id="277"/>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 against expenses, including amounts paid in settlement and attorneys’ fees actually and 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spacing w:after="0" w:line="1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to adopt amended and restated articles of incorporation, which will become effective immediately prior to the completion of this offering, and which will contain provisions that limit the individual liability of our directors and certain of our officers for damages to the fullest extent permitted by the NRS. Any amendment, repeal, or elimination of these provisions will not eliminate or reduce the effect of these provisions in respect of any act, omission or claim that occurred or arose prior to that amendment, repeal, or elimination. If the NRS is amended to provide for further limitations on the personal liability of directors or officers of corporations, then the personal liability of our directors and officers will be further limited to the greatest extent permitted by the NRS.</w:t>
      </w:r>
    </w:p>
    <w:p>
      <w:pPr>
        <w:spacing w:after="0" w:line="12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addition, we expect to adopt amended and restated bylaws, which will become effective as of the closing of this offering, and which will provide that we will indemnify our directors and officers, and may indemnify our employees, agents, and any other persons, to the fullest extent permitted by the NRS. Our bylaws will also provide that we must advance expenses incurred by or on behalf of a director or officer in advance of the final disposition of any action or proceeding, subject to limited exceptions.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we have entered into or will enter into indemnification agreements with each of our directors and executive officers that may be broader than the specific indemnification provisions contained in the NRS.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limitation of liability and indemnification provisions in our amended and restated articles of incorporation, amended and restated bylaws, and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our directors and executive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obtain and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NRS.</w:t>
      </w:r>
    </w:p>
    <w:p>
      <w:pPr>
        <w:spacing w:after="0" w:line="1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9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by the underwriters of us and directors and officers for certain liabilities arising under the Securities Act of 1933, as amended, or the Securities Act,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On March 18, 2024, we issued 100,000 shares of common stock, par value $ 0.00001 per share, to FTI in exchange for $1.00. The issuance was exempt from registration under Section 4(a)(2) of the Securities Act, as a transaction by an issuer not involving any public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(10)(a) Exhibits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accompanying notes.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by it is against public policy as expressed in the Securities Act and will be governed by the final adjudication of such issue.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left="660" w:hanging="328"/>
        <w:spacing w:after="0" w:line="262"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379"/>
        </w:trPr>
        <w:tc>
          <w:tcPr>
            <w:tcW w:w="1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9"/>
        </w:trPr>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9"/>
                <w:szCs w:val="19"/>
                <w:color w:val="auto"/>
              </w:rPr>
            </w:pPr>
          </w:p>
        </w:tc>
        <w:tc>
          <w:tcPr>
            <w:tcW w:w="9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181"/>
        </w:trPr>
        <w:tc>
          <w:tcPr>
            <w:tcW w:w="1660" w:type="dxa"/>
            <w:vAlign w:val="bottom"/>
          </w:tcPr>
          <w:p>
            <w:pPr>
              <w:jc w:val="center"/>
              <w:spacing w:after="0" w:line="181" w:lineRule="exact"/>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Form of Amended and Restated Articles of Incorporation of the registrant, to be in effect upon completion of this</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offering.</w:t>
            </w:r>
          </w:p>
        </w:tc>
      </w:tr>
      <w:tr>
        <w:trPr>
          <w:trHeight w:val="229"/>
        </w:trPr>
        <w:tc>
          <w:tcPr>
            <w:tcW w:w="166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Class A Common Stock Certificate.</w:t>
            </w:r>
          </w:p>
        </w:tc>
      </w:tr>
      <w:tr>
        <w:trPr>
          <w:trHeight w:val="229"/>
        </w:trPr>
        <w:tc>
          <w:tcPr>
            <w:tcW w:w="16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Opinion of Brownstein Hyatt Farber Schreck, LLP.</w:t>
            </w:r>
          </w:p>
        </w:tc>
      </w:tr>
      <w:tr>
        <w:trPr>
          <w:trHeight w:val="229"/>
        </w:trPr>
        <w:tc>
          <w:tcPr>
            <w:tcW w:w="1660" w:type="dxa"/>
            <w:vAlign w:val="bottom"/>
          </w:tcPr>
          <w:p>
            <w:pPr>
              <w:jc w:val="center"/>
              <w:spacing w:after="0"/>
              <w:rPr>
                <w:sz w:val="20"/>
                <w:szCs w:val="20"/>
                <w:color w:val="auto"/>
              </w:rPr>
            </w:pPr>
            <w:r>
              <w:rPr>
                <w:rFonts w:ascii="Arial" w:cs="Arial" w:eastAsia="Arial" w:hAnsi="Arial"/>
                <w:sz w:val="18"/>
                <w:szCs w:val="18"/>
                <w:color w:val="auto"/>
                <w:w w:val="98"/>
              </w:rPr>
              <w:t>10.1+*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Form of Director and Executive Officer Indemnification Agreement.</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8"/>
              </w:rPr>
              <w:t>10.2+*</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2018 Equity Incentive Plan and related form agreements of FTI.</w:t>
            </w:r>
          </w:p>
        </w:tc>
      </w:tr>
      <w:tr>
        <w:trPr>
          <w:trHeight w:val="229"/>
        </w:trPr>
        <w:tc>
          <w:tcPr>
            <w:tcW w:w="1660" w:type="dxa"/>
            <w:vAlign w:val="bottom"/>
          </w:tcPr>
          <w:p>
            <w:pPr>
              <w:jc w:val="center"/>
              <w:spacing w:after="0"/>
              <w:rPr>
                <w:sz w:val="20"/>
                <w:szCs w:val="20"/>
                <w:color w:val="auto"/>
              </w:rPr>
            </w:pPr>
            <w:r>
              <w:rPr>
                <w:rFonts w:ascii="Arial" w:cs="Arial" w:eastAsia="Arial" w:hAnsi="Arial"/>
                <w:sz w:val="18"/>
                <w:szCs w:val="18"/>
                <w:color w:val="auto"/>
                <w:w w:val="98"/>
              </w:rPr>
              <w:t>10.3+*</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2025 Incentive Award Plan and related form agreements, to be in effect upon completion of this offering.</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8"/>
              </w:rPr>
              <w:t>10.4+*</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Employee Stock Purchase Plan and related form agreements, to be in effect upon completion of this offering.</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8"/>
              </w:rPr>
              <w:t>10.5+*</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Non-Employee Director Compensation Policy.</w:t>
            </w:r>
          </w:p>
        </w:tc>
      </w:tr>
      <w:tr>
        <w:trPr>
          <w:trHeight w:val="181"/>
        </w:trPr>
        <w:tc>
          <w:tcPr>
            <w:tcW w:w="1660" w:type="dxa"/>
            <w:vAlign w:val="bottom"/>
          </w:tcPr>
          <w:p>
            <w:pPr>
              <w:jc w:val="center"/>
              <w:spacing w:after="0" w:line="181" w:lineRule="exact"/>
              <w:rPr>
                <w:sz w:val="20"/>
                <w:szCs w:val="20"/>
                <w:color w:val="auto"/>
              </w:rPr>
            </w:pPr>
            <w:r>
              <w:rPr>
                <w:rFonts w:ascii="Arial" w:cs="Arial" w:eastAsia="Arial" w:hAnsi="Arial"/>
                <w:sz w:val="18"/>
                <w:szCs w:val="18"/>
                <w:color w:val="auto"/>
                <w:w w:val="99"/>
              </w:rPr>
              <w:t>10.6#*</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Contribution Agreement, dated December 31, 2023, between Figure Lending Corp. and Figure Technologies, Inc., as</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amended on April 9, 2024.</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Contribution Agreement, dated March 18, 2024, between Figure Lending Corp. and Figure Technologies, Inc.</w:t>
            </w:r>
          </w:p>
        </w:tc>
      </w:tr>
      <w:tr>
        <w:trPr>
          <w:trHeight w:val="181"/>
        </w:trPr>
        <w:tc>
          <w:tcPr>
            <w:tcW w:w="1660" w:type="dxa"/>
            <w:vAlign w:val="bottom"/>
          </w:tcPr>
          <w:p>
            <w:pPr>
              <w:jc w:val="center"/>
              <w:spacing w:after="0" w:line="181" w:lineRule="exact"/>
              <w:rPr>
                <w:sz w:val="20"/>
                <w:szCs w:val="20"/>
                <w:color w:val="auto"/>
              </w:rPr>
            </w:pPr>
            <w:r>
              <w:rPr>
                <w:rFonts w:ascii="Arial" w:cs="Arial" w:eastAsia="Arial" w:hAnsi="Arial"/>
                <w:sz w:val="18"/>
                <w:szCs w:val="18"/>
                <w:color w:val="auto"/>
                <w:w w:val="99"/>
              </w:rPr>
              <w:t>10.8#*</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Transition Services Agreement, dated March 18, 2024, between Figure Lending Corp. and Figure Markets Holdings,</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Tax Matters Agreement, dated March 19, 2024, between FT Intermediate, Inc. and Figure Markets Holdings, Inc.</w:t>
            </w:r>
          </w:p>
        </w:tc>
      </w:tr>
      <w:tr>
        <w:trPr>
          <w:trHeight w:val="181"/>
        </w:trPr>
        <w:tc>
          <w:tcPr>
            <w:tcW w:w="1660" w:type="dxa"/>
            <w:vAlign w:val="bottom"/>
          </w:tcPr>
          <w:p>
            <w:pPr>
              <w:jc w:val="center"/>
              <w:spacing w:after="0" w:line="181" w:lineRule="exact"/>
              <w:rPr>
                <w:sz w:val="20"/>
                <w:szCs w:val="20"/>
                <w:color w:val="auto"/>
              </w:rPr>
            </w:pPr>
            <w:r>
              <w:rPr>
                <w:rFonts w:ascii="Arial" w:cs="Arial" w:eastAsia="Arial" w:hAnsi="Arial"/>
                <w:sz w:val="18"/>
                <w:szCs w:val="18"/>
                <w:color w:val="auto"/>
                <w:w w:val="99"/>
              </w:rPr>
              <w:t>10.10#*</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Sixth Amended and Restated Investors’ Rights Agreement, dated April 28, 2024, among FT Intermediate, Inc. and the</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investors party thereto.</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21.1*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List of subsidiaries of the registrant.</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 as to FT Intermediate, Inc.</w:t>
            </w:r>
          </w:p>
        </w:tc>
      </w:tr>
      <w:tr>
        <w:trPr>
          <w:trHeight w:val="181"/>
        </w:trPr>
        <w:tc>
          <w:tcPr>
            <w:tcW w:w="1660" w:type="dxa"/>
            <w:vAlign w:val="bottom"/>
          </w:tcPr>
          <w:p>
            <w:pPr>
              <w:jc w:val="center"/>
              <w:spacing w:after="0" w:line="181" w:lineRule="exact"/>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15"/>
                <w:szCs w:val="15"/>
                <w:color w:val="auto"/>
              </w:rPr>
            </w:pPr>
          </w:p>
        </w:tc>
        <w:tc>
          <w:tcPr>
            <w:tcW w:w="9480" w:type="dxa"/>
            <w:vAlign w:val="bottom"/>
          </w:tcPr>
          <w:p>
            <w:pPr>
              <w:ind w:left="20"/>
              <w:spacing w:after="0" w:line="181" w:lineRule="exact"/>
              <w:rPr>
                <w:sz w:val="20"/>
                <w:szCs w:val="20"/>
                <w:color w:val="auto"/>
              </w:rPr>
            </w:pPr>
            <w:r>
              <w:rPr>
                <w:rFonts w:ascii="Arial" w:cs="Arial" w:eastAsia="Arial" w:hAnsi="Arial"/>
                <w:sz w:val="18"/>
                <w:szCs w:val="18"/>
                <w:color w:val="auto"/>
              </w:rPr>
              <w:t>Consent of Brownstein Hyatt Farber Schreck, LLP (included in the opinion filed as Exhibit 5.1 to this registration</w:t>
            </w:r>
          </w:p>
        </w:tc>
      </w:tr>
      <w:tr>
        <w:trPr>
          <w:trHeight w:val="238"/>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statement).</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100" w:type="dxa"/>
            <w:vAlign w:val="bottom"/>
          </w:tcPr>
          <w:p>
            <w:pPr>
              <w:spacing w:after="0"/>
              <w:rPr>
                <w:sz w:val="19"/>
                <w:szCs w:val="19"/>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r>
        <w:trPr>
          <w:trHeight w:val="239"/>
        </w:trPr>
        <w:tc>
          <w:tcPr>
            <w:tcW w:w="1660" w:type="dxa"/>
            <w:vAlign w:val="bottom"/>
          </w:tcPr>
          <w:p>
            <w:pPr>
              <w:jc w:val="center"/>
              <w:spacing w:after="0"/>
              <w:rPr>
                <w:sz w:val="20"/>
                <w:szCs w:val="20"/>
                <w:color w:val="auto"/>
              </w:rPr>
            </w:pPr>
            <w:r>
              <w:rPr>
                <w:rFonts w:ascii="Arial" w:cs="Arial" w:eastAsia="Arial" w:hAnsi="Arial"/>
                <w:sz w:val="18"/>
                <w:szCs w:val="18"/>
                <w:color w:val="auto"/>
                <w:w w:val="97"/>
              </w:rPr>
              <w:t>107*</w:t>
            </w:r>
          </w:p>
        </w:tc>
        <w:tc>
          <w:tcPr>
            <w:tcW w:w="100" w:type="dxa"/>
            <w:vAlign w:val="bottom"/>
          </w:tcPr>
          <w:p>
            <w:pPr>
              <w:spacing w:after="0"/>
              <w:rPr>
                <w:sz w:val="20"/>
                <w:szCs w:val="20"/>
                <w:color w:val="auto"/>
              </w:rPr>
            </w:pPr>
          </w:p>
        </w:tc>
        <w:tc>
          <w:tcPr>
            <w:tcW w:w="9480" w:type="dxa"/>
            <w:vAlign w:val="bottom"/>
          </w:tcPr>
          <w:p>
            <w:pPr>
              <w:ind w:left="20"/>
              <w:spacing w:after="0"/>
              <w:rPr>
                <w:sz w:val="20"/>
                <w:szCs w:val="20"/>
                <w:color w:val="auto"/>
              </w:rPr>
            </w:pPr>
            <w:r>
              <w:rPr>
                <w:rFonts w:ascii="Arial" w:cs="Arial" w:eastAsia="Arial" w:hAnsi="Arial"/>
                <w:sz w:val="18"/>
                <w:szCs w:val="18"/>
                <w:color w:val="auto"/>
              </w:rPr>
              <w:t>Filing Fee Table.</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right="7000" w:firstLine="8"/>
        <w:spacing w:after="0" w:line="265" w:lineRule="auto"/>
        <w:tabs>
          <w:tab w:leader="none" w:pos="32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 To be filed by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ind w:left="332" w:hanging="332"/>
        <w:spacing w:after="0" w:line="286" w:lineRule="auto"/>
        <w:tabs>
          <w:tab w:leader="none" w:pos="32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Certain confidential information contained in this exhibit has been omitted because it is both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32"/>
          </w:cols>
          <w:pgMar w:left="328" w:top="1440" w:right="339" w:bottom="1440" w:gutter="0" w:footer="0" w:header="0"/>
        </w:sectPr>
      </w:pPr>
    </w:p>
    <w:bookmarkStart w:id="281" w:name="page282"/>
    <w:bookmarkEnd w:id="281"/>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60" w:type="dxa"/>
            <w:vAlign w:val="bottom"/>
          </w:tcPr>
          <w:p>
            <w:pPr>
              <w:spacing w:after="0"/>
              <w:rPr>
                <w:sz w:val="20"/>
                <w:szCs w:val="20"/>
                <w:color w:val="auto"/>
              </w:rPr>
            </w:pPr>
            <w:r>
              <w:rPr>
                <w:rFonts w:ascii="Arial" w:cs="Arial" w:eastAsia="Arial" w:hAnsi="Arial"/>
                <w:sz w:val="18"/>
                <w:szCs w:val="18"/>
                <w:color w:val="auto"/>
              </w:rPr>
              <w:t>behalf by the undersigned, thereunto duly authorized in the City of New York, State of New York, on</w:t>
            </w:r>
          </w:p>
        </w:tc>
        <w:tc>
          <w:tcPr>
            <w:tcW w:w="1100" w:type="dxa"/>
            <w:vAlign w:val="bottom"/>
          </w:tcPr>
          <w:p>
            <w:pPr>
              <w:jc w:val="right"/>
              <w:spacing w:after="0"/>
              <w:rPr>
                <w:sz w:val="20"/>
                <w:szCs w:val="20"/>
                <w:color w:val="auto"/>
              </w:rPr>
            </w:pPr>
            <w:r>
              <w:rPr>
                <w:rFonts w:ascii="Arial" w:cs="Arial" w:eastAsia="Arial" w:hAnsi="Arial"/>
                <w:sz w:val="18"/>
                <w:szCs w:val="18"/>
                <w:color w:val="auto"/>
              </w:rPr>
              <w:t>, 2025.</w:t>
            </w:r>
          </w:p>
        </w:tc>
      </w:tr>
    </w:tbl>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FT INTERMEDIATE, INC.</w:t>
      </w: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4118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Michael Tannenbaum</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and Director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w:t>
      </w:r>
    </w:p>
    <w:p>
      <w:pPr>
        <w:spacing w:after="0" w:line="27" w:lineRule="exact"/>
        <w:rPr>
          <w:sz w:val="20"/>
          <w:szCs w:val="20"/>
          <w:color w:val="auto"/>
        </w:rPr>
      </w:pPr>
    </w:p>
    <w:p>
      <w:pPr>
        <w:jc w:val="both"/>
        <w:ind w:firstLine="1218"/>
        <w:spacing w:after="0" w:line="252" w:lineRule="auto"/>
        <w:rPr>
          <w:sz w:val="20"/>
          <w:szCs w:val="20"/>
          <w:color w:val="auto"/>
        </w:rPr>
      </w:pPr>
      <w:r>
        <w:rPr>
          <w:rFonts w:ascii="Arial" w:cs="Arial" w:eastAsia="Arial" w:hAnsi="Arial"/>
          <w:sz w:val="18"/>
          <w:szCs w:val="18"/>
          <w:color w:val="auto"/>
        </w:rPr>
        <w:t>and , and each one of them, as their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13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7"/>
                <w:szCs w:val="17"/>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Chief Executive Officer and Director (Principal Executive</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40"/>
        </w:trPr>
        <w:tc>
          <w:tcPr>
            <w:tcW w:w="4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Officer)</w:t>
            </w:r>
          </w:p>
        </w:tc>
        <w:tc>
          <w:tcPr>
            <w:tcW w:w="2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8"/>
              </w:rPr>
              <w:t>Michael Tannenbaum</w:t>
            </w:r>
          </w:p>
        </w:tc>
        <w:tc>
          <w:tcPr>
            <w:tcW w:w="100" w:type="dxa"/>
            <w:vAlign w:val="bottom"/>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(Principal Financial Officer and Principal Accounting</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40" w:type="dxa"/>
            <w:vAlign w:val="bottom"/>
          </w:tcPr>
          <w:p>
            <w:pPr>
              <w:jc w:val="center"/>
              <w:spacing w:after="0"/>
              <w:rPr>
                <w:sz w:val="20"/>
                <w:szCs w:val="20"/>
                <w:color w:val="auto"/>
              </w:rPr>
            </w:pPr>
            <w:r>
              <w:rPr>
                <w:rFonts w:ascii="Arial" w:cs="Arial" w:eastAsia="Arial" w:hAnsi="Arial"/>
                <w:sz w:val="18"/>
                <w:szCs w:val="18"/>
                <w:color w:val="auto"/>
                <w:w w:val="98"/>
              </w:rPr>
              <w:t>Macrina Kgil</w:t>
            </w:r>
          </w:p>
        </w:tc>
        <w:tc>
          <w:tcPr>
            <w:tcW w:w="100" w:type="dxa"/>
            <w:vAlign w:val="bottom"/>
          </w:tcPr>
          <w:p>
            <w:pPr>
              <w:spacing w:after="0"/>
              <w:rPr>
                <w:sz w:val="20"/>
                <w:szCs w:val="20"/>
                <w:color w:val="auto"/>
              </w:rPr>
            </w:pPr>
          </w:p>
        </w:tc>
        <w:tc>
          <w:tcPr>
            <w:tcW w:w="4560" w:type="dxa"/>
            <w:vAlign w:val="bottom"/>
            <w:gridSpan w:val="2"/>
          </w:tcPr>
          <w:p>
            <w:pPr>
              <w:jc w:val="center"/>
              <w:ind w:right="80"/>
              <w:spacing w:after="0"/>
              <w:rPr>
                <w:sz w:val="20"/>
                <w:szCs w:val="20"/>
                <w:color w:val="auto"/>
              </w:rPr>
            </w:pPr>
            <w:r>
              <w:rPr>
                <w:rFonts w:ascii="Arial" w:cs="Arial" w:eastAsia="Arial" w:hAnsi="Arial"/>
                <w:sz w:val="18"/>
                <w:szCs w:val="18"/>
                <w:color w:val="auto"/>
              </w:rPr>
              <w:t>Officer)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vMerge w:val="restart"/>
          </w:tcPr>
          <w:p>
            <w:pPr>
              <w:jc w:val="center"/>
              <w:spacing w:after="0"/>
              <w:rPr>
                <w:sz w:val="20"/>
                <w:szCs w:val="20"/>
                <w:color w:val="auto"/>
              </w:rPr>
            </w:pPr>
            <w:r>
              <w:rPr>
                <w:rFonts w:ascii="Arial" w:cs="Arial" w:eastAsia="Arial" w:hAnsi="Arial"/>
                <w:sz w:val="18"/>
                <w:szCs w:val="18"/>
                <w:color w:val="auto"/>
                <w:w w:val="97"/>
              </w:rPr>
              <w:t>Michael Cagney</w:t>
            </w: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9"/>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9"/>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8"/>
        </w:trPr>
        <w:tc>
          <w:tcPr>
            <w:tcW w:w="44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4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 2025</w:t>
            </w:r>
          </w:p>
        </w:tc>
        <w:tc>
          <w:tcPr>
            <w:tcW w:w="0" w:type="dxa"/>
            <w:vAlign w:val="bottom"/>
          </w:tcPr>
          <w:p>
            <w:pPr>
              <w:spacing w:after="0"/>
              <w:rPr>
                <w:sz w:val="1"/>
                <w:szCs w:val="1"/>
                <w:color w:val="auto"/>
              </w:rPr>
            </w:pPr>
          </w:p>
        </w:tc>
      </w:tr>
      <w:tr>
        <w:trPr>
          <w:trHeight w:val="92"/>
        </w:trPr>
        <w:tc>
          <w:tcPr>
            <w:tcW w:w="44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560" w:type="dxa"/>
            <w:vAlign w:val="bottom"/>
            <w:gridSpan w:val="2"/>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1)"/>
      <w:numFmt w:val="decimal"/>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1)"/>
      <w:numFmt w:val="decimal"/>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1)"/>
      <w:numFmt w:val="decimal"/>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1)"/>
      <w:numFmt w:val="lowerRoman"/>
      <w:start w:val="3"/>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1."/>
      <w:numFmt w:val="decimal"/>
      <w:start w:val="144"/>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1."/>
      <w:numFmt w:val="decimal"/>
      <w:start w:val="144"/>
    </w:lvl>
  </w:abstractNum>
  <w:abstractNum w:abstractNumId="88">
    <w:nsid w:val="E7FFA2B"/>
    <w:multiLevelType w:val="hybridMultilevel"/>
    <w:lvl w:ilvl="0">
      <w:lvlJc w:val="left"/>
      <w:lvlText w:val="%1."/>
      <w:numFmt w:val="decimal"/>
      <w:start w:val="144"/>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1"/>
      <w:numFmt w:val="bullet"/>
      <w:start w:val="1"/>
    </w:lvl>
  </w:abstractNum>
  <w:abstractNum w:abstractNumId="99">
    <w:nsid w:val="6AA7B75C"/>
    <w:multiLevelType w:val="hybridMultilevel"/>
    <w:lvl w:ilvl="0">
      <w:lvlJc w:val="left"/>
      <w:lvlText w:val="2"/>
      <w:numFmt w:val="bullet"/>
      <w:start w:val="1"/>
    </w:lvl>
  </w:abstractNum>
  <w:abstractNum w:abstractNumId="100">
    <w:nsid w:val="1DF029D3"/>
    <w:multiLevelType w:val="hybridMultilevel"/>
    <w:lvl w:ilvl="0">
      <w:lvlJc w:val="left"/>
      <w:lvlText w:val="3"/>
      <w:numFmt w:val="bullet"/>
      <w:start w:val="1"/>
    </w:lvl>
  </w:abstractNum>
  <w:abstractNum w:abstractNumId="101">
    <w:nsid w:val="5675FF36"/>
    <w:multiLevelType w:val="hybridMultilevel"/>
    <w:lvl w:ilvl="0">
      <w:lvlJc w:val="left"/>
      <w:lvlText w:val="3"/>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upperLetter"/>
      <w:start w:val="1"/>
    </w:lvl>
    <w:lvl w:ilvl="1">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1)"/>
      <w:numFmt w:val="upperLetter"/>
      <w:start w:val="1"/>
    </w:lvl>
  </w:abstractNum>
  <w:abstractNum w:abstractNumId="108">
    <w:nsid w:val="53B0A9E"/>
    <w:multiLevelType w:val="hybridMultilevel"/>
    <w:lvl w:ilvl="0">
      <w:lvlJc w:val="left"/>
      <w:lvlText w:val="(%1)"/>
      <w:numFmt w:val="upperLetter"/>
      <w:start w:val="1"/>
    </w:lvl>
  </w:abstractNum>
  <w:abstractNum w:abstractNumId="109">
    <w:nsid w:val="34FD6B4F"/>
    <w:multiLevelType w:val="hybridMultilevel"/>
    <w:lvl w:ilvl="0">
      <w:lvlJc w:val="left"/>
      <w:lvlText w:val="(%1)"/>
      <w:numFmt w:val="upperLetter"/>
      <w:start w:val="1"/>
    </w:lvl>
  </w:abstractNum>
  <w:abstractNum w:abstractNumId="110">
    <w:nsid w:val="5915FF32"/>
    <w:multiLevelType w:val="hybridMultilevel"/>
    <w:lvl w:ilvl="0">
      <w:lvlJc w:val="left"/>
      <w:lvlText w:val="(%1)"/>
      <w:numFmt w:val="upperLetter"/>
      <w:start w:val="1"/>
    </w:lvl>
  </w:abstractNum>
  <w:abstractNum w:abstractNumId="111">
    <w:nsid w:val="56438D15"/>
    <w:multiLevelType w:val="hybridMultilevel"/>
    <w:lvl w:ilvl="0">
      <w:lvlJc w:val="left"/>
      <w:lvlText w:val="(%1)"/>
      <w:numFmt w:val="upperLetter"/>
      <w:start w:val="1"/>
    </w:lvl>
  </w:abstractNum>
  <w:abstractNum w:abstractNumId="112">
    <w:nsid w:val="519E3149"/>
    <w:multiLevelType w:val="hybridMultilevel"/>
    <w:lvl w:ilvl="0">
      <w:lvlJc w:val="left"/>
      <w:lvlText w:val="(%1)"/>
      <w:numFmt w:val="upperLetter"/>
      <w:start w:val="1"/>
    </w:lvl>
  </w:abstractNum>
  <w:abstractNum w:abstractNumId="113">
    <w:nsid w:val="2C6E4AFD"/>
    <w:multiLevelType w:val="hybridMultilevel"/>
    <w:lvl w:ilvl="0">
      <w:lvlJc w:val="left"/>
      <w:lvlText w:val="(%1)"/>
      <w:numFmt w:val="upperLetter"/>
      <w:start w:val="1"/>
    </w:lvl>
  </w:abstractNum>
  <w:abstractNum w:abstractNumId="114">
    <w:nsid w:val="17A1B582"/>
    <w:multiLevelType w:val="hybridMultilevel"/>
    <w:lvl w:ilvl="0">
      <w:lvlJc w:val="left"/>
      <w:lvlText w:val="(%1)"/>
      <w:numFmt w:val="upperLetter"/>
      <w:start w:val="1"/>
    </w:lvl>
  </w:abstractNum>
  <w:abstractNum w:abstractNumId="115">
    <w:nsid w:val="4DF72E4E"/>
    <w:multiLevelType w:val="hybridMultilevel"/>
    <w:lvl w:ilvl="0">
      <w:lvlJc w:val="left"/>
      <w:lvlText w:val="(%1)"/>
      <w:numFmt w:val="upperLetter"/>
      <w:start w:val="1"/>
    </w:lvl>
  </w:abstractNum>
  <w:abstractNum w:abstractNumId="116">
    <w:nsid w:val="5046B5A9"/>
    <w:multiLevelType w:val="hybridMultilevel"/>
    <w:lvl w:ilvl="0">
      <w:lvlJc w:val="left"/>
      <w:lvlText w:val="(%1)"/>
      <w:numFmt w:val="upperLetter"/>
      <w:start w:val="1"/>
    </w:lvl>
  </w:abstractNum>
  <w:abstractNum w:abstractNumId="117">
    <w:nsid w:val="5D888A08"/>
    <w:multiLevelType w:val="hybridMultilevel"/>
    <w:lvl w:ilvl="0">
      <w:lvlJc w:val="left"/>
      <w:lvlText w:val="(%1)"/>
      <w:numFmt w:val="upperLetter"/>
      <w:start w:val="1"/>
    </w:lvl>
  </w:abstractNum>
  <w:abstractNum w:abstractNumId="118">
    <w:nsid w:val="2A082C70"/>
    <w:multiLevelType w:val="hybridMultilevel"/>
    <w:lvl w:ilvl="0">
      <w:lvlJc w:val="left"/>
      <w:lvlText w:val="(%1)"/>
      <w:numFmt w:val="upperLetter"/>
      <w:start w:val="1"/>
    </w:lvl>
  </w:abstractNum>
  <w:abstractNum w:abstractNumId="119">
    <w:nsid w:val="5EC6AFD4"/>
    <w:multiLevelType w:val="hybridMultilevel"/>
    <w:lvl w:ilvl="0">
      <w:lvlJc w:val="left"/>
      <w:lvlText w:val="(%1)"/>
      <w:numFmt w:val="upperLetter"/>
      <w:start w:val="1"/>
    </w:lvl>
  </w:abstractNum>
  <w:abstractNum w:abstractNumId="120">
    <w:nsid w:val="19E21BB2"/>
    <w:multiLevelType w:val="hybridMultilevel"/>
    <w:lvl w:ilvl="0">
      <w:lvlJc w:val="left"/>
      <w:lvlText w:val="(%1)"/>
      <w:numFmt w:val="upperLetter"/>
      <w:start w:val="10"/>
    </w:lvl>
  </w:abstractNum>
  <w:abstractNum w:abstractNumId="121">
    <w:nsid w:val="75E0858A"/>
    <w:multiLevelType w:val="hybridMultilevel"/>
    <w:lvl w:ilvl="0">
      <w:lvlJc w:val="left"/>
      <w:lvlText w:val="(%1)"/>
      <w:numFmt w:val="upperLetter"/>
      <w:start w:val="1"/>
    </w:lvl>
  </w:abstractNum>
  <w:abstractNum w:abstractNumId="122">
    <w:nsid w:val="57A61A29"/>
    <w:multiLevelType w:val="hybridMultilevel"/>
    <w:lvl w:ilvl="0">
      <w:lvlJc w:val="left"/>
      <w:lvlText w:val="(%1)"/>
      <w:numFmt w:val="upperLetter"/>
      <w:start w:val="1"/>
    </w:lvl>
  </w:abstractNum>
  <w:abstractNum w:abstractNumId="123">
    <w:nsid w:val="5399C654"/>
    <w:multiLevelType w:val="hybridMultilevel"/>
    <w:lvl w:ilvl="0">
      <w:lvlJc w:val="left"/>
      <w:lvlText w:val="(%1)"/>
      <w:numFmt w:val="upperLetter"/>
      <w:start w:val="1"/>
    </w:lvl>
  </w:abstractNum>
  <w:abstractNum w:abstractNumId="124">
    <w:nsid w:val="20EE1348"/>
    <w:multiLevelType w:val="hybridMultilevel"/>
    <w:lvl w:ilvl="0">
      <w:lvlJc w:val="left"/>
      <w:lvlText w:val="(%1)"/>
      <w:numFmt w:val="upperLetter"/>
      <w:start w:val="1"/>
    </w:lvl>
  </w:abstractNum>
  <w:abstractNum w:abstractNumId="125">
    <w:nsid w:val="4427069A"/>
    <w:multiLevelType w:val="hybridMultilevel"/>
    <w:lvl w:ilvl="0">
      <w:lvlJc w:val="left"/>
      <w:lvlText w:val="(%1)"/>
      <w:numFmt w:val="upperLetter"/>
      <w:start w:val="1"/>
    </w:lvl>
  </w:abstractNum>
  <w:abstractNum w:abstractNumId="126">
    <w:nsid w:val="B37E80A"/>
    <w:multiLevelType w:val="hybridMultilevel"/>
    <w:lvl w:ilvl="0">
      <w:lvlJc w:val="left"/>
      <w:lvlText w:val="(%1)"/>
      <w:numFmt w:val="upperLetter"/>
      <w:start w:val="1"/>
    </w:lvl>
  </w:abstractNum>
  <w:abstractNum w:abstractNumId="127">
    <w:nsid w:val="2157F6BC"/>
    <w:multiLevelType w:val="hybridMultilevel"/>
    <w:lvl w:ilvl="0">
      <w:lvlJc w:val="left"/>
      <w:lvlText w:val="(%1)"/>
      <w:numFmt w:val="upperLetter"/>
      <w:start w:val="1"/>
    </w:lvl>
  </w:abstractNum>
  <w:abstractNum w:abstractNumId="128">
    <w:nsid w:val="704E1DD5"/>
    <w:multiLevelType w:val="hybridMultilevel"/>
    <w:lvl w:ilvl="0">
      <w:lvlJc w:val="left"/>
      <w:lvlText w:val="(%1)"/>
      <w:numFmt w:val="upperLetter"/>
      <w:start w:val="1"/>
    </w:lvl>
  </w:abstractNum>
  <w:abstractNum w:abstractNumId="129">
    <w:nsid w:val="57D2F10E"/>
    <w:multiLevelType w:val="hybridMultilevel"/>
    <w:lvl w:ilvl="0">
      <w:lvlJc w:val="left"/>
      <w:lvlText w:val="(%1)"/>
      <w:numFmt w:val="upperLetter"/>
      <w:start w:val="1"/>
    </w:lvl>
  </w:abstractNum>
  <w:abstractNum w:abstractNumId="130">
    <w:nsid w:val="BFFAE18"/>
    <w:multiLevelType w:val="hybridMultilevel"/>
    <w:lvl w:ilvl="0">
      <w:lvlJc w:val="left"/>
      <w:lvlText w:val="(%1)"/>
      <w:numFmt w:val="upperLetter"/>
      <w:start w:val="1"/>
    </w:lvl>
  </w:abstractNum>
  <w:abstractNum w:abstractNumId="131">
    <w:nsid w:val="E3E47A8"/>
    <w:multiLevelType w:val="hybridMultilevel"/>
    <w:lvl w:ilvl="0">
      <w:lvlJc w:val="left"/>
      <w:lvlText w:val="(%1)"/>
      <w:numFmt w:val="upperLetter"/>
      <w:start w:val="2"/>
    </w:lvl>
  </w:abstractNum>
  <w:abstractNum w:abstractNumId="132">
    <w:nsid w:val="2E48F044"/>
    <w:multiLevelType w:val="hybridMultilevel"/>
    <w:lvl w:ilvl="0">
      <w:lvlJc w:val="left"/>
      <w:lvlText w:val="(%1)"/>
      <w:numFmt w:val="upperLetter"/>
      <w:start w:val="1"/>
    </w:lvl>
  </w:abstractNum>
  <w:abstractNum w:abstractNumId="133">
    <w:nsid w:val="49D0FEAC"/>
    <w:multiLevelType w:val="hybridMultilevel"/>
    <w:lvl w:ilvl="0">
      <w:lvlJc w:val="left"/>
      <w:lvlText w:val="(%1)"/>
      <w:numFmt w:val="upperLetter"/>
      <w:start w:val="1"/>
    </w:lvl>
  </w:abstractNum>
  <w:abstractNum w:abstractNumId="134">
    <w:nsid w:val="4BEE5A5B"/>
    <w:multiLevelType w:val="hybridMultilevel"/>
    <w:lvl w:ilvl="0">
      <w:lvlJc w:val="left"/>
      <w:lvlText w:val="(%1)"/>
      <w:numFmt w:val="upperLetter"/>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
      <w:numFmt w:val="bullet"/>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2025-08-23T05:27:39Z</dcterms:created>
  <dcterms:modified xsi:type="dcterms:W3CDTF">2025-08-23T05:27:39Z</dcterms:modified>
</cp:coreProperties>
</file>