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Ou June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6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29,088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28.54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4,483,789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31,521,107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31,521,107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does not have or share investment or voting control of the previously reported children's trusts. As a result, the reporting person does not have a reportable pecuniary interest in those shares for Section 16 reporting purposes.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71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718</Words>
  <Characters>3832</Characters>
  <CharactersWithSpaces>4466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