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6100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October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Figure Technology 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28" w:type="dxa"/>
          <w:right w:w="0" w:type="dxa"/>
        </w:tblCellMar>
      </w:tblPr>
      <w:tblGrid>
        <w:gridCol w:w="2270"/>
        <w:gridCol w:w="60"/>
        <w:gridCol w:w="1145"/>
        <w:gridCol w:w="60"/>
        <w:gridCol w:w="1565"/>
      </w:tblGrid>
      <w:tr>
        <w:trPr/>
        <w:tc>
          <w:tcPr>
            <w:tcW w:w="22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C_edei--EntityIncorporationStateCo"/>
            <w:bookmarkEnd w:id="5"/>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2_edei--EntityFileNumber_c20261006"/>
            <w:bookmarkEnd w:id="6"/>
            <w:r>
              <w:rPr>
                <w:rFonts w:ascii="Times New Roman;Times;Serif" w:hAnsi="Times New Roman;Times;Serif"/>
                <w:b/>
                <w:i w:val="false"/>
                <w:caps w:val="false"/>
                <w:smallCaps w:val="false"/>
                <w:sz w:val="20"/>
              </w:rPr>
              <w:t>001-42829</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6_edei--EntityTaxIdentificationNum"/>
            <w:bookmarkEnd w:id="7"/>
            <w:r>
              <w:rPr>
                <w:rFonts w:ascii="Times New Roman;Times;Serif" w:hAnsi="Times New Roman;Times;Serif"/>
                <w:b/>
                <w:i w:val="false"/>
                <w:caps w:val="false"/>
                <w:smallCaps w:val="false"/>
                <w:sz w:val="20"/>
              </w:rPr>
              <w:t>99-2556408</w:t>
            </w:r>
          </w:p>
        </w:tc>
      </w:tr>
      <w:tr>
        <w:trPr/>
        <w:tc>
          <w:tcPr>
            <w:tcW w:w="22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100 West Liberty Street, </w:t>
            </w:r>
            <w:bookmarkStart w:id="9" w:name="xdx_909_edei--EntityAddressAddressLine2_"/>
            <w:bookmarkEnd w:id="9"/>
            <w:r>
              <w:rPr>
                <w:rFonts w:ascii="Times New Roman;Times;Serif" w:hAnsi="Times New Roman;Times;Serif"/>
                <w:b/>
                <w:i w:val="false"/>
                <w:caps w:val="false"/>
                <w:smallCaps w:val="false"/>
                <w:sz w:val="20"/>
              </w:rPr>
              <w:t>Suite 600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9_edei--EntityAddressCityOrTown_c2"/>
            <w:bookmarkEnd w:id="10"/>
            <w:r>
              <w:rPr>
                <w:rFonts w:ascii="Times New Roman;Times;Serif" w:hAnsi="Times New Roman;Times;Serif"/>
                <w:b/>
                <w:i w:val="false"/>
                <w:caps w:val="false"/>
                <w:smallCaps w:val="false"/>
                <w:sz w:val="20"/>
              </w:rPr>
              <w:t xml:space="preserve">Reno, </w:t>
            </w:r>
            <w:bookmarkStart w:id="11" w:name="xdx_902_edei--EntityAddressStateOrProvin"/>
            <w:bookmarkEnd w:id="11"/>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7_edei--EntityAddressPostalZipCode"/>
            <w:bookmarkEnd w:id="12"/>
            <w:r>
              <w:rPr>
                <w:rFonts w:ascii="Times New Roman;Times;Serif" w:hAnsi="Times New Roman;Times;Serif"/>
                <w:b/>
                <w:i w:val="false"/>
                <w:caps w:val="false"/>
                <w:smallCaps w:val="false"/>
                <w:sz w:val="20"/>
              </w:rPr>
              <w:t>89501</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4_edei--CityAreaCode_c20261006__20"/>
      <w:bookmarkEnd w:id="13"/>
      <w:r>
        <w:rPr>
          <w:rFonts w:ascii="Times New Roman;Times;Serif" w:hAnsi="Times New Roman;Times;Serif"/>
          <w:b/>
          <w:i w:val="false"/>
          <w:caps w:val="false"/>
          <w:smallCaps w:val="false"/>
          <w:sz w:val="20"/>
        </w:rPr>
        <w:t xml:space="preserve">(917) </w:t>
      </w:r>
      <w:bookmarkStart w:id="14" w:name="xdx_90E_edei--LocalPhoneNumber_c20261006"/>
      <w:bookmarkEnd w:id="14"/>
      <w:r>
        <w:rPr>
          <w:rFonts w:ascii="Times New Roman;Times;Serif" w:hAnsi="Times New Roman;Times;Serif"/>
          <w:b/>
          <w:i w:val="false"/>
          <w:caps w:val="false"/>
          <w:smallCaps w:val="false"/>
          <w:sz w:val="20"/>
        </w:rPr>
        <w:t>789-8049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Former name or former address, if changed since last report)</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6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2_edei--SolicitingMaterial_c202610"/>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D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B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525" w:type="dxa"/>
        <w:jc w:val="left"/>
        <w:tblInd w:w="0" w:type="dxa"/>
        <w:tblLayout w:type="fixed"/>
        <w:tblCellMar>
          <w:top w:w="0" w:type="dxa"/>
          <w:left w:w="0" w:type="dxa"/>
          <w:bottom w:w="0" w:type="dxa"/>
          <w:right w:w="0" w:type="dxa"/>
        </w:tblCellMar>
      </w:tblPr>
      <w:tblGrid>
        <w:gridCol w:w="4280"/>
        <w:gridCol w:w="60"/>
        <w:gridCol w:w="1415"/>
        <w:gridCol w:w="60"/>
        <w:gridCol w:w="3710"/>
      </w:tblGrid>
      <w:tr>
        <w:trPr/>
        <w:tc>
          <w:tcPr>
            <w:tcW w:w="428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28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B_edei--Security12bTitle_c20261006"/>
            <w:bookmarkEnd w:id="19"/>
            <w:r>
              <w:rPr>
                <w:rFonts w:ascii="Times New Roman;Times;Serif" w:hAnsi="Times New Roman;Times;Serif"/>
                <w:b w:val="false"/>
                <w:i w:val="false"/>
                <w:caps w:val="false"/>
                <w:smallCaps w:val="false"/>
                <w:sz w:val="20"/>
              </w:rPr>
              <w:t>Class A Common Stock, par value $0.0001 per share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1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2_edei--TradingSymbol_c20261006__2"/>
            <w:bookmarkEnd w:id="20"/>
            <w:r>
              <w:rPr>
                <w:rFonts w:ascii="Times New Roman;Times;Serif" w:hAnsi="Times New Roman;Times;Serif"/>
                <w:b w:val="false"/>
                <w:i w:val="false"/>
                <w:caps w:val="false"/>
                <w:smallCaps w:val="false"/>
                <w:sz w:val="20"/>
              </w:rPr>
              <w:t>FIGR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71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8_edei--SecurityExchangeName_c2026"/>
            <w:bookmarkEnd w:id="21"/>
            <w:r>
              <w:rPr>
                <w:rFonts w:ascii="Times New Roman;Times;Serif" w:hAnsi="Times New Roman;Times;Serif"/>
                <w:b w:val="false"/>
                <w:i w:val="false"/>
                <w:caps w:val="false"/>
                <w:smallCaps w:val="false"/>
                <w:sz w:val="20"/>
              </w:rPr>
              <w:t>The Nasdaq Global Select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 Emerging growth company </w:t>
      </w:r>
      <w:bookmarkStart w:id="22" w:name="xdx_908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1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Figure Technology Solutions, Inc. (the “Company”) issued a press release announcing certain preliminary operating results for the quarter ended September 30, 2026. A copy of the press release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Current Report on Form 8-K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following Exhibit 99.1 relates to Item 2.02 and shall be deemed to be furnished, and not filed:</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October 6, 2026</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center"/>
        <w:rPr>
          <w:caps w:val="false"/>
          <w:smallCaps w:val="false"/>
        </w:rPr>
      </w:pPr>
      <w:r>
        <w:rPr>
          <w:caps w:val="false"/>
          <w:smallCaps w:val="false"/>
        </w:rPr>
        <w:t> </w:t>
      </w:r>
    </w:p>
    <w:tbl>
      <w:tblPr>
        <w:tblW w:w="5454" w:type="dxa"/>
        <w:jc w:val="left"/>
        <w:tblInd w:w="0" w:type="dxa"/>
        <w:tblLayout w:type="fixed"/>
        <w:tblCellMar>
          <w:top w:w="0" w:type="dxa"/>
          <w:left w:w="0" w:type="dxa"/>
          <w:bottom w:w="0" w:type="dxa"/>
          <w:right w:w="0" w:type="dxa"/>
        </w:tblCellMar>
      </w:tblPr>
      <w:tblGrid>
        <w:gridCol w:w="1820"/>
        <w:gridCol w:w="349"/>
        <w:gridCol w:w="3285"/>
      </w:tblGrid>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36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TECHNOLOGY SOLUTIONS, INC.</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349" w:type="dxa"/>
            <w:tcBorders/>
            <w:vAlign w:val="center"/>
          </w:tcPr>
          <w:p>
            <w:pPr>
              <w:pStyle w:val="TableContents"/>
              <w:bidi w:val="0"/>
              <w:spacing w:before="0" w:after="283"/>
              <w:jc w:val="left"/>
              <w:rPr>
                <w:caps w:val="false"/>
                <w:smallCaps w:val="false"/>
              </w:rPr>
            </w:pPr>
            <w:r>
              <w:rPr>
                <w:caps w:val="false"/>
                <w:smallCaps w:val="false"/>
              </w:rPr>
              <w:t> </w:t>
            </w:r>
          </w:p>
        </w:tc>
        <w:tc>
          <w:tcPr>
            <w:tcW w:w="32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6, 2026</w:t>
            </w:r>
          </w:p>
        </w:tc>
        <w:tc>
          <w:tcPr>
            <w:tcW w:w="3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Tannenbaum</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349" w:type="dxa"/>
            <w:tcBorders/>
            <w:vAlign w:val="center"/>
          </w:tcPr>
          <w:p>
            <w:pPr>
              <w:pStyle w:val="TableContents"/>
              <w:bidi w:val="0"/>
              <w:spacing w:before="0" w:after="283"/>
              <w:jc w:val="left"/>
              <w:rPr>
                <w:caps w:val="false"/>
                <w:smallCaps w:val="false"/>
              </w:rPr>
            </w:pPr>
            <w:r>
              <w:rPr>
                <w:caps w:val="false"/>
                <w:smallCaps w:val="false"/>
              </w:rPr>
              <w:t> </w:t>
            </w:r>
          </w:p>
        </w:tc>
        <w:tc>
          <w:tcPr>
            <w:tcW w:w="3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Tannenbaum</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349" w:type="dxa"/>
            <w:tcBorders/>
            <w:vAlign w:val="center"/>
          </w:tcPr>
          <w:p>
            <w:pPr>
              <w:pStyle w:val="TableContents"/>
              <w:bidi w:val="0"/>
              <w:spacing w:before="0" w:after="283"/>
              <w:jc w:val="left"/>
              <w:rPr>
                <w:caps w:val="false"/>
                <w:smallCaps w:val="false"/>
              </w:rPr>
            </w:pPr>
            <w:r>
              <w:rPr>
                <w:caps w:val="false"/>
                <w:smallCaps w:val="false"/>
              </w:rPr>
              <w:t> </w:t>
            </w:r>
          </w:p>
        </w:tc>
        <w:tc>
          <w:tcPr>
            <w:tcW w:w="3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bookmarkStart w:id="24" w:name="ex99-1.htm"/>
      <w:bookmarkStart w:id="25" w:name="ksex991"/>
      <w:bookmarkEnd w:id="24"/>
      <w:bookmarkEnd w:id="25"/>
      <w:r>
        <w:rPr>
          <w:caps w:val="false"/>
          <w:smallCaps w:val="false"/>
        </w:rPr>
        <w:t> </w:t>
      </w:r>
      <w:r>
        <w:br w:type="page"/>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FIGURE TECHNOLOGY SOLUTIONS REPORTS PRELIMINARY September &amp; Q3 2026 OPERATING DATA</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October 6, 2026 (GLOBE NEWSWIRE) — Figure Technology Solutions, Inc. (Nasdaq: FIGR; OPEN: FGRS) (“Figure”), the leading blockchain-native capital marketplace for the origination, funding, sale, and trading of tokenized assets, today reported select unaudited preliminary operating data for the month and quarter ended September 30, 2026 that was at the high end of the Company’s previously issued guidance range of $4.8B - $5.2B.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Loan Marketplace Volume as presented in this release for September and Q3 2026 excludes volume originated on the Kiavi platform following the September 1, 2026 closing (“Merger”). The Company’s previously issued Q3 2026 guidance did not include the contribution of Kiavi. Kiavi loan volumes for the approximate one-month period post Merger will be included with Figure’s Q3 2026 financial results, to be released in November.</w:t>
      </w:r>
    </w:p>
    <w:p>
      <w:pPr>
        <w:pStyle w:val="TextBody"/>
        <w:bidi w:val="0"/>
        <w:spacing w:before="0" w:after="0"/>
        <w:ind w:left="0" w:right="0" w:hanging="0"/>
        <w:jc w:val="both"/>
        <w:rPr>
          <w:caps w:val="false"/>
          <w:smallCaps w:val="false"/>
        </w:rPr>
      </w:pPr>
      <w:r>
        <w:rPr>
          <w:caps w:val="false"/>
          <w:smallCaps w:val="false"/>
        </w:rPr>
        <w:t> </w:t>
      </w:r>
    </w:p>
    <w:tbl>
      <w:tblPr>
        <w:tblW w:w="8410" w:type="dxa"/>
        <w:jc w:val="left"/>
        <w:tblInd w:w="0" w:type="dxa"/>
        <w:tblLayout w:type="fixed"/>
        <w:tblCellMar>
          <w:top w:w="0" w:type="dxa"/>
          <w:left w:w="0" w:type="dxa"/>
          <w:bottom w:w="28" w:type="dxa"/>
          <w:right w:w="0" w:type="dxa"/>
        </w:tblCellMar>
      </w:tblPr>
      <w:tblGrid>
        <w:gridCol w:w="3170"/>
        <w:gridCol w:w="60"/>
        <w:gridCol w:w="217"/>
        <w:gridCol w:w="868"/>
        <w:gridCol w:w="60"/>
        <w:gridCol w:w="60"/>
        <w:gridCol w:w="154"/>
        <w:gridCol w:w="616"/>
        <w:gridCol w:w="60"/>
        <w:gridCol w:w="60"/>
        <w:gridCol w:w="124"/>
        <w:gridCol w:w="541"/>
        <w:gridCol w:w="215"/>
        <w:gridCol w:w="60"/>
        <w:gridCol w:w="275"/>
        <w:gridCol w:w="750"/>
        <w:gridCol w:w="60"/>
        <w:gridCol w:w="60"/>
        <w:gridCol w:w="105"/>
        <w:gridCol w:w="665"/>
        <w:gridCol w:w="230"/>
      </w:tblGrid>
      <w:tr>
        <w:trPr/>
        <w:tc>
          <w:tcPr>
            <w:tcW w:w="3170" w:type="dxa"/>
            <w:tcBorders>
              <w:bottom w:val="single" w:sz="8" w:space="0" w:color="000000"/>
            </w:tcBorders>
            <w:vAlign w:val="center"/>
          </w:tcPr>
          <w:p>
            <w:pPr>
              <w:pStyle w:val="TableContents"/>
              <w:bidi w:val="0"/>
              <w:spacing w:before="0" w:after="283"/>
              <w:jc w:val="left"/>
              <w:rPr/>
            </w:pPr>
            <w:r>
              <w:rPr/>
              <w:t>Dollars in Millions</w:t>
            </w:r>
          </w:p>
        </w:tc>
        <w:tc>
          <w:tcPr>
            <w:tcW w:w="60" w:type="dxa"/>
            <w:tcBorders/>
            <w:tcMar>
              <w:bottom w:w="0" w:type="dxa"/>
            </w:tcMar>
            <w:vAlign w:val="center"/>
          </w:tcPr>
          <w:p>
            <w:pPr>
              <w:pStyle w:val="TableContents"/>
              <w:bidi w:val="0"/>
              <w:spacing w:before="0" w:after="283"/>
              <w:jc w:val="center"/>
              <w:rPr/>
            </w:pPr>
            <w:r>
              <w:rPr/>
              <w:t> </w:t>
            </w:r>
          </w:p>
        </w:tc>
        <w:tc>
          <w:tcPr>
            <w:tcW w:w="1085" w:type="dxa"/>
            <w:gridSpan w:val="2"/>
            <w:tcBorders>
              <w:bottom w:val="single" w:sz="8" w:space="0" w:color="000000"/>
            </w:tcBorders>
            <w:vAlign w:val="center"/>
          </w:tcPr>
          <w:p>
            <w:pPr>
              <w:pStyle w:val="TableContents"/>
              <w:bidi w:val="0"/>
              <w:spacing w:before="0" w:after="283"/>
              <w:jc w:val="center"/>
              <w:rPr/>
            </w:pPr>
            <w:r>
              <w:rPr/>
              <w:t xml:space="preserve">September </w:t>
              <w:br/>
              <w:t>2026</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0" w:type="dxa"/>
            <w:gridSpan w:val="2"/>
            <w:tcBorders>
              <w:bottom w:val="single" w:sz="8" w:space="0" w:color="000000"/>
            </w:tcBorders>
            <w:vAlign w:val="center"/>
          </w:tcPr>
          <w:p>
            <w:pPr>
              <w:pStyle w:val="TableContents"/>
              <w:bidi w:val="0"/>
              <w:spacing w:before="0" w:after="283"/>
              <w:jc w:val="center"/>
              <w:rPr/>
            </w:pPr>
            <w:r>
              <w:rPr/>
              <w:t xml:space="preserve">August </w:t>
              <w:br/>
              <w:t>2026</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6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M/M</w:t>
            </w:r>
          </w:p>
          <w:p>
            <w:pPr>
              <w:pStyle w:val="TableContents"/>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25" w:type="dxa"/>
            <w:gridSpan w:val="2"/>
            <w:tcBorders>
              <w:bottom w:val="single" w:sz="8" w:space="0" w:color="000000"/>
            </w:tcBorders>
            <w:vAlign w:val="center"/>
          </w:tcPr>
          <w:p>
            <w:pPr>
              <w:pStyle w:val="TableContents"/>
              <w:bidi w:val="0"/>
              <w:spacing w:before="0" w:after="283"/>
              <w:jc w:val="center"/>
              <w:rPr/>
            </w:pPr>
            <w:r>
              <w:rPr/>
              <w:t>September</w:t>
              <w:br/>
              <w:t>2025</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0" w:type="dxa"/>
            <w:gridSpan w:val="2"/>
            <w:tcBorders>
              <w:bottom w:val="single" w:sz="8" w:space="0" w:color="000000"/>
            </w:tcBorders>
            <w:vAlign w:val="center"/>
          </w:tcPr>
          <w:p>
            <w:pPr>
              <w:pStyle w:val="TableContents"/>
              <w:bidi w:val="0"/>
              <w:spacing w:before="0" w:after="283"/>
              <w:jc w:val="center"/>
              <w:rPr>
                <w:i/>
              </w:rPr>
            </w:pPr>
            <w:r>
              <w:rPr>
                <w:i/>
              </w:rPr>
              <w:t>Y/Y</w:t>
              <w:br/>
              <w:t>Change</w:t>
            </w:r>
          </w:p>
        </w:tc>
        <w:tc>
          <w:tcPr>
            <w:tcW w:w="230" w:type="dxa"/>
            <w:tcBorders/>
            <w:tcMar>
              <w:bottom w:w="0" w:type="dxa"/>
            </w:tcMar>
            <w:vAlign w:val="center"/>
          </w:tcPr>
          <w:p>
            <w:pPr>
              <w:pStyle w:val="TableContents"/>
              <w:bidi w:val="0"/>
              <w:spacing w:before="0" w:after="283"/>
              <w:jc w:val="center"/>
              <w:rPr/>
            </w:pPr>
            <w:r>
              <w:rPr/>
              <w:t> </w:t>
            </w:r>
          </w:p>
        </w:tc>
      </w:tr>
      <w:tr>
        <w:trPr/>
        <w:tc>
          <w:tcPr>
            <w:tcW w:w="31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5" w:type="dxa"/>
            <w:gridSpan w:val="2"/>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0" w:type="dxa"/>
            <w:gridSpan w:val="2"/>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5" w:type="dxa"/>
            <w:gridSpan w:val="2"/>
            <w:tcBorders/>
            <w:tcMar>
              <w:bottom w:w="0" w:type="dxa"/>
            </w:tcMar>
            <w:vAlign w:val="center"/>
          </w:tcPr>
          <w:p>
            <w:pPr>
              <w:pStyle w:val="TableContents"/>
              <w:bidi w:val="0"/>
              <w:spacing w:before="0" w:after="283"/>
              <w:jc w:val="both"/>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5" w:type="dxa"/>
            <w:gridSpan w:val="2"/>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0" w:type="dxa"/>
            <w:gridSpan w:val="2"/>
            <w:tcBorders/>
            <w:tcMar>
              <w:bottom w:w="0" w:type="dxa"/>
            </w:tcMar>
            <w:vAlign w:val="center"/>
          </w:tcPr>
          <w:p>
            <w:pPr>
              <w:pStyle w:val="TableContents"/>
              <w:bidi w:val="0"/>
              <w:spacing w:before="0" w:after="283"/>
              <w:jc w:val="both"/>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3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Consumer Loan Marketplace Volume</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w:t>
            </w:r>
          </w:p>
        </w:tc>
        <w:tc>
          <w:tcPr>
            <w:tcW w:w="868" w:type="dxa"/>
            <w:tcBorders/>
            <w:shd w:fill="CCEEFF" w:val="clear"/>
            <w:tcMar>
              <w:bottom w:w="0" w:type="dxa"/>
            </w:tcMar>
            <w:vAlign w:val="center"/>
          </w:tcPr>
          <w:p>
            <w:pPr>
              <w:pStyle w:val="TableContents"/>
              <w:bidi w:val="0"/>
              <w:spacing w:before="0" w:after="283"/>
              <w:jc w:val="right"/>
              <w:rPr/>
            </w:pPr>
            <w:r>
              <w:rPr/>
              <w:t>1,783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w:t>
            </w:r>
          </w:p>
        </w:tc>
        <w:tc>
          <w:tcPr>
            <w:tcW w:w="616" w:type="dxa"/>
            <w:tcBorders/>
            <w:shd w:fill="CCEEFF" w:val="clear"/>
            <w:tcMar>
              <w:bottom w:w="0" w:type="dxa"/>
            </w:tcMar>
            <w:vAlign w:val="center"/>
          </w:tcPr>
          <w:p>
            <w:pPr>
              <w:pStyle w:val="TableContents"/>
              <w:bidi w:val="0"/>
              <w:spacing w:before="0" w:after="283"/>
              <w:jc w:val="right"/>
              <w:rPr/>
            </w:pPr>
            <w:r>
              <w:rPr/>
              <w:t>1,640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i/>
              </w:rPr>
            </w:pPr>
            <w:r>
              <w:rPr>
                <w:i/>
              </w:rPr>
              <w:t>9</w:t>
            </w:r>
          </w:p>
        </w:tc>
        <w:tc>
          <w:tcPr>
            <w:tcW w:w="215" w:type="dxa"/>
            <w:tcBorders/>
            <w:shd w:fill="CCEEFF" w:val="clear"/>
            <w:tcMar>
              <w:bottom w:w="0" w:type="dxa"/>
            </w:tcMar>
            <w:vAlign w:val="center"/>
          </w:tcPr>
          <w:p>
            <w:pPr>
              <w:pStyle w:val="TableContents"/>
              <w:bidi w:val="0"/>
              <w:spacing w:before="0" w:after="283"/>
              <w:jc w:val="left"/>
              <w:rPr>
                <w:i/>
              </w:rPr>
            </w:pPr>
            <w:r>
              <w:rPr>
                <w:i/>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5" w:type="dxa"/>
            <w:tcBorders/>
            <w:shd w:fill="CCEEFF" w:val="clear"/>
            <w:tcMar>
              <w:bottom w:w="0" w:type="dxa"/>
            </w:tcMar>
            <w:vAlign w:val="center"/>
          </w:tcPr>
          <w:p>
            <w:pPr>
              <w:pStyle w:val="TableContents"/>
              <w:bidi w:val="0"/>
              <w:spacing w:before="0" w:after="283"/>
              <w:jc w:val="left"/>
              <w:rPr/>
            </w:pPr>
            <w:r>
              <w:rPr/>
              <w:t>$</w:t>
            </w:r>
          </w:p>
        </w:tc>
        <w:tc>
          <w:tcPr>
            <w:tcW w:w="750" w:type="dxa"/>
            <w:tcBorders/>
            <w:shd w:fill="CCEEFF" w:val="clear"/>
            <w:tcMar>
              <w:bottom w:w="0" w:type="dxa"/>
            </w:tcMar>
            <w:vAlign w:val="center"/>
          </w:tcPr>
          <w:p>
            <w:pPr>
              <w:pStyle w:val="TableContents"/>
              <w:bidi w:val="0"/>
              <w:spacing w:before="0" w:after="283"/>
              <w:jc w:val="right"/>
              <w:rPr/>
            </w:pPr>
            <w:r>
              <w:rPr/>
              <w:t>876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i/>
              </w:rPr>
            </w:pPr>
            <w:r>
              <w:rPr>
                <w:i/>
              </w:rPr>
              <w:t>104</w:t>
            </w:r>
          </w:p>
        </w:tc>
        <w:tc>
          <w:tcPr>
            <w:tcW w:w="230" w:type="dxa"/>
            <w:tcBorders/>
            <w:shd w:fill="CCEEFF" w:val="clear"/>
            <w:tcMar>
              <w:bottom w:w="0" w:type="dxa"/>
            </w:tcMar>
            <w:vAlign w:val="center"/>
          </w:tcPr>
          <w:p>
            <w:pPr>
              <w:pStyle w:val="TableContents"/>
              <w:bidi w:val="0"/>
              <w:spacing w:before="0" w:after="283"/>
              <w:jc w:val="left"/>
              <w:rPr>
                <w:i/>
              </w:rPr>
            </w:pPr>
            <w:r>
              <w:rPr>
                <w:i/>
              </w:rPr>
              <w:t>%</w:t>
            </w:r>
          </w:p>
        </w:tc>
      </w:tr>
      <w:tr>
        <w:trPr/>
        <w:tc>
          <w:tcPr>
            <w:tcW w:w="3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$YLDS In Circulation</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w:t>
            </w:r>
          </w:p>
        </w:tc>
        <w:tc>
          <w:tcPr>
            <w:tcW w:w="868" w:type="dxa"/>
            <w:tcBorders/>
            <w:shd w:fill="FFFFFF" w:val="clear"/>
            <w:tcMar>
              <w:bottom w:w="0" w:type="dxa"/>
            </w:tcMar>
            <w:vAlign w:val="center"/>
          </w:tcPr>
          <w:p>
            <w:pPr>
              <w:pStyle w:val="TableContents"/>
              <w:bidi w:val="0"/>
              <w:spacing w:before="0" w:after="283"/>
              <w:jc w:val="right"/>
              <w:rPr/>
            </w:pPr>
            <w:r>
              <w:rPr/>
              <w:t>504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w:t>
            </w:r>
          </w:p>
        </w:tc>
        <w:tc>
          <w:tcPr>
            <w:tcW w:w="616" w:type="dxa"/>
            <w:tcBorders/>
            <w:shd w:fill="FFFFFF" w:val="clear"/>
            <w:tcMar>
              <w:bottom w:w="0" w:type="dxa"/>
            </w:tcMar>
            <w:vAlign w:val="center"/>
          </w:tcPr>
          <w:p>
            <w:pPr>
              <w:pStyle w:val="TableContents"/>
              <w:bidi w:val="0"/>
              <w:spacing w:before="0" w:after="283"/>
              <w:jc w:val="right"/>
              <w:rPr/>
            </w:pPr>
            <w:r>
              <w:rPr/>
              <w:t>446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i/>
              </w:rPr>
            </w:pPr>
            <w:r>
              <w:rPr>
                <w:i/>
              </w:rPr>
              <w:t>13</w:t>
            </w:r>
          </w:p>
        </w:tc>
        <w:tc>
          <w:tcPr>
            <w:tcW w:w="215" w:type="dxa"/>
            <w:tcBorders/>
            <w:shd w:fill="FFFFFF" w:val="clear"/>
            <w:tcMar>
              <w:bottom w:w="0" w:type="dxa"/>
            </w:tcMar>
            <w:vAlign w:val="center"/>
          </w:tcPr>
          <w:p>
            <w:pPr>
              <w:pStyle w:val="TableContents"/>
              <w:bidi w:val="0"/>
              <w:spacing w:before="0" w:after="283"/>
              <w:jc w:val="left"/>
              <w:rPr>
                <w:i/>
              </w:rPr>
            </w:pPr>
            <w:r>
              <w:rPr>
                <w:i/>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5" w:type="dxa"/>
            <w:tcBorders/>
            <w:shd w:fill="FFFFFF" w:val="clear"/>
            <w:tcMar>
              <w:bottom w:w="0" w:type="dxa"/>
            </w:tcMar>
            <w:vAlign w:val="center"/>
          </w:tcPr>
          <w:p>
            <w:pPr>
              <w:pStyle w:val="TableContents"/>
              <w:bidi w:val="0"/>
              <w:spacing w:before="0" w:after="283"/>
              <w:jc w:val="left"/>
              <w:rPr/>
            </w:pPr>
            <w:r>
              <w:rPr/>
              <w:t>$</w:t>
            </w:r>
          </w:p>
        </w:tc>
        <w:tc>
          <w:tcPr>
            <w:tcW w:w="750" w:type="dxa"/>
            <w:tcBorders/>
            <w:shd w:fill="FFFFFF" w:val="clear"/>
            <w:tcMar>
              <w:bottom w:w="0" w:type="dxa"/>
            </w:tcMar>
            <w:vAlign w:val="center"/>
          </w:tcPr>
          <w:p>
            <w:pPr>
              <w:pStyle w:val="TableContents"/>
              <w:bidi w:val="0"/>
              <w:spacing w:before="0" w:after="283"/>
              <w:jc w:val="right"/>
              <w:rPr/>
            </w:pPr>
            <w:r>
              <w:rPr/>
              <w:t>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3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Democratized Prime</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86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5" w:type="dxa"/>
            <w:tcBorders/>
            <w:shd w:fill="CCEEFF" w:val="clear"/>
            <w:tcMar>
              <w:bottom w:w="0" w:type="dxa"/>
            </w:tcMar>
            <w:vAlign w:val="center"/>
          </w:tcPr>
          <w:p>
            <w:pPr>
              <w:pStyle w:val="TableContents"/>
              <w:bidi w:val="0"/>
              <w:spacing w:before="0" w:after="283"/>
              <w:jc w:val="left"/>
              <w:rPr/>
            </w:pPr>
            <w:r>
              <w:rPr/>
              <w:t> </w:t>
            </w:r>
          </w:p>
        </w:tc>
        <w:tc>
          <w:tcPr>
            <w:tcW w:w="7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170" w:type="dxa"/>
            <w:tcBorders/>
            <w:shd w:fill="FFFFFF" w:val="clear"/>
            <w:tcMar>
              <w:bottom w:w="0" w:type="dxa"/>
            </w:tcMar>
            <w:vAlign w:val="center"/>
          </w:tcPr>
          <w:p>
            <w:pPr>
              <w:pStyle w:val="TableContents"/>
              <w:bidi w:val="0"/>
              <w:spacing w:before="0" w:after="283"/>
              <w:jc w:val="left"/>
              <w:rPr/>
            </w:pPr>
            <w:r>
              <w:rPr/>
              <w:t>Matched Offers Balance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w:t>
            </w:r>
          </w:p>
        </w:tc>
        <w:tc>
          <w:tcPr>
            <w:tcW w:w="868" w:type="dxa"/>
            <w:tcBorders/>
            <w:shd w:fill="FFFFFF" w:val="clear"/>
            <w:tcMar>
              <w:bottom w:w="0" w:type="dxa"/>
            </w:tcMar>
            <w:vAlign w:val="center"/>
          </w:tcPr>
          <w:p>
            <w:pPr>
              <w:pStyle w:val="TableContents"/>
              <w:bidi w:val="0"/>
              <w:spacing w:before="0" w:after="283"/>
              <w:jc w:val="right"/>
              <w:rPr/>
            </w:pPr>
            <w:r>
              <w:rPr/>
              <w:t>588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w:t>
            </w:r>
          </w:p>
        </w:tc>
        <w:tc>
          <w:tcPr>
            <w:tcW w:w="616" w:type="dxa"/>
            <w:tcBorders/>
            <w:shd w:fill="FFFFFF" w:val="clear"/>
            <w:tcMar>
              <w:bottom w:w="0" w:type="dxa"/>
            </w:tcMar>
            <w:vAlign w:val="center"/>
          </w:tcPr>
          <w:p>
            <w:pPr>
              <w:pStyle w:val="TableContents"/>
              <w:bidi w:val="0"/>
              <w:spacing w:before="0" w:after="283"/>
              <w:jc w:val="right"/>
              <w:rPr/>
            </w:pPr>
            <w:r>
              <w:rPr/>
              <w:t>583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i/>
              </w:rPr>
            </w:pPr>
            <w:r>
              <w:rPr>
                <w:i/>
              </w:rPr>
              <w:t>1</w:t>
            </w:r>
          </w:p>
        </w:tc>
        <w:tc>
          <w:tcPr>
            <w:tcW w:w="215" w:type="dxa"/>
            <w:tcBorders/>
            <w:shd w:fill="FFFFFF" w:val="clear"/>
            <w:tcMar>
              <w:bottom w:w="0" w:type="dxa"/>
            </w:tcMar>
            <w:vAlign w:val="center"/>
          </w:tcPr>
          <w:p>
            <w:pPr>
              <w:pStyle w:val="TableContents"/>
              <w:bidi w:val="0"/>
              <w:spacing w:before="0" w:after="283"/>
              <w:jc w:val="left"/>
              <w:rPr>
                <w:i/>
              </w:rPr>
            </w:pPr>
            <w:r>
              <w:rPr>
                <w:i/>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5" w:type="dxa"/>
            <w:tcBorders/>
            <w:shd w:fill="FFFFFF" w:val="clear"/>
            <w:tcMar>
              <w:bottom w:w="0" w:type="dxa"/>
            </w:tcMar>
            <w:vAlign w:val="center"/>
          </w:tcPr>
          <w:p>
            <w:pPr>
              <w:pStyle w:val="TableContents"/>
              <w:bidi w:val="0"/>
              <w:spacing w:before="0" w:after="283"/>
              <w:jc w:val="left"/>
              <w:rPr/>
            </w:pPr>
            <w:r>
              <w:rPr/>
              <w:t>$</w:t>
            </w:r>
          </w:p>
        </w:tc>
        <w:tc>
          <w:tcPr>
            <w:tcW w:w="750" w:type="dxa"/>
            <w:tcBorders/>
            <w:shd w:fill="FFFFFF" w:val="clear"/>
            <w:tcMar>
              <w:bottom w:w="0" w:type="dxa"/>
            </w:tcMar>
            <w:vAlign w:val="center"/>
          </w:tcPr>
          <w:p>
            <w:pPr>
              <w:pStyle w:val="TableContents"/>
              <w:bidi w:val="0"/>
              <w:spacing w:before="0" w:after="283"/>
              <w:jc w:val="right"/>
              <w:rPr/>
            </w:pPr>
            <w:r>
              <w:rPr/>
              <w:t>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3170" w:type="dxa"/>
            <w:tcBorders/>
            <w:shd w:fill="CCEEFF" w:val="clear"/>
            <w:tcMar>
              <w:bottom w:w="0" w:type="dxa"/>
            </w:tcMar>
            <w:vAlign w:val="center"/>
          </w:tcPr>
          <w:p>
            <w:pPr>
              <w:pStyle w:val="TableContents"/>
              <w:bidi w:val="0"/>
              <w:spacing w:before="0" w:after="283"/>
              <w:jc w:val="left"/>
              <w:rPr/>
            </w:pPr>
            <w:r>
              <w:rPr/>
              <w:t>Borrower Demand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w:t>
            </w:r>
          </w:p>
        </w:tc>
        <w:tc>
          <w:tcPr>
            <w:tcW w:w="868" w:type="dxa"/>
            <w:tcBorders/>
            <w:shd w:fill="CCEEFF" w:val="clear"/>
            <w:tcMar>
              <w:bottom w:w="0" w:type="dxa"/>
            </w:tcMar>
            <w:vAlign w:val="center"/>
          </w:tcPr>
          <w:p>
            <w:pPr>
              <w:pStyle w:val="TableContents"/>
              <w:bidi w:val="0"/>
              <w:spacing w:before="0" w:after="283"/>
              <w:jc w:val="right"/>
              <w:rPr/>
            </w:pPr>
            <w:r>
              <w:rPr/>
              <w:t>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w:t>
            </w:r>
          </w:p>
        </w:tc>
        <w:tc>
          <w:tcPr>
            <w:tcW w:w="616" w:type="dxa"/>
            <w:tcBorders/>
            <w:shd w:fill="CCEEFF" w:val="clear"/>
            <w:tcMar>
              <w:bottom w:w="0" w:type="dxa"/>
            </w:tcMar>
            <w:vAlign w:val="center"/>
          </w:tcPr>
          <w:p>
            <w:pPr>
              <w:pStyle w:val="TableContents"/>
              <w:bidi w:val="0"/>
              <w:spacing w:before="0" w:after="283"/>
              <w:jc w:val="right"/>
              <w:rPr/>
            </w:pPr>
            <w:r>
              <w:rPr/>
              <w:t>590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i/>
              </w:rPr>
            </w:pPr>
            <w:r>
              <w:rPr>
                <w:i/>
              </w:rPr>
              <w:t>2</w:t>
            </w:r>
          </w:p>
        </w:tc>
        <w:tc>
          <w:tcPr>
            <w:tcW w:w="215" w:type="dxa"/>
            <w:tcBorders/>
            <w:shd w:fill="CCEEFF" w:val="clear"/>
            <w:tcMar>
              <w:bottom w:w="0" w:type="dxa"/>
            </w:tcMar>
            <w:vAlign w:val="center"/>
          </w:tcPr>
          <w:p>
            <w:pPr>
              <w:pStyle w:val="TableContents"/>
              <w:bidi w:val="0"/>
              <w:spacing w:before="0" w:after="283"/>
              <w:jc w:val="left"/>
              <w:rPr>
                <w:i/>
              </w:rPr>
            </w:pPr>
            <w:r>
              <w:rPr>
                <w:i/>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5" w:type="dxa"/>
            <w:tcBorders/>
            <w:shd w:fill="CCEEFF" w:val="clear"/>
            <w:tcMar>
              <w:bottom w:w="0" w:type="dxa"/>
            </w:tcMar>
            <w:vAlign w:val="center"/>
          </w:tcPr>
          <w:p>
            <w:pPr>
              <w:pStyle w:val="TableContents"/>
              <w:bidi w:val="0"/>
              <w:spacing w:before="0" w:after="283"/>
              <w:jc w:val="left"/>
              <w:rPr/>
            </w:pPr>
            <w:r>
              <w:rPr/>
              <w:t>$</w:t>
            </w:r>
          </w:p>
        </w:tc>
        <w:tc>
          <w:tcPr>
            <w:tcW w:w="750" w:type="dxa"/>
            <w:tcBorders/>
            <w:shd w:fill="CCEEFF" w:val="clear"/>
            <w:tcMar>
              <w:bottom w:w="0" w:type="dxa"/>
            </w:tcMar>
            <w:vAlign w:val="center"/>
          </w:tcPr>
          <w:p>
            <w:pPr>
              <w:pStyle w:val="TableContents"/>
              <w:bidi w:val="0"/>
              <w:spacing w:before="0" w:after="283"/>
              <w:jc w:val="right"/>
              <w:rPr/>
            </w:pPr>
            <w:r>
              <w:rPr/>
              <w:t>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170" w:type="dxa"/>
            <w:tcBorders/>
            <w:shd w:fill="FFFFFF" w:val="clear"/>
            <w:tcMar>
              <w:bottom w:w="0" w:type="dxa"/>
            </w:tcMar>
            <w:vAlign w:val="center"/>
          </w:tcPr>
          <w:p>
            <w:pPr>
              <w:pStyle w:val="TableContents"/>
              <w:bidi w:val="0"/>
              <w:spacing w:before="0" w:after="283"/>
              <w:jc w:val="left"/>
              <w:rPr/>
            </w:pPr>
            <w:r>
              <w:rPr/>
              <w:t>Available Lender Supply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w:t>
            </w:r>
          </w:p>
        </w:tc>
        <w:tc>
          <w:tcPr>
            <w:tcW w:w="868" w:type="dxa"/>
            <w:tcBorders/>
            <w:shd w:fill="FFFFFF" w:val="clear"/>
            <w:tcMar>
              <w:bottom w:w="0" w:type="dxa"/>
            </w:tcMar>
            <w:vAlign w:val="center"/>
          </w:tcPr>
          <w:p>
            <w:pPr>
              <w:pStyle w:val="TableContents"/>
              <w:bidi w:val="0"/>
              <w:spacing w:before="0" w:after="283"/>
              <w:jc w:val="right"/>
              <w:rPr/>
            </w:pPr>
            <w:r>
              <w:rPr/>
              <w:t>825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w:t>
            </w:r>
          </w:p>
        </w:tc>
        <w:tc>
          <w:tcPr>
            <w:tcW w:w="616" w:type="dxa"/>
            <w:tcBorders/>
            <w:shd w:fill="FFFFFF" w:val="clear"/>
            <w:tcMar>
              <w:bottom w:w="0" w:type="dxa"/>
            </w:tcMar>
            <w:vAlign w:val="center"/>
          </w:tcPr>
          <w:p>
            <w:pPr>
              <w:pStyle w:val="TableContents"/>
              <w:bidi w:val="0"/>
              <w:spacing w:before="0" w:after="283"/>
              <w:jc w:val="right"/>
              <w:rPr/>
            </w:pPr>
            <w:r>
              <w:rPr/>
              <w:t>829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i/>
              </w:rPr>
            </w:pPr>
            <w:r>
              <w:rPr>
                <w:i/>
              </w:rPr>
              <w:t>-1</w:t>
            </w:r>
          </w:p>
        </w:tc>
        <w:tc>
          <w:tcPr>
            <w:tcW w:w="215" w:type="dxa"/>
            <w:tcBorders/>
            <w:shd w:fill="FFFFFF" w:val="clear"/>
            <w:tcMar>
              <w:bottom w:w="0" w:type="dxa"/>
            </w:tcMar>
            <w:vAlign w:val="center"/>
          </w:tcPr>
          <w:p>
            <w:pPr>
              <w:pStyle w:val="TableContents"/>
              <w:bidi w:val="0"/>
              <w:spacing w:before="0" w:after="283"/>
              <w:jc w:val="left"/>
              <w:rPr>
                <w:i/>
              </w:rPr>
            </w:pPr>
            <w:r>
              <w:rPr>
                <w:i/>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5" w:type="dxa"/>
            <w:tcBorders/>
            <w:shd w:fill="FFFFFF" w:val="clear"/>
            <w:tcMar>
              <w:bottom w:w="0" w:type="dxa"/>
            </w:tcMar>
            <w:vAlign w:val="center"/>
          </w:tcPr>
          <w:p>
            <w:pPr>
              <w:pStyle w:val="TableContents"/>
              <w:bidi w:val="0"/>
              <w:spacing w:before="0" w:after="283"/>
              <w:jc w:val="left"/>
              <w:rPr/>
            </w:pPr>
            <w:r>
              <w:rPr/>
              <w:t>$</w:t>
            </w:r>
          </w:p>
        </w:tc>
        <w:tc>
          <w:tcPr>
            <w:tcW w:w="750" w:type="dxa"/>
            <w:tcBorders/>
            <w:shd w:fill="FFFFFF" w:val="clear"/>
            <w:tcMar>
              <w:bottom w:w="0" w:type="dxa"/>
            </w:tcMar>
            <w:vAlign w:val="center"/>
          </w:tcPr>
          <w:p>
            <w:pPr>
              <w:pStyle w:val="TableContents"/>
              <w:bidi w:val="0"/>
              <w:spacing w:before="0" w:after="283"/>
              <w:jc w:val="right"/>
              <w:rPr/>
            </w:pPr>
            <w:r>
              <w:rPr/>
              <w:t>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3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705" w:type="dxa"/>
        <w:jc w:val="left"/>
        <w:tblInd w:w="0" w:type="dxa"/>
        <w:tblLayout w:type="fixed"/>
        <w:tblCellMar>
          <w:top w:w="0" w:type="dxa"/>
          <w:left w:w="0" w:type="dxa"/>
          <w:bottom w:w="28" w:type="dxa"/>
          <w:right w:w="0" w:type="dxa"/>
        </w:tblCellMar>
      </w:tblPr>
      <w:tblGrid>
        <w:gridCol w:w="3170"/>
        <w:gridCol w:w="60"/>
        <w:gridCol w:w="140"/>
        <w:gridCol w:w="560"/>
        <w:gridCol w:w="60"/>
        <w:gridCol w:w="60"/>
        <w:gridCol w:w="140"/>
        <w:gridCol w:w="560"/>
        <w:gridCol w:w="60"/>
        <w:gridCol w:w="60"/>
        <w:gridCol w:w="141"/>
        <w:gridCol w:w="614"/>
        <w:gridCol w:w="215"/>
        <w:gridCol w:w="60"/>
        <w:gridCol w:w="140"/>
        <w:gridCol w:w="560"/>
        <w:gridCol w:w="60"/>
        <w:gridCol w:w="60"/>
        <w:gridCol w:w="102"/>
        <w:gridCol w:w="653"/>
        <w:gridCol w:w="230"/>
      </w:tblGrid>
      <w:tr>
        <w:trPr/>
        <w:tc>
          <w:tcPr>
            <w:tcW w:w="3170" w:type="dxa"/>
            <w:tcBorders>
              <w:bottom w:val="single" w:sz="8" w:space="0" w:color="000000"/>
            </w:tcBorders>
            <w:vAlign w:val="center"/>
          </w:tcPr>
          <w:p>
            <w:pPr>
              <w:pStyle w:val="TableContents"/>
              <w:bidi w:val="0"/>
              <w:spacing w:before="0" w:after="283"/>
              <w:jc w:val="left"/>
              <w:rPr/>
            </w:pPr>
            <w:r>
              <w:rPr/>
              <w:t>Dollars in Millions</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8" w:space="0" w:color="000000"/>
            </w:tcBorders>
            <w:vAlign w:val="center"/>
          </w:tcPr>
          <w:p>
            <w:pPr>
              <w:pStyle w:val="TableContents"/>
              <w:bidi w:val="0"/>
              <w:spacing w:before="0" w:after="283"/>
              <w:jc w:val="center"/>
              <w:rPr/>
            </w:pPr>
            <w:r>
              <w:rPr/>
              <w:t xml:space="preserve">Q3 </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8" w:space="0" w:color="000000"/>
            </w:tcBorders>
            <w:vAlign w:val="center"/>
          </w:tcPr>
          <w:p>
            <w:pPr>
              <w:pStyle w:val="TableContents"/>
              <w:bidi w:val="0"/>
              <w:spacing w:before="0" w:after="283"/>
              <w:jc w:val="center"/>
              <w:rPr/>
            </w:pPr>
            <w:r>
              <w:rPr/>
              <w:t xml:space="preserve">Q2 </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8" w:space="0" w:color="000000"/>
            </w:tcBorders>
            <w:vAlign w:val="center"/>
          </w:tcPr>
          <w:p>
            <w:pPr>
              <w:pStyle w:val="TableContents"/>
              <w:bidi w:val="0"/>
              <w:spacing w:before="0" w:after="283"/>
              <w:jc w:val="center"/>
              <w:rPr/>
            </w:pPr>
            <w:r>
              <w:rPr/>
              <w:t>Q/Q</w:t>
              <w:br/>
              <w:t>Change</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8" w:space="0" w:color="000000"/>
            </w:tcBorders>
            <w:vAlign w:val="center"/>
          </w:tcPr>
          <w:p>
            <w:pPr>
              <w:pStyle w:val="TableContents"/>
              <w:bidi w:val="0"/>
              <w:spacing w:before="0" w:after="283"/>
              <w:jc w:val="center"/>
              <w:rPr/>
            </w:pPr>
            <w:r>
              <w:rPr/>
              <w:t xml:space="preserve">Q3 </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8" w:space="0" w:color="000000"/>
            </w:tcBorders>
            <w:vAlign w:val="center"/>
          </w:tcPr>
          <w:p>
            <w:pPr>
              <w:pStyle w:val="TableContents"/>
              <w:bidi w:val="0"/>
              <w:spacing w:before="0" w:after="283"/>
              <w:jc w:val="center"/>
              <w:rPr/>
            </w:pPr>
            <w:r>
              <w:rPr/>
              <w:t>Y/Y</w:t>
              <w:br/>
              <w:t>Change</w:t>
            </w:r>
          </w:p>
        </w:tc>
        <w:tc>
          <w:tcPr>
            <w:tcW w:w="230" w:type="dxa"/>
            <w:tcBorders/>
            <w:tcMar>
              <w:bottom w:w="0" w:type="dxa"/>
            </w:tcMar>
            <w:vAlign w:val="center"/>
          </w:tcPr>
          <w:p>
            <w:pPr>
              <w:pStyle w:val="TableContents"/>
              <w:bidi w:val="0"/>
              <w:spacing w:before="0" w:after="283"/>
              <w:jc w:val="left"/>
              <w:rPr/>
            </w:pPr>
            <w:r>
              <w:rPr/>
              <w:t> </w:t>
            </w:r>
          </w:p>
        </w:tc>
      </w:tr>
      <w:tr>
        <w:trPr/>
        <w:tc>
          <w:tcPr>
            <w:tcW w:w="31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tcMar>
              <w:bottom w:w="0" w:type="dxa"/>
            </w:tcMar>
            <w:vAlign w:val="center"/>
          </w:tcPr>
          <w:p>
            <w:pPr>
              <w:pStyle w:val="TableContents"/>
              <w:bidi w:val="0"/>
              <w:spacing w:before="0" w:after="283"/>
              <w:jc w:val="both"/>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tcMar>
              <w:bottom w:w="0" w:type="dxa"/>
            </w:tcMar>
            <w:vAlign w:val="center"/>
          </w:tcPr>
          <w:p>
            <w:pPr>
              <w:pStyle w:val="TableContents"/>
              <w:bidi w:val="0"/>
              <w:spacing w:before="0" w:after="283"/>
              <w:jc w:val="both"/>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3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Consumer Loan Marketplace Volume</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5,119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4,259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614" w:type="dxa"/>
            <w:tcBorders/>
            <w:shd w:fill="CCEEFF" w:val="clear"/>
            <w:tcMar>
              <w:bottom w:w="0" w:type="dxa"/>
            </w:tcMar>
            <w:vAlign w:val="center"/>
          </w:tcPr>
          <w:p>
            <w:pPr>
              <w:pStyle w:val="TableContents"/>
              <w:bidi w:val="0"/>
              <w:spacing w:before="0" w:after="283"/>
              <w:jc w:val="right"/>
              <w:rPr/>
            </w:pPr>
            <w:r>
              <w:rPr/>
              <w:t>20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2,469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653" w:type="dxa"/>
            <w:tcBorders/>
            <w:shd w:fill="CCEEFF" w:val="clear"/>
            <w:tcMar>
              <w:bottom w:w="0" w:type="dxa"/>
            </w:tcMar>
            <w:vAlign w:val="center"/>
          </w:tcPr>
          <w:p>
            <w:pPr>
              <w:pStyle w:val="TableContents"/>
              <w:bidi w:val="0"/>
              <w:spacing w:before="0" w:after="283"/>
              <w:jc w:val="right"/>
              <w:rPr>
                <w:i/>
              </w:rPr>
            </w:pPr>
            <w:r>
              <w:rPr>
                <w:i/>
              </w:rPr>
              <w:t>107</w:t>
            </w:r>
          </w:p>
        </w:tc>
        <w:tc>
          <w:tcPr>
            <w:tcW w:w="230" w:type="dxa"/>
            <w:tcBorders/>
            <w:shd w:fill="CCEEFF" w:val="clear"/>
            <w:tcMar>
              <w:bottom w:w="0" w:type="dxa"/>
            </w:tcMar>
            <w:vAlign w:val="center"/>
          </w:tcPr>
          <w:p>
            <w:pPr>
              <w:pStyle w:val="TableContents"/>
              <w:bidi w:val="0"/>
              <w:spacing w:before="0" w:after="283"/>
              <w:jc w:val="left"/>
              <w:rPr>
                <w:i/>
              </w:rPr>
            </w:pPr>
            <w:r>
              <w:rPr>
                <w:i/>
              </w:rPr>
              <w:t>%</w:t>
            </w:r>
          </w:p>
        </w:tc>
      </w:tr>
      <w:tr>
        <w:trPr/>
        <w:tc>
          <w:tcPr>
            <w:tcW w:w="3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$YLDS In Circulation</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504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556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614" w:type="dxa"/>
            <w:tcBorders/>
            <w:shd w:fill="FFFFFF" w:val="clear"/>
            <w:tcMar>
              <w:bottom w:w="0" w:type="dxa"/>
            </w:tcMar>
            <w:vAlign w:val="center"/>
          </w:tcPr>
          <w:p>
            <w:pPr>
              <w:pStyle w:val="TableContents"/>
              <w:bidi w:val="0"/>
              <w:spacing w:before="0" w:after="283"/>
              <w:jc w:val="right"/>
              <w:rPr/>
            </w:pPr>
            <w:r>
              <w:rPr/>
              <w:t>-9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653" w:type="dxa"/>
            <w:tcBorders/>
            <w:shd w:fill="FFFF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3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Democratized Prime</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614"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653"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170" w:type="dxa"/>
            <w:tcBorders/>
            <w:shd w:fill="FFFFFF" w:val="clear"/>
            <w:tcMar>
              <w:bottom w:w="0" w:type="dxa"/>
            </w:tcMar>
            <w:vAlign w:val="center"/>
          </w:tcPr>
          <w:p>
            <w:pPr>
              <w:pStyle w:val="TableContents"/>
              <w:bidi w:val="0"/>
              <w:spacing w:before="0" w:after="283"/>
              <w:jc w:val="left"/>
              <w:rPr/>
            </w:pPr>
            <w:r>
              <w:rPr/>
              <w:t>Matched Offers Balance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588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392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614" w:type="dxa"/>
            <w:tcBorders/>
            <w:shd w:fill="FFFFFF" w:val="clear"/>
            <w:tcMar>
              <w:bottom w:w="0" w:type="dxa"/>
            </w:tcMar>
            <w:vAlign w:val="center"/>
          </w:tcPr>
          <w:p>
            <w:pPr>
              <w:pStyle w:val="TableContents"/>
              <w:bidi w:val="0"/>
              <w:spacing w:before="0" w:after="283"/>
              <w:jc w:val="right"/>
              <w:rPr>
                <w:i/>
              </w:rPr>
            </w:pPr>
            <w:r>
              <w:rPr>
                <w:i/>
              </w:rPr>
              <w:t>50</w:t>
            </w:r>
          </w:p>
        </w:tc>
        <w:tc>
          <w:tcPr>
            <w:tcW w:w="215" w:type="dxa"/>
            <w:tcBorders/>
            <w:shd w:fill="FFFFFF" w:val="clear"/>
            <w:tcMar>
              <w:bottom w:w="0" w:type="dxa"/>
            </w:tcMar>
            <w:vAlign w:val="center"/>
          </w:tcPr>
          <w:p>
            <w:pPr>
              <w:pStyle w:val="TableContents"/>
              <w:bidi w:val="0"/>
              <w:spacing w:before="0" w:after="283"/>
              <w:jc w:val="left"/>
              <w:rPr>
                <w:i/>
              </w:rPr>
            </w:pPr>
            <w:r>
              <w:rPr>
                <w:i/>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653" w:type="dxa"/>
            <w:tcBorders/>
            <w:shd w:fill="FFFF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3170" w:type="dxa"/>
            <w:tcBorders/>
            <w:shd w:fill="CCEEFF" w:val="clear"/>
            <w:tcMar>
              <w:bottom w:w="0" w:type="dxa"/>
            </w:tcMar>
            <w:vAlign w:val="center"/>
          </w:tcPr>
          <w:p>
            <w:pPr>
              <w:pStyle w:val="TableContents"/>
              <w:bidi w:val="0"/>
              <w:spacing w:before="0" w:after="283"/>
              <w:jc w:val="left"/>
              <w:rPr/>
            </w:pPr>
            <w:r>
              <w:rPr/>
              <w:t>Borrower Demand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414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614" w:type="dxa"/>
            <w:tcBorders/>
            <w:shd w:fill="CCEEFF" w:val="clear"/>
            <w:tcMar>
              <w:bottom w:w="0" w:type="dxa"/>
            </w:tcMar>
            <w:vAlign w:val="center"/>
          </w:tcPr>
          <w:p>
            <w:pPr>
              <w:pStyle w:val="TableContents"/>
              <w:bidi w:val="0"/>
              <w:spacing w:before="0" w:after="283"/>
              <w:jc w:val="right"/>
              <w:rPr>
                <w:i/>
              </w:rPr>
            </w:pPr>
            <w:r>
              <w:rPr>
                <w:i/>
              </w:rPr>
              <w:t>45</w:t>
            </w:r>
          </w:p>
        </w:tc>
        <w:tc>
          <w:tcPr>
            <w:tcW w:w="215" w:type="dxa"/>
            <w:tcBorders/>
            <w:shd w:fill="CCEEFF" w:val="clear"/>
            <w:tcMar>
              <w:bottom w:w="0" w:type="dxa"/>
            </w:tcMar>
            <w:vAlign w:val="center"/>
          </w:tcPr>
          <w:p>
            <w:pPr>
              <w:pStyle w:val="TableContents"/>
              <w:bidi w:val="0"/>
              <w:spacing w:before="0" w:after="283"/>
              <w:jc w:val="left"/>
              <w:rPr>
                <w:i/>
              </w:rPr>
            </w:pPr>
            <w:r>
              <w:rPr>
                <w:i/>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653" w:type="dxa"/>
            <w:tcBorders/>
            <w:shd w:fill="CCEE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170" w:type="dxa"/>
            <w:tcBorders/>
            <w:shd w:fill="FFFFFF" w:val="clear"/>
            <w:tcMar>
              <w:bottom w:w="0" w:type="dxa"/>
            </w:tcMar>
            <w:vAlign w:val="center"/>
          </w:tcPr>
          <w:p>
            <w:pPr>
              <w:pStyle w:val="TableContents"/>
              <w:bidi w:val="0"/>
              <w:spacing w:before="0" w:after="283"/>
              <w:jc w:val="left"/>
              <w:rPr/>
            </w:pPr>
            <w:r>
              <w:rPr/>
              <w:t>Available Lender Supply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825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522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614" w:type="dxa"/>
            <w:tcBorders/>
            <w:shd w:fill="FFFFFF" w:val="clear"/>
            <w:tcMar>
              <w:bottom w:w="0" w:type="dxa"/>
            </w:tcMar>
            <w:vAlign w:val="center"/>
          </w:tcPr>
          <w:p>
            <w:pPr>
              <w:pStyle w:val="TableContents"/>
              <w:bidi w:val="0"/>
              <w:spacing w:before="0" w:after="283"/>
              <w:jc w:val="right"/>
              <w:rPr>
                <w:i/>
              </w:rPr>
            </w:pPr>
            <w:r>
              <w:rPr>
                <w:i/>
              </w:rPr>
              <w:t>58</w:t>
            </w:r>
          </w:p>
        </w:tc>
        <w:tc>
          <w:tcPr>
            <w:tcW w:w="215" w:type="dxa"/>
            <w:tcBorders/>
            <w:shd w:fill="FFFFFF" w:val="clear"/>
            <w:tcMar>
              <w:bottom w:w="0" w:type="dxa"/>
            </w:tcMar>
            <w:vAlign w:val="center"/>
          </w:tcPr>
          <w:p>
            <w:pPr>
              <w:pStyle w:val="TableContents"/>
              <w:bidi w:val="0"/>
              <w:spacing w:before="0" w:after="283"/>
              <w:jc w:val="left"/>
              <w:rPr>
                <w:i/>
              </w:rPr>
            </w:pPr>
            <w:r>
              <w:rPr>
                <w:i/>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653" w:type="dxa"/>
            <w:tcBorders/>
            <w:shd w:fill="FFFFFF" w:val="clear"/>
            <w:tcMar>
              <w:bottom w:w="0" w:type="dxa"/>
            </w:tcMar>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n.m.</w:t>
            </w:r>
          </w:p>
        </w:tc>
        <w:tc>
          <w:tcPr>
            <w:tcW w:w="23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Excludes volume originated on the Kiavi platform following the September 1, 2026 closing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2 </w:t>
      </w:r>
      <w:r>
        <w:rPr>
          <w:rFonts w:ascii="Times New Roman;Times;Serif" w:hAnsi="Times New Roman;Times;Serif"/>
          <w:b w:val="false"/>
          <w:i w:val="false"/>
          <w:caps w:val="false"/>
          <w:smallCaps w:val="false"/>
          <w:sz w:val="20"/>
        </w:rPr>
        <w:t>$YLDS launched in February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3 </w:t>
      </w:r>
      <w:r>
        <w:rPr>
          <w:rFonts w:ascii="Times New Roman;Times;Serif" w:hAnsi="Times New Roman;Times;Serif"/>
          <w:b w:val="false"/>
          <w:i w:val="false"/>
          <w:caps w:val="false"/>
          <w:smallCaps w:val="false"/>
          <w:sz w:val="20"/>
        </w:rPr>
        <w:t>Democratized Prime launched in June 2025</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About Certain Operating Metrics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better help understand our financial performance, we use several operating metrics, some of which are discussed below, to evaluate our business and results, measure performance, identify trends, formulate plans, and make strategic decisions. Our determination and presentation of these metrics may differ from that of other companies. The presentation of these metrics is meant to be considered in addition to, not as a substitute for or in isolation from, our financial measures prepared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Loan Marketplace Volume: We define Consumer Loan Marketplace Volume as the total U.S. dollar equivalent value of originations of HELOCs, DSCRs, and personal loans on our LOS, as well as the volume of third-party loans traded on Figure Connect. We believe this measure is an indication of our scale and represents the potential revenue opportunity from the technology used for consumer credit loan originations. This measure does not include the contribution from Figure’s recently closed transaction with Kiavi. Prior-period volumes will be recast following our next quarterly earnings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$YLDS in Circulation: We define $YLDS in Circulation as the total U.S. dollar equivalent value of unsecured face-amount certificates solely backed by the assets of Figure Certificate Company (FCC), which is the issuer of the certificates. This is reported as an end of period outstanding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Matched Offers: We define Matched Offers as the U.S. dollar equivalent value of offers matched between borrowers and lenders on the Democratized Prime platform. This is reported as an end of period outstanding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Demand: We define Borrower Demand as the U.S. dollar equivalent value that borrowers seek to borrow from the lending pool on the Democratized Prime platform. This is reported as an end of period outstanding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 Lender Supply: We define Lender Supply as the U.S. dollar equivalent value that lenders have made available in the lending pool on the Democratized Prime platform. This is reported as an end of period outstanding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Financial Disclosure Advisory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release is unaudited and the information for the months in the most recent fiscal quarter is preliminary, based on Figure’s estimates, and subject to completion of financial closing procedures. Final results for the most recent fiscal quarter, as reported in Figure’s quarterly and annual filings with the U.S. Securities and Exchange Commission (“SEC”), might vary from the information in this release. Figure may at times make revisions to prior estimates to ensure consistency across comparable periods.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 Looking Statements Disclaimer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intended to be covered by the safe harbor provisions of Section 27A of the Securities Act of 1933, as amended, and Section 21E of the Securities Exchange Act of 1934, as amended. All statements other than statements of historical fact contained in this press release, including without limitation statements regarding our future financial performance, including our expectations regarding our operating data, guidance, the expected reconciliation of Kiavi’s contribution, and the recasting of prior-period volumes, are forward-looking statements. These statements involve known and unknown risks, uncertainties, and other important factors that may cause actual results to differ materially from those expressed or implied by the forward-looking statements. In some cases, you can identify forward-looking statements by terms such as “may,” “will,” “should,” “expect,” “plan,” “anticipate,” “could,” “intend,” “target,” “project,” “contemplate,” “believe,” “estimate,” “predict,” “potential,” or “continue,” or the negative of these terms, and similar expressions. Forward-looking statements are predictions based largely on our current expectations and projections about future events and financial trends that we believe may affect our business, financial condition, and results of operations. These statements speak only as of the date of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that could cause actual results to differ materially include, among others: the ability of the Company to successfully integrate the business and operations of Kiavi; the ability to realize the anticipated benefits and synergies of the Merger; potential adverse effects on the Company’s business, financial condition and results of operations resulting from the Merger; regulatory matters, including compliance with applicable laws and regulations; our history of losses and the risk that we may not maintain profitability; our reliance on HELOCs and exposure to fluctuations in the HELOC market and housing values; our ability to attract and retain borrowers, partners, and loan purchasers and to drive adoption of Figure-branded and Partner-branded channels including Figure Connect; loan performance and default rates and the effect of credit performance on access to and pricing of warehouse facilities, whole-loan sales, and securitizations; changes in interest rates and U.S. monetary policy that impact originations, funding costs, and investor demand; legal and regulatory risks affecting lending and mortgage-related activities and the evolving framework for digital assets, including potential changes in the characterization or regulation of certain digital assets and related products; dependence on key third-party providers including cloud, custodial, valuation, and data vendors and risks from outages or service disruptions; technology failures, cybersecurity incidents, or other operational disruptions; protection and enforcement of intellectual property; compliance with licensing, consumer protection, privacy, data security, and sanctions/AML laws, and shifting enforcement priorities at the federal and state levels; our ability to remediate previously identified material weaknesses and meet our public company reporting and internal control obligations; competition; macroeconomic and geopolitical conditions; our dual-class structure and concentrated voting control and related impacts on corporate governance; equity market volatility affecting our Class A common stock; and the other risks described in “Risk Factors” in our Annual Report on Form 10-K for the period ended December 31, 2025, filed with the SEC on March 16, 2026, our Quarterly Report on Form 10-Q for the three months ended June 30, 2026, filed with the SEC on August 14, 2026, and in our other filings with the SEC.</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Figure Technology Solutions,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is a blockchain-native capital marketplace that seamlessly connects origination, funding, and secondary market activity. More than 489 partners use its loan origination system and capital marketplace. Collectively, Figure and its partners have originated approximately $30 billion of home equity to date, among other products, making Figure’s ecosystem the largest non-bank provider of HELOCs. The fastest growing components are Figure Connect, its consumer credit marketplace, and Democratized Prime, Figure’s on-chain lend-borrow marketplace. Figure’s ecosystem also includes DART (Digital Asset Registry Technology) for asset custody and lien perfection, and $YLDS, an SEC-registered yield-bearing stablecoin that operates as a tokenized money market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is the market leader in real world asset (RWA) tokenization. The company has received AAA ratings from S&amp;P and Moody’s on multiple loan securitizations, the first of its kind for blockchain finance. For more information, visit </w:t>
      </w:r>
      <w:r>
        <w:rPr>
          <w:rFonts w:ascii="Times New Roman;Times;Serif" w:hAnsi="Times New Roman;Times;Serif"/>
          <w:b w:val="false"/>
          <w:i w:val="false"/>
          <w:caps w:val="false"/>
          <w:smallCaps w:val="false"/>
          <w:sz w:val="20"/>
          <w:u w:val="single"/>
        </w:rPr>
        <w:t>https://figure.com</w:t>
      </w:r>
      <w:r>
        <w:rPr>
          <w:rFonts w:ascii="Times New Roman;Times;Serif" w:hAnsi="Times New Roman;Times;Serif"/>
          <w:b w:val="false"/>
          <w:i w:val="false"/>
          <w:caps w:val="false"/>
          <w:smallCaps w:val="false"/>
          <w:sz w:val="20"/>
        </w:rPr>
        <w:t xml:space="preserve"> or follow Figure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News &amp; Information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should note we may use our website (</w:t>
      </w:r>
      <w:r>
        <w:rPr>
          <w:rFonts w:ascii="Times New Roman;Times;Serif" w:hAnsi="Times New Roman;Times;Serif"/>
          <w:b w:val="false"/>
          <w:i w:val="false"/>
          <w:caps w:val="false"/>
          <w:smallCaps w:val="false"/>
          <w:sz w:val="20"/>
          <w:u w:val="single"/>
        </w:rPr>
        <w:t>https://www.figure.com/</w:t>
      </w:r>
      <w:r>
        <w:rPr>
          <w:rFonts w:ascii="Times New Roman;Times;Serif" w:hAnsi="Times New Roman;Times;Serif"/>
          <w:b w:val="false"/>
          <w:i w:val="false"/>
          <w:caps w:val="false"/>
          <w:smallCaps w:val="false"/>
          <w:sz w:val="20"/>
        </w:rPr>
        <w:t>), our investor relations website (</w:t>
      </w:r>
      <w:r>
        <w:rPr>
          <w:rFonts w:ascii="Times New Roman;Times;Serif" w:hAnsi="Times New Roman;Times;Serif"/>
          <w:b w:val="false"/>
          <w:i w:val="false"/>
          <w:caps w:val="false"/>
          <w:smallCaps w:val="false"/>
          <w:sz w:val="20"/>
          <w:u w:val="single"/>
        </w:rPr>
        <w:t>https://investors.figure.com/</w:t>
      </w:r>
      <w:r>
        <w:rPr>
          <w:rFonts w:ascii="Times New Roman;Times;Serif" w:hAnsi="Times New Roman;Times;Serif"/>
          <w:b w:val="false"/>
          <w:i w:val="false"/>
          <w:caps w:val="false"/>
          <w:smallCaps w:val="false"/>
          <w:sz w:val="20"/>
        </w:rPr>
        <w:t>), our operating metrics website (</w:t>
      </w:r>
      <w:r>
        <w:rPr>
          <w:rFonts w:ascii="Times New Roman;Times;Serif" w:hAnsi="Times New Roman;Times;Serif"/>
          <w:b w:val="false"/>
          <w:i w:val="false"/>
          <w:caps w:val="false"/>
          <w:smallCaps w:val="false"/>
          <w:sz w:val="20"/>
          <w:u w:val="single"/>
        </w:rPr>
        <w:t>https://figure.com/investors/metrics</w:t>
      </w:r>
      <w:r>
        <w:rPr>
          <w:rFonts w:ascii="Times New Roman;Times;Serif" w:hAnsi="Times New Roman;Times;Serif"/>
          <w:b w:val="false"/>
          <w:i w:val="false"/>
          <w:caps w:val="false"/>
          <w:smallCaps w:val="false"/>
          <w:sz w:val="20"/>
        </w:rPr>
        <w:t>) and the social media accounts of Figure, Figure Markets and/or Mike Cagney, our Co-Founder and Executive Chairman, as a means of disclosing information and for complying with our disclosure obligations under Regulation FD. These include X (@figure, @mcagney, @figuremarkets), LinkedIn (</w:t>
      </w:r>
      <w:r>
        <w:rPr>
          <w:rFonts w:ascii="Times New Roman;Times;Serif" w:hAnsi="Times New Roman;Times;Serif"/>
          <w:b w:val="false"/>
          <w:i w:val="false"/>
          <w:caps w:val="false"/>
          <w:smallCaps w:val="false"/>
          <w:sz w:val="20"/>
          <w:u w:val="single"/>
        </w:rPr>
        <w:t>https://www.linkedin.com/company/figuretechnologies/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https://www.linkedin.com/in/mikecagney/</w:t>
      </w:r>
      <w:r>
        <w:rPr>
          <w:rFonts w:ascii="Times New Roman;Times;Serif" w:hAnsi="Times New Roman;Times;Serif"/>
          <w:b w:val="false"/>
          <w:i w:val="false"/>
          <w:caps w:val="false"/>
          <w:smallCaps w:val="false"/>
          <w:sz w:val="20"/>
        </w:rPr>
        <w:t>), Instagram (@figuretechnologies), Facebook (</w:t>
      </w:r>
      <w:r>
        <w:rPr>
          <w:rFonts w:ascii="Times New Roman;Times;Serif" w:hAnsi="Times New Roman;Times;Serif"/>
          <w:b w:val="false"/>
          <w:i w:val="false"/>
          <w:caps w:val="false"/>
          <w:smallCaps w:val="false"/>
          <w:sz w:val="20"/>
          <w:u w:val="single"/>
        </w:rPr>
        <w:t>https://www.facebook.com/Figure/</w:t>
      </w:r>
      <w:r>
        <w:rPr>
          <w:rFonts w:ascii="Times New Roman;Times;Serif" w:hAnsi="Times New Roman;Times;Serif"/>
          <w:b w:val="false"/>
          <w:i w:val="false"/>
          <w:caps w:val="false"/>
          <w:smallCaps w:val="false"/>
          <w:sz w:val="20"/>
        </w:rPr>
        <w:t>), and YouTube (@figuretechnologies). The information we post through these channels may be deemed material. Investors should monitor these channels in addition to reviewing our press releases, SEC filings, and public conference calls.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2063</Words>
  <Characters>11840</Characters>
  <CharactersWithSpaces>14017</CharactersWithSpaces>
  <Paragraphs>516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