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p254272_s3asr.htm"/>
      <w:bookmarkStart w:id="1" w:name="ksdp254272_s3asr"/>
      <w:bookmarkEnd w:id="0"/>
      <w:bookmarkEnd w:id="1"/>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October 2, 2026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w:t>
      </w:r>
    </w:p>
    <w:p>
      <w:pPr>
        <w:pStyle w:val="TextBody"/>
        <w:bidi w:val="0"/>
        <w:spacing w:before="0" w:after="283"/>
        <w:jc w:val="left"/>
        <w:rPr/>
      </w:pPr>
      <w:r>
        <w:rPr/>
        <w:t> </w:t>
      </w:r>
    </w:p>
    <w:p>
      <w:pPr>
        <w:pStyle w:val="TextBody"/>
        <w:bidi w:val="0"/>
        <w:jc w:val="left"/>
        <w:rPr>
          <w:bdr w:val="single" w:sz="24" w:space="1" w:color="000000"/>
        </w:rPr>
      </w:pPr>
      <w:r>
        <w:rPr>
          <w:bdr w:val="single" w:sz="24"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8"/>
        </w:rPr>
        <w:t>SECURITIES AND EXCHANGE COMMISSION</w:t>
        <w:br/>
      </w:r>
      <w:r>
        <w:rPr>
          <w:rFonts w:ascii="Times New Roman;Times;Serif" w:hAnsi="Times New Roman;Times;Serif"/>
          <w:b/>
          <w:i w:val="false"/>
          <w:caps w:val="false"/>
          <w:smallCaps w:val="false"/>
          <w:sz w:val="22"/>
        </w:rPr>
        <w:t>Washington, D.C. 20549</w:t>
      </w:r>
    </w:p>
    <w:p>
      <w:pPr>
        <w:pStyle w:val="TextBody"/>
        <w:bidi w:val="0"/>
        <w:spacing w:before="60" w:after="60"/>
        <w:jc w:val="center"/>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8"/>
        </w:rPr>
        <w:t>FORM S-3</w:t>
        <w:br/>
      </w:r>
      <w:r>
        <w:rPr>
          <w:rFonts w:ascii="Times New Roman;Times;Serif" w:hAnsi="Times New Roman;Times;Serif"/>
          <w:b/>
          <w:i w:val="false"/>
          <w:caps w:val="false"/>
          <w:smallCaps w:val="false"/>
          <w:sz w:val="20"/>
        </w:rPr>
        <w:t>REGISTRATION STATEMENT</w:t>
        <w:br/>
        <w:t>UNDER</w:t>
        <w:br/>
        <w:t>THE SECURITIES ACT OF 1933</w:t>
      </w:r>
    </w:p>
    <w:p>
      <w:pPr>
        <w:pStyle w:val="TextBody"/>
        <w:bidi w:val="0"/>
        <w:spacing w:before="60" w:after="60"/>
        <w:jc w:val="center"/>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6"/>
        </w:rPr>
        <w:t>FIGURE TECHNOLOGY SOLUTIONS, INC.</w:t>
        <w:br/>
      </w: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00"/>
        <w:gridCol w:w="4032"/>
        <w:gridCol w:w="2673"/>
      </w:tblGrid>
      <w:tr>
        <w:trPr/>
        <w:tc>
          <w:tcPr>
            <w:tcW w:w="3500" w:type="dxa"/>
            <w:tcBorders/>
            <w:vAlign w:val="center"/>
          </w:tcPr>
          <w:p>
            <w:pPr>
              <w:pStyle w:val="TableContents"/>
              <w:bidi w:val="0"/>
              <w:spacing w:before="0" w:after="283"/>
              <w:jc w:val="center"/>
              <w:rPr>
                <w:b/>
              </w:rPr>
            </w:pPr>
            <w:r>
              <w:rPr>
                <w:b/>
              </w:rPr>
              <w:t>Nevada</w:t>
            </w:r>
          </w:p>
        </w:tc>
        <w:tc>
          <w:tcPr>
            <w:tcW w:w="4032" w:type="dxa"/>
            <w:tcBorders/>
            <w:vAlign w:val="center"/>
          </w:tcPr>
          <w:p>
            <w:pPr>
              <w:pStyle w:val="TableContents"/>
              <w:bidi w:val="0"/>
              <w:spacing w:before="0" w:after="283"/>
              <w:jc w:val="center"/>
              <w:rPr/>
            </w:pPr>
            <w:r>
              <w:rPr/>
              <w:t> </w:t>
            </w:r>
          </w:p>
        </w:tc>
        <w:tc>
          <w:tcPr>
            <w:tcW w:w="2673" w:type="dxa"/>
            <w:tcBorders/>
            <w:vAlign w:val="center"/>
          </w:tcPr>
          <w:p>
            <w:pPr>
              <w:pStyle w:val="TableContents"/>
              <w:bidi w:val="0"/>
              <w:spacing w:before="0" w:after="283"/>
              <w:jc w:val="center"/>
              <w:rPr>
                <w:b/>
              </w:rPr>
            </w:pPr>
            <w:r>
              <w:rPr>
                <w:b/>
              </w:rPr>
              <w:t>99-2556408</w:t>
            </w:r>
          </w:p>
        </w:tc>
      </w:tr>
      <w:tr>
        <w:trPr/>
        <w:tc>
          <w:tcPr>
            <w:tcW w:w="3500" w:type="dxa"/>
            <w:tcBorders/>
            <w:vAlign w:val="center"/>
          </w:tcPr>
          <w:p>
            <w:pPr>
              <w:pStyle w:val="TableContents"/>
              <w:bidi w:val="0"/>
              <w:spacing w:before="0" w:after="283"/>
              <w:jc w:val="center"/>
              <w:rPr/>
            </w:pPr>
            <w:r>
              <w:rPr/>
              <w:t>(State or Other Jurisdiction of</w:t>
              <w:br/>
              <w:t>Incorporation or Organization)</w:t>
            </w:r>
          </w:p>
        </w:tc>
        <w:tc>
          <w:tcPr>
            <w:tcW w:w="4032" w:type="dxa"/>
            <w:tcBorders/>
            <w:vAlign w:val="center"/>
          </w:tcPr>
          <w:p>
            <w:pPr>
              <w:pStyle w:val="TableContents"/>
              <w:bidi w:val="0"/>
              <w:spacing w:before="0" w:after="283"/>
              <w:jc w:val="center"/>
              <w:rPr/>
            </w:pPr>
            <w:r>
              <w:rPr/>
              <w:t> </w:t>
            </w:r>
          </w:p>
        </w:tc>
        <w:tc>
          <w:tcPr>
            <w:tcW w:w="2673" w:type="dxa"/>
            <w:tcBorders/>
            <w:vAlign w:val="center"/>
          </w:tcPr>
          <w:p>
            <w:pPr>
              <w:pStyle w:val="TableContents"/>
              <w:bidi w:val="0"/>
              <w:spacing w:before="0" w:after="283"/>
              <w:jc w:val="center"/>
              <w:rPr/>
            </w:pPr>
            <w:r>
              <w:rPr/>
              <w:t>(I.R.S. Employer</w:t>
              <w:br/>
              <w:t>Identification Number)</w:t>
            </w:r>
          </w:p>
        </w:tc>
      </w:tr>
      <w:tr>
        <w:trPr/>
        <w:tc>
          <w:tcPr>
            <w:tcW w:w="3500" w:type="dxa"/>
            <w:tcBorders/>
            <w:vAlign w:val="center"/>
          </w:tcPr>
          <w:p>
            <w:pPr>
              <w:pStyle w:val="TableContents"/>
              <w:bidi w:val="0"/>
              <w:spacing w:before="0" w:after="283"/>
              <w:jc w:val="left"/>
              <w:rPr/>
            </w:pPr>
            <w:r>
              <w:rPr/>
              <w:t> </w:t>
            </w:r>
          </w:p>
        </w:tc>
        <w:tc>
          <w:tcPr>
            <w:tcW w:w="4032" w:type="dxa"/>
            <w:tcBorders/>
            <w:vAlign w:val="center"/>
          </w:tcPr>
          <w:p>
            <w:pPr>
              <w:pStyle w:val="TableContents"/>
              <w:bidi w:val="0"/>
              <w:spacing w:before="0" w:after="283"/>
              <w:jc w:val="center"/>
              <w:rPr>
                <w:b/>
              </w:rPr>
            </w:pPr>
            <w:r>
              <w:rPr>
                <w:b/>
              </w:rPr>
              <w:t>100 West Liberty Street, Suite 600</w:t>
              <w:br/>
              <w:t>Reno, NV 89501</w:t>
              <w:br/>
              <w:t>(917) 789-8049</w:t>
            </w:r>
          </w:p>
        </w:tc>
        <w:tc>
          <w:tcPr>
            <w:tcW w:w="2673" w:type="dxa"/>
            <w:tcBorders/>
            <w:vAlign w:val="center"/>
          </w:tcPr>
          <w:p>
            <w:pPr>
              <w:pStyle w:val="TableContents"/>
              <w:bidi w:val="0"/>
              <w:spacing w:before="0" w:after="283"/>
              <w:jc w:val="left"/>
              <w:rPr/>
            </w:pPr>
            <w:r>
              <w:rPr/>
              <w:t> </w:t>
            </w:r>
          </w:p>
        </w:tc>
      </w:tr>
      <w:tr>
        <w:trPr/>
        <w:tc>
          <w:tcPr>
            <w:tcW w:w="10205" w:type="dxa"/>
            <w:gridSpan w:val="3"/>
            <w:tcBorders/>
            <w:vAlign w:val="center"/>
          </w:tcPr>
          <w:p>
            <w:pPr>
              <w:pStyle w:val="TableContents"/>
              <w:bidi w:val="0"/>
              <w:spacing w:before="0" w:after="283"/>
              <w:jc w:val="center"/>
              <w:rPr/>
            </w:pPr>
            <w:r>
              <w:rPr/>
              <w:t>(Address, Including Zip Code, and Telephone Number, Including Area Code, of Registrant’s Principal Executive Offices)</w:t>
            </w:r>
          </w:p>
        </w:tc>
      </w:tr>
    </w:tbl>
    <w:p>
      <w:pPr>
        <w:pStyle w:val="TextBody"/>
        <w:bidi w:val="0"/>
        <w:spacing w:before="60" w:after="60"/>
        <w:jc w:val="center"/>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10"/>
        <w:gridCol w:w="9784"/>
        <w:gridCol w:w="211"/>
      </w:tblGrid>
      <w:tr>
        <w:trPr/>
        <w:tc>
          <w:tcPr>
            <w:tcW w:w="210" w:type="dxa"/>
            <w:tcBorders/>
            <w:vAlign w:val="center"/>
          </w:tcPr>
          <w:p>
            <w:pPr>
              <w:pStyle w:val="TableContents"/>
              <w:bidi w:val="0"/>
              <w:spacing w:before="0" w:after="283"/>
              <w:jc w:val="left"/>
              <w:rPr/>
            </w:pPr>
            <w:r>
              <w:rPr/>
              <w:t> </w:t>
            </w:r>
          </w:p>
        </w:tc>
        <w:tc>
          <w:tcPr>
            <w:tcW w:w="9784" w:type="dxa"/>
            <w:tcBorders/>
            <w:vAlign w:val="center"/>
          </w:tcPr>
          <w:p>
            <w:pPr>
              <w:pStyle w:val="TableContents"/>
              <w:bidi w:val="0"/>
              <w:spacing w:before="0" w:after="283"/>
              <w:jc w:val="center"/>
              <w:rPr>
                <w:b/>
              </w:rPr>
            </w:pPr>
            <w:r>
              <w:rPr>
                <w:b/>
              </w:rPr>
              <w:t>Michael Tannenbaum</w:t>
              <w:br/>
              <w:t>Chief Executive Officer</w:t>
              <w:br/>
              <w:t>Figure Technology Solutions, Inc.</w:t>
              <w:br/>
              <w:t>100 West Liberty Street, Suite 600</w:t>
              <w:br/>
              <w:t>Reno, NV 89501</w:t>
              <w:br/>
              <w:t>(917) 789-8049</w:t>
            </w:r>
          </w:p>
        </w:tc>
        <w:tc>
          <w:tcPr>
            <w:tcW w:w="211" w:type="dxa"/>
            <w:tcBorders/>
            <w:vAlign w:val="center"/>
          </w:tcPr>
          <w:p>
            <w:pPr>
              <w:pStyle w:val="TableContents"/>
              <w:bidi w:val="0"/>
              <w:spacing w:before="0" w:after="283"/>
              <w:jc w:val="left"/>
              <w:rPr/>
            </w:pPr>
            <w:r>
              <w:rPr/>
              <w:t> </w:t>
            </w:r>
          </w:p>
        </w:tc>
      </w:tr>
      <w:tr>
        <w:trPr/>
        <w:tc>
          <w:tcPr>
            <w:tcW w:w="10205" w:type="dxa"/>
            <w:gridSpan w:val="3"/>
            <w:tcBorders/>
            <w:vAlign w:val="center"/>
          </w:tcPr>
          <w:p>
            <w:pPr>
              <w:pStyle w:val="TableContents"/>
              <w:bidi w:val="0"/>
              <w:spacing w:before="0" w:after="283"/>
              <w:jc w:val="center"/>
              <w:rPr/>
            </w:pPr>
            <w:r>
              <w:rPr/>
              <w:t>(Name, Address, Including Zip Code, and Telephone Number, Including Area Code, of Agent For Service)</w:t>
            </w:r>
          </w:p>
        </w:tc>
      </w:tr>
    </w:tbl>
    <w:p>
      <w:pPr>
        <w:pStyle w:val="TextBody"/>
        <w:bidi w:val="0"/>
        <w:spacing w:before="60" w:after="60"/>
        <w:jc w:val="center"/>
        <w:rPr>
          <w:bdr w:val="single" w:sz="8" w:space="1" w:color="000000"/>
        </w:rPr>
      </w:pPr>
      <w:r>
        <w:rPr>
          <w:bdr w:val="single" w:sz="8" w:space="1" w:color="000000"/>
        </w:rPr>
        <w:t> </w:t>
      </w:r>
    </w:p>
    <w:tbl>
      <w:tblPr>
        <w:tblW w:w="3965" w:type="dxa"/>
        <w:jc w:val="left"/>
        <w:tblInd w:w="0" w:type="dxa"/>
        <w:tblLayout w:type="fixed"/>
        <w:tblCellMar>
          <w:top w:w="0" w:type="dxa"/>
          <w:left w:w="0" w:type="dxa"/>
          <w:bottom w:w="0" w:type="dxa"/>
          <w:right w:w="0" w:type="dxa"/>
        </w:tblCellMar>
      </w:tblPr>
      <w:tblGrid>
        <w:gridCol w:w="75"/>
        <w:gridCol w:w="3815"/>
        <w:gridCol w:w="75"/>
      </w:tblGrid>
      <w:tr>
        <w:trPr/>
        <w:tc>
          <w:tcPr>
            <w:tcW w:w="7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center"/>
              <w:rPr>
                <w:b/>
                <w:i/>
              </w:rPr>
            </w:pPr>
            <w:r>
              <w:rPr>
                <w:b/>
                <w:i/>
              </w:rPr>
              <w:t>Copy to:</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center"/>
              <w:rPr/>
            </w:pPr>
            <w:r>
              <w:rPr/>
              <w:t> </w:t>
            </w:r>
          </w:p>
        </w:tc>
        <w:tc>
          <w:tcPr>
            <w:tcW w:w="38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Derek J. Dostal, Esq.</w:t>
              <w:br/>
              <w:t>Christopher S. Schell, Esq.</w:t>
              <w:br/>
              <w:t>Zachary J. Zweihorn, Esq.</w:t>
              <w:br/>
              <w:t>Davis Polk &amp; Wardwell LLP</w:t>
              <w:br/>
              <w:t>450 Lexington Avenue</w:t>
              <w:br/>
              <w:t>New York, NY 10017</w:t>
              <w:br/>
              <w:t>(212) 450-4000</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Brian Crist</w:t>
              <w:br/>
              <w:t>Chief Legal Officer and Corporate Secretary</w:t>
              <w:br/>
              <w:t>Figure Technology Solutions, Inc.</w:t>
              <w:br/>
              <w:t>650 California Street, Suite 200</w:t>
              <w:br/>
              <w:t>San Francisco, CA 94108</w:t>
              <w:br/>
              <w:t>(917) 789-8049</w:t>
            </w:r>
          </w:p>
          <w:p>
            <w:pPr>
              <w:pStyle w:val="TableContents"/>
              <w:bidi w:val="0"/>
              <w:spacing w:before="0" w:after="0"/>
              <w:ind w:left="0" w:right="0" w:hanging="0"/>
              <w:jc w:val="center"/>
              <w:rPr>
                <w:caps w:val="false"/>
                <w:smallCaps w:val="false"/>
              </w:rPr>
            </w:pPr>
            <w:r>
              <w:rPr>
                <w:caps w:val="false"/>
                <w:smallCaps w:val="false"/>
              </w:rPr>
              <w:t> </w:t>
            </w:r>
          </w:p>
        </w:tc>
        <w:tc>
          <w:tcPr>
            <w:tcW w:w="75" w:type="dxa"/>
            <w:tcBorders/>
            <w:vAlign w:val="center"/>
          </w:tcPr>
          <w:p>
            <w:pPr>
              <w:pStyle w:val="TableContents"/>
              <w:bidi w:val="0"/>
              <w:spacing w:before="0" w:after="283"/>
              <w:jc w:val="center"/>
              <w:rPr/>
            </w:pPr>
            <w:r>
              <w:rPr/>
              <w:t> </w:t>
            </w:r>
          </w:p>
        </w:tc>
      </w:tr>
    </w:tbl>
    <w:p>
      <w:pPr>
        <w:pStyle w:val="TextBody"/>
        <w:bidi w:val="0"/>
        <w:spacing w:before="60" w:after="60"/>
        <w:jc w:val="center"/>
        <w:rPr>
          <w:bdr w:val="single" w:sz="8" w:space="1" w:color="000000"/>
        </w:rPr>
      </w:pPr>
      <w:r>
        <w:rPr>
          <w:bdr w:val="single" w:sz="8" w:space="1"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r>
        <w:rPr>
          <w:rFonts w:ascii="Times New Roman;Times;Serif" w:hAnsi="Times New Roman;Times;Serif"/>
          <w:b w:val="false"/>
          <w:i w:val="false"/>
          <w:caps w:val="false"/>
          <w:smallCaps w:val="false"/>
          <w:sz w:val="20"/>
        </w:rPr>
        <w:t>: From time to time after this Registration Statement becomes effective.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360"/>
        <w:jc w:val="left"/>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2105"/>
        <w:gridCol w:w="2510"/>
      </w:tblGrid>
      <w:tr>
        <w:trPr/>
        <w:tc>
          <w:tcPr>
            <w:tcW w:w="2105" w:type="dxa"/>
            <w:tcBorders/>
            <w:vAlign w:val="center"/>
          </w:tcPr>
          <w:p>
            <w:pPr>
              <w:pStyle w:val="TableContents"/>
              <w:bidi w:val="0"/>
              <w:spacing w:before="0" w:after="283"/>
              <w:ind w:left="0" w:right="0" w:hanging="0"/>
              <w:jc w:val="left"/>
              <w:rPr>
                <w:sz w:val="20"/>
              </w:rPr>
            </w:pPr>
            <w:r>
              <w:rPr>
                <w:sz w:val="20"/>
              </w:rPr>
              <w:t>Large accelerated filer  ☐</w:t>
            </w:r>
          </w:p>
        </w:tc>
        <w:tc>
          <w:tcPr>
            <w:tcW w:w="2510" w:type="dxa"/>
            <w:tcBorders/>
            <w:vAlign w:val="center"/>
          </w:tcPr>
          <w:p>
            <w:pPr>
              <w:pStyle w:val="TableContents"/>
              <w:bidi w:val="0"/>
              <w:spacing w:before="0" w:after="283"/>
              <w:ind w:left="0" w:right="0" w:hanging="0"/>
              <w:jc w:val="left"/>
              <w:rPr>
                <w:sz w:val="20"/>
              </w:rPr>
            </w:pPr>
            <w:r>
              <w:rPr>
                <w:sz w:val="20"/>
              </w:rPr>
              <w:t>Accelerated filer  ☐</w:t>
            </w:r>
          </w:p>
        </w:tc>
      </w:tr>
      <w:tr>
        <w:trPr/>
        <w:tc>
          <w:tcPr>
            <w:tcW w:w="2105" w:type="dxa"/>
            <w:tcBorders/>
            <w:vAlign w:val="center"/>
          </w:tcPr>
          <w:p>
            <w:pPr>
              <w:pStyle w:val="TableContents"/>
              <w:bidi w:val="0"/>
              <w:spacing w:before="0" w:after="283"/>
              <w:ind w:left="0" w:right="0" w:hanging="0"/>
              <w:jc w:val="left"/>
              <w:rPr>
                <w:sz w:val="20"/>
              </w:rPr>
            </w:pPr>
            <w:r>
              <w:rPr>
                <w:sz w:val="20"/>
              </w:rPr>
              <w:t>Non-accelerated filer  ☒</w:t>
            </w:r>
          </w:p>
        </w:tc>
        <w:tc>
          <w:tcPr>
            <w:tcW w:w="2510" w:type="dxa"/>
            <w:tcBorders/>
            <w:vAlign w:val="center"/>
          </w:tcPr>
          <w:p>
            <w:pPr>
              <w:pStyle w:val="TableContents"/>
              <w:bidi w:val="0"/>
              <w:spacing w:before="0" w:after="283"/>
              <w:ind w:left="0" w:right="0" w:hanging="0"/>
              <w:jc w:val="left"/>
              <w:rPr>
                <w:sz w:val="20"/>
              </w:rPr>
            </w:pPr>
            <w:r>
              <w:rPr>
                <w:sz w:val="20"/>
              </w:rPr>
              <w:t>Smaller reporting company  ☐</w:t>
            </w:r>
          </w:p>
        </w:tc>
      </w:tr>
      <w:tr>
        <w:trPr/>
        <w:tc>
          <w:tcPr>
            <w:tcW w:w="2105" w:type="dxa"/>
            <w:tcBorders/>
            <w:vAlign w:val="center"/>
          </w:tcPr>
          <w:p>
            <w:pPr>
              <w:pStyle w:val="TableContents"/>
              <w:bidi w:val="0"/>
              <w:spacing w:before="0" w:after="283"/>
              <w:ind w:left="0" w:right="0" w:hanging="0"/>
              <w:jc w:val="left"/>
              <w:rPr/>
            </w:pPr>
            <w:r>
              <w:rPr/>
              <w:t> </w:t>
            </w:r>
          </w:p>
        </w:tc>
        <w:tc>
          <w:tcPr>
            <w:tcW w:w="2510" w:type="dxa"/>
            <w:tcBorders/>
            <w:vAlign w:val="center"/>
          </w:tcPr>
          <w:p>
            <w:pPr>
              <w:pStyle w:val="TableContents"/>
              <w:bidi w:val="0"/>
              <w:spacing w:before="0" w:after="283"/>
              <w:jc w:val="left"/>
              <w:rPr>
                <w:sz w:val="20"/>
              </w:rPr>
            </w:pPr>
            <w:r>
              <w:rPr>
                <w:sz w:val="20"/>
              </w:rPr>
              <w:t>Emerging growth company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60" w:after="60"/>
        <w:jc w:val="center"/>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contains: a base prospectus to be used in connection with offerings of (1) debt securities; (2) common stock and preferred stock; and (3) warrants, purchase contracts and units at unspecified aggregate initial public offering prices by Figure Technology Solutions, Inc.  The specific terms of any securities we offer will be included in a supplement to this base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666875" cy="352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66875" cy="3524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Figure Technology Solutions, Inc.</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4"/>
        </w:rPr>
      </w:pPr>
      <w:r>
        <w:rPr>
          <w:rFonts w:ascii="Times New Roman;Times;Serif" w:hAnsi="Times New Roman;Times;Serif"/>
          <w:b/>
          <w:i/>
          <w:caps w:val="false"/>
          <w:smallCaps w:val="false"/>
          <w:sz w:val="24"/>
        </w:rPr>
        <w:t>DEBT SECURITIES</w:t>
        <w:br/>
        <w:t>PREFERRED STOCK</w:t>
        <w:br/>
        <w:t>COMMON STOCK</w:t>
        <w:br/>
        <w:t>WARRANTS</w:t>
        <w:br/>
        <w:t>PURCHASE CONTRACTS</w:t>
        <w:br/>
        <w:t>UNITS</w:t>
      </w:r>
    </w:p>
    <w:p>
      <w:pPr>
        <w:pStyle w:val="TextBody"/>
        <w:bidi w:val="0"/>
        <w:spacing w:before="0" w:after="283"/>
        <w:jc w:val="left"/>
        <w:rPr/>
      </w:pPr>
      <w:r>
        <w:rPr/>
        <w:t> </w:t>
      </w:r>
    </w:p>
    <w:p>
      <w:pPr>
        <w:pStyle w:val="TextBody"/>
        <w:bidi w:val="0"/>
        <w:spacing w:before="60" w:after="60"/>
        <w:jc w:val="center"/>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Figure Technology Solutions, Inc., may offer from time to time debt securities, preferred stock, common stock, warrants, purchase contracts and units separately or together in any combination.  Specific terms of these securities will be provided in supplements to this prospectus.  You should read this prospectus and any supplement carefully before you invest.</w:t>
      </w:r>
    </w:p>
    <w:p>
      <w:pPr>
        <w:pStyle w:val="TextBody"/>
        <w:bidi w:val="0"/>
        <w:spacing w:before="0" w:after="283"/>
        <w:jc w:val="left"/>
        <w:rPr/>
      </w:pPr>
      <w:r>
        <w:rPr/>
        <w:t> </w:t>
      </w:r>
    </w:p>
    <w:p>
      <w:pPr>
        <w:pStyle w:val="TextBody"/>
        <w:bidi w:val="0"/>
        <w:spacing w:before="60" w:after="60"/>
        <w:jc w:val="center"/>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these securities involves certain risks.  See “Risk Factors” beginning on page 17 of our annual report on Form 10-K for the year ended December 31, 2025, which is incorporated by reference herein.</w:t>
      </w:r>
    </w:p>
    <w:p>
      <w:pPr>
        <w:pStyle w:val="TextBody"/>
        <w:bidi w:val="0"/>
        <w:spacing w:before="0" w:after="283"/>
        <w:jc w:val="left"/>
        <w:rPr/>
      </w:pPr>
      <w:r>
        <w:rPr/>
        <w:t> </w:t>
      </w:r>
    </w:p>
    <w:p>
      <w:pPr>
        <w:pStyle w:val="TextBody"/>
        <w:bidi w:val="0"/>
        <w:spacing w:before="60" w:after="60"/>
        <w:jc w:val="center"/>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Securities and Exchange Commission nor any state securities commission has approved or disapproved these securities, or determined if this prospectus is truthful or complete.  Any representation to the contrary is a criminal offense.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securities are not deposits or savings accounts and are not insured by the Federal Deposit Insurance Corporation or any other governmental agency or instrumentality, nor are they obligations of, or guaranteed by, a bank.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The date of this prospectus is October 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8" w:space="4" w:color="000000"/>
        </w:rPr>
      </w:pPr>
      <w:r>
        <w:rPr>
          <w:rFonts w:ascii="Times New Roman;Times;Serif" w:hAnsi="Times New Roman;Times;Serif"/>
          <w:b w:val="false"/>
          <w:i w:val="false"/>
          <w:caps w:val="false"/>
          <w:smallCaps w:val="false"/>
          <w:sz w:val="20"/>
          <w:bdr w:val="single" w:sz="8" w:space="4" w:color="000000"/>
        </w:rPr>
        <w:t>We have not authorized anyone to provide any information other than that contained or incorporated by reference in this prospectus or in any free writing prospectus prepared by or on behalf of us or to which we have referred you.  We take no responsibility for, and can provide no assurance as to the reliability of, any other information that others may give you.  We are not making an offer of these securities in any state where the offer is not permitted.  You should not assume that the information contained in or incorporated by reference in this prospectus or any prospectus supplement or in any such free writing prospectus is accurate as of any date other than their respective dates.  </w:t>
      </w:r>
    </w:p>
    <w:p>
      <w:pPr>
        <w:pStyle w:val="TextBody"/>
        <w:bidi w:val="0"/>
        <w:spacing w:before="0" w:after="0"/>
        <w:ind w:left="0" w:right="0" w:firstLine="36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8" w:space="4" w:color="000000"/>
        </w:rPr>
      </w:pPr>
      <w:r>
        <w:rPr>
          <w:rFonts w:ascii="Times New Roman;Times;Serif" w:hAnsi="Times New Roman;Times;Serif"/>
          <w:b w:val="false"/>
          <w:i w:val="false"/>
          <w:caps w:val="false"/>
          <w:smallCaps w:val="false"/>
          <w:sz w:val="20"/>
          <w:bdr w:val="single" w:sz="8" w:space="4" w:color="000000"/>
        </w:rPr>
        <w:t>The terms “Figure”, “we,” “us,” and “our” refer to Figure Technology Solutions, Inc.</w:t>
      </w:r>
    </w:p>
    <w:p>
      <w:pPr>
        <w:pStyle w:val="TextBody"/>
        <w:bidi w:val="0"/>
        <w:jc w:val="left"/>
        <w:rPr>
          <w:bdr w:val="single" w:sz="8" w:space="4" w:color="000000"/>
        </w:rPr>
      </w:pPr>
      <w:r>
        <w:rPr>
          <w:bdr w:val="single" w:sz="8" w:space="4" w:color="000000"/>
        </w:rPr>
        <w:t> </w:t>
      </w:r>
    </w:p>
    <w:p>
      <w:pPr>
        <w:pStyle w:val="TextBody"/>
        <w:bidi w:val="0"/>
        <w:spacing w:before="60" w:after="60"/>
        <w:jc w:val="center"/>
        <w:rPr>
          <w:bdr w:val="single" w:sz="8" w:space="1" w:color="000000"/>
        </w:rPr>
      </w:pPr>
      <w:r>
        <w:rPr>
          <w:bdr w:val="single" w:sz="8" w:space="1" w:color="000000"/>
        </w:rPr>
        <w:t> </w:t>
      </w:r>
    </w:p>
    <w:p>
      <w:pPr>
        <w:pStyle w:val="TextBody"/>
        <w:bidi w:val="0"/>
        <w:jc w:val="left"/>
        <w:rPr>
          <w:bdr w:val="single" w:sz="8" w:space="4" w:color="000000"/>
        </w:rPr>
      </w:pPr>
      <w:r>
        <w:rPr>
          <w:bdr w:val="single" w:sz="8" w:space="4" w:color="000000"/>
        </w:rPr>
        <w:t> </w:t>
      </w:r>
    </w:p>
    <w:p>
      <w:pPr>
        <w:pStyle w:val="TextBody"/>
        <w:bidi w:val="0"/>
        <w:spacing w:before="0" w:after="0"/>
        <w:ind w:left="0" w:right="0" w:hanging="0"/>
        <w:jc w:val="center"/>
        <w:rPr>
          <w:rFonts w:ascii="Times New Roman;Times;Serif" w:hAnsi="Times New Roman;Times;Serif"/>
          <w:b/>
          <w:i w:val="false"/>
          <w:caps/>
          <w:sz w:val="20"/>
          <w:bdr w:val="single" w:sz="8" w:space="4" w:color="000000"/>
        </w:rPr>
      </w:pPr>
      <w:r>
        <w:rPr>
          <w:rFonts w:ascii="Times New Roman;Times;Serif" w:hAnsi="Times New Roman;Times;Serif"/>
          <w:b/>
          <w:i w:val="false"/>
          <w:caps/>
          <w:sz w:val="20"/>
          <w:bdr w:val="single" w:sz="8" w:space="4" w:color="000000"/>
        </w:rPr>
        <w:t>table of contents</w:t>
      </w:r>
    </w:p>
    <w:p>
      <w:pPr>
        <w:pStyle w:val="TextBody"/>
        <w:bidi w:val="0"/>
        <w:spacing w:before="0" w:after="0"/>
        <w:ind w:left="0" w:right="0" w:hanging="0"/>
        <w:jc w:val="center"/>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bdr w:val="single" w:sz="8" w:space="4" w:color="000000"/>
        </w:rPr>
      </w:pPr>
      <w:r>
        <w:rPr>
          <w:rFonts w:ascii="Times New Roman;Times;Serif" w:hAnsi="Times New Roman;Times;Serif"/>
          <w:b/>
          <w:i w:val="false"/>
          <w:caps w:val="false"/>
          <w:smallCaps w:val="false"/>
          <w:sz w:val="20"/>
          <w:u w:val="single"/>
          <w:bdr w:val="single" w:sz="8" w:space="4" w:color="000000"/>
        </w:rPr>
        <w:t>Page</w:t>
      </w:r>
    </w:p>
    <w:p>
      <w:pPr>
        <w:pStyle w:val="TextBody"/>
        <w:bidi w:val="0"/>
        <w:spacing w:before="0" w:after="0"/>
        <w:ind w:left="0" w:right="0" w:hanging="0"/>
        <w:jc w:val="right"/>
        <w:rPr>
          <w:caps w:val="false"/>
          <w:smallCaps w:val="false"/>
          <w:bdr w:val="single" w:sz="8" w:space="4" w:color="000000"/>
        </w:rPr>
      </w:pPr>
      <w:r>
        <w:rPr>
          <w:caps w:val="false"/>
          <w:smallCaps w:val="false"/>
          <w:bdr w:val="single" w:sz="8" w:space="4" w:color="000000"/>
        </w:rPr>
        <w:t> </w:t>
      </w:r>
    </w:p>
    <w:tbl>
      <w:tblPr>
        <w:tblW w:w="4600" w:type="dxa"/>
        <w:jc w:val="left"/>
        <w:tblInd w:w="0" w:type="dxa"/>
        <w:tblLayout w:type="fixed"/>
        <w:tblCellMar>
          <w:top w:w="0" w:type="dxa"/>
          <w:left w:w="0" w:type="dxa"/>
          <w:bottom w:w="0" w:type="dxa"/>
          <w:right w:w="0" w:type="dxa"/>
        </w:tblCellMar>
      </w:tblPr>
      <w:tblGrid>
        <w:gridCol w:w="4445"/>
        <w:gridCol w:w="155"/>
      </w:tblGrid>
      <w:tr>
        <w:trPr/>
        <w:tc>
          <w:tcPr>
            <w:tcW w:w="4445" w:type="dxa"/>
            <w:tcBorders/>
            <w:vAlign w:val="center"/>
          </w:tcPr>
          <w:p>
            <w:pPr>
              <w:pStyle w:val="TableContents"/>
              <w:bidi w:val="0"/>
              <w:spacing w:before="0" w:after="283"/>
              <w:jc w:val="left"/>
              <w:rPr/>
            </w:pPr>
            <w:hyperlink w:anchor="a_001">
              <w:r>
                <w:rPr>
                  <w:rStyle w:val="InternetLink"/>
                </w:rPr>
                <w:t>Figure Technology Solutions, Inc.</w:t>
              </w:r>
            </w:hyperlink>
          </w:p>
        </w:tc>
        <w:tc>
          <w:tcPr>
            <w:tcW w:w="155" w:type="dxa"/>
            <w:tcBorders/>
            <w:vAlign w:val="center"/>
          </w:tcPr>
          <w:p>
            <w:pPr>
              <w:pStyle w:val="TableContents"/>
              <w:bidi w:val="0"/>
              <w:spacing w:before="0" w:after="283"/>
              <w:jc w:val="right"/>
              <w:rPr/>
            </w:pPr>
            <w:hyperlink w:anchor="a_001">
              <w:r>
                <w:rPr>
                  <w:rStyle w:val="InternetLink"/>
                </w:rPr>
                <w:t>1</w:t>
              </w:r>
            </w:hyperlink>
          </w:p>
        </w:tc>
      </w:tr>
      <w:tr>
        <w:trPr/>
        <w:tc>
          <w:tcPr>
            <w:tcW w:w="4445" w:type="dxa"/>
            <w:tcBorders/>
            <w:vAlign w:val="center"/>
          </w:tcPr>
          <w:p>
            <w:pPr>
              <w:pStyle w:val="TableContents"/>
              <w:bidi w:val="0"/>
              <w:spacing w:before="0" w:after="283"/>
              <w:jc w:val="left"/>
              <w:rPr/>
            </w:pPr>
            <w:hyperlink w:anchor="a_002">
              <w:r>
                <w:rPr>
                  <w:rStyle w:val="InternetLink"/>
                </w:rPr>
                <w:t>Where You Can Find More Information</w:t>
              </w:r>
            </w:hyperlink>
          </w:p>
        </w:tc>
        <w:tc>
          <w:tcPr>
            <w:tcW w:w="155" w:type="dxa"/>
            <w:tcBorders/>
            <w:vAlign w:val="center"/>
          </w:tcPr>
          <w:p>
            <w:pPr>
              <w:pStyle w:val="TableContents"/>
              <w:bidi w:val="0"/>
              <w:spacing w:before="0" w:after="283"/>
              <w:jc w:val="right"/>
              <w:rPr/>
            </w:pPr>
            <w:hyperlink w:anchor="a_002">
              <w:r>
                <w:rPr>
                  <w:rStyle w:val="InternetLink"/>
                </w:rPr>
                <w:t>2</w:t>
              </w:r>
            </w:hyperlink>
          </w:p>
        </w:tc>
      </w:tr>
      <w:tr>
        <w:trPr/>
        <w:tc>
          <w:tcPr>
            <w:tcW w:w="4445" w:type="dxa"/>
            <w:tcBorders/>
            <w:vAlign w:val="center"/>
          </w:tcPr>
          <w:p>
            <w:pPr>
              <w:pStyle w:val="TableContents"/>
              <w:bidi w:val="0"/>
              <w:spacing w:before="0" w:after="283"/>
              <w:jc w:val="left"/>
              <w:rPr/>
            </w:pPr>
            <w:hyperlink w:anchor="a_003">
              <w:r>
                <w:rPr>
                  <w:rStyle w:val="InternetLink"/>
                </w:rPr>
                <w:t>Special Note On Forward-Looking Statements</w:t>
              </w:r>
            </w:hyperlink>
          </w:p>
        </w:tc>
        <w:tc>
          <w:tcPr>
            <w:tcW w:w="155" w:type="dxa"/>
            <w:tcBorders/>
            <w:vAlign w:val="center"/>
          </w:tcPr>
          <w:p>
            <w:pPr>
              <w:pStyle w:val="TableContents"/>
              <w:bidi w:val="0"/>
              <w:spacing w:before="0" w:after="283"/>
              <w:jc w:val="right"/>
              <w:rPr/>
            </w:pPr>
            <w:hyperlink w:anchor="a_003">
              <w:r>
                <w:rPr>
                  <w:rStyle w:val="InternetLink"/>
                </w:rPr>
                <w:t>3</w:t>
              </w:r>
            </w:hyperlink>
          </w:p>
        </w:tc>
      </w:tr>
      <w:tr>
        <w:trPr/>
        <w:tc>
          <w:tcPr>
            <w:tcW w:w="4445" w:type="dxa"/>
            <w:tcBorders/>
            <w:vAlign w:val="center"/>
          </w:tcPr>
          <w:p>
            <w:pPr>
              <w:pStyle w:val="TableContents"/>
              <w:bidi w:val="0"/>
              <w:spacing w:before="0" w:after="283"/>
              <w:jc w:val="left"/>
              <w:rPr/>
            </w:pPr>
            <w:hyperlink w:anchor="a_004">
              <w:r>
                <w:rPr>
                  <w:rStyle w:val="InternetLink"/>
                </w:rPr>
                <w:t>Risk Factors</w:t>
              </w:r>
            </w:hyperlink>
          </w:p>
        </w:tc>
        <w:tc>
          <w:tcPr>
            <w:tcW w:w="155" w:type="dxa"/>
            <w:tcBorders/>
            <w:vAlign w:val="center"/>
          </w:tcPr>
          <w:p>
            <w:pPr>
              <w:pStyle w:val="TableContents"/>
              <w:bidi w:val="0"/>
              <w:spacing w:before="0" w:after="283"/>
              <w:jc w:val="right"/>
              <w:rPr/>
            </w:pPr>
            <w:hyperlink w:anchor="a_004">
              <w:r>
                <w:rPr>
                  <w:rStyle w:val="InternetLink"/>
                </w:rPr>
                <w:t>4</w:t>
              </w:r>
            </w:hyperlink>
          </w:p>
        </w:tc>
      </w:tr>
      <w:tr>
        <w:trPr/>
        <w:tc>
          <w:tcPr>
            <w:tcW w:w="4445" w:type="dxa"/>
            <w:tcBorders/>
            <w:vAlign w:val="center"/>
          </w:tcPr>
          <w:p>
            <w:pPr>
              <w:pStyle w:val="TableContents"/>
              <w:bidi w:val="0"/>
              <w:spacing w:before="0" w:after="283"/>
              <w:jc w:val="left"/>
              <w:rPr/>
            </w:pPr>
            <w:hyperlink w:anchor="a_005">
              <w:r>
                <w:rPr>
                  <w:rStyle w:val="InternetLink"/>
                </w:rPr>
                <w:t>Use of Proceeds</w:t>
              </w:r>
            </w:hyperlink>
          </w:p>
        </w:tc>
        <w:tc>
          <w:tcPr>
            <w:tcW w:w="155" w:type="dxa"/>
            <w:tcBorders/>
            <w:vAlign w:val="center"/>
          </w:tcPr>
          <w:p>
            <w:pPr>
              <w:pStyle w:val="TableContents"/>
              <w:bidi w:val="0"/>
              <w:spacing w:before="0" w:after="283"/>
              <w:jc w:val="right"/>
              <w:rPr/>
            </w:pPr>
            <w:hyperlink w:anchor="a_005">
              <w:r>
                <w:rPr>
                  <w:rStyle w:val="InternetLink"/>
                </w:rPr>
                <w:t>5</w:t>
              </w:r>
            </w:hyperlink>
          </w:p>
        </w:tc>
      </w:tr>
      <w:tr>
        <w:trPr/>
        <w:tc>
          <w:tcPr>
            <w:tcW w:w="4445" w:type="dxa"/>
            <w:tcBorders/>
            <w:vAlign w:val="center"/>
          </w:tcPr>
          <w:p>
            <w:pPr>
              <w:pStyle w:val="TableContents"/>
              <w:bidi w:val="0"/>
              <w:spacing w:before="0" w:after="283"/>
              <w:jc w:val="left"/>
              <w:rPr/>
            </w:pPr>
            <w:hyperlink w:anchor="a_006">
              <w:r>
                <w:rPr>
                  <w:rStyle w:val="InternetLink"/>
                </w:rPr>
                <w:t>Description of Debt Securities</w:t>
              </w:r>
            </w:hyperlink>
          </w:p>
        </w:tc>
        <w:tc>
          <w:tcPr>
            <w:tcW w:w="155" w:type="dxa"/>
            <w:tcBorders/>
            <w:vAlign w:val="center"/>
          </w:tcPr>
          <w:p>
            <w:pPr>
              <w:pStyle w:val="TableContents"/>
              <w:bidi w:val="0"/>
              <w:spacing w:before="0" w:after="283"/>
              <w:jc w:val="right"/>
              <w:rPr/>
            </w:pPr>
            <w:hyperlink w:anchor="a_006">
              <w:r>
                <w:rPr>
                  <w:rStyle w:val="InternetLink"/>
                </w:rPr>
                <w:t>6</w:t>
              </w:r>
            </w:hyperlink>
          </w:p>
        </w:tc>
      </w:tr>
      <w:tr>
        <w:trPr/>
        <w:tc>
          <w:tcPr>
            <w:tcW w:w="4445" w:type="dxa"/>
            <w:tcBorders/>
            <w:vAlign w:val="center"/>
          </w:tcPr>
          <w:p>
            <w:pPr>
              <w:pStyle w:val="TableContents"/>
              <w:bidi w:val="0"/>
              <w:spacing w:before="0" w:after="283"/>
              <w:jc w:val="left"/>
              <w:rPr/>
            </w:pPr>
            <w:hyperlink w:anchor="a_007">
              <w:r>
                <w:rPr>
                  <w:rStyle w:val="InternetLink"/>
                </w:rPr>
                <w:t>Description of Preferred Stock</w:t>
              </w:r>
            </w:hyperlink>
          </w:p>
        </w:tc>
        <w:tc>
          <w:tcPr>
            <w:tcW w:w="155" w:type="dxa"/>
            <w:tcBorders/>
            <w:vAlign w:val="center"/>
          </w:tcPr>
          <w:p>
            <w:pPr>
              <w:pStyle w:val="TableContents"/>
              <w:bidi w:val="0"/>
              <w:spacing w:before="0" w:after="283"/>
              <w:jc w:val="right"/>
              <w:rPr/>
            </w:pPr>
            <w:hyperlink w:anchor="a_007">
              <w:r>
                <w:rPr>
                  <w:rStyle w:val="InternetLink"/>
                </w:rPr>
                <w:t>6</w:t>
              </w:r>
            </w:hyperlink>
          </w:p>
        </w:tc>
      </w:tr>
      <w:tr>
        <w:trPr/>
        <w:tc>
          <w:tcPr>
            <w:tcW w:w="4445" w:type="dxa"/>
            <w:tcBorders/>
            <w:vAlign w:val="center"/>
          </w:tcPr>
          <w:p>
            <w:pPr>
              <w:pStyle w:val="TableContents"/>
              <w:bidi w:val="0"/>
              <w:spacing w:before="0" w:after="283"/>
              <w:jc w:val="left"/>
              <w:rPr/>
            </w:pPr>
            <w:hyperlink w:anchor="a_008">
              <w:r>
                <w:rPr>
                  <w:rStyle w:val="InternetLink"/>
                </w:rPr>
                <w:t>Description of Common Stock</w:t>
              </w:r>
            </w:hyperlink>
          </w:p>
        </w:tc>
        <w:tc>
          <w:tcPr>
            <w:tcW w:w="155" w:type="dxa"/>
            <w:tcBorders/>
            <w:vAlign w:val="center"/>
          </w:tcPr>
          <w:p>
            <w:pPr>
              <w:pStyle w:val="TableContents"/>
              <w:bidi w:val="0"/>
              <w:spacing w:before="0" w:after="283"/>
              <w:jc w:val="right"/>
              <w:rPr/>
            </w:pPr>
            <w:hyperlink w:anchor="a_008">
              <w:r>
                <w:rPr>
                  <w:rStyle w:val="InternetLink"/>
                </w:rPr>
                <w:t>6</w:t>
              </w:r>
            </w:hyperlink>
          </w:p>
        </w:tc>
      </w:tr>
      <w:tr>
        <w:trPr/>
        <w:tc>
          <w:tcPr>
            <w:tcW w:w="4445" w:type="dxa"/>
            <w:tcBorders/>
            <w:vAlign w:val="center"/>
          </w:tcPr>
          <w:p>
            <w:pPr>
              <w:pStyle w:val="TableContents"/>
              <w:bidi w:val="0"/>
              <w:spacing w:before="0" w:after="283"/>
              <w:jc w:val="left"/>
              <w:rPr/>
            </w:pPr>
            <w:hyperlink w:anchor="a_009">
              <w:r>
                <w:rPr>
                  <w:rStyle w:val="InternetLink"/>
                </w:rPr>
                <w:t>Description of Warrants</w:t>
              </w:r>
            </w:hyperlink>
          </w:p>
        </w:tc>
        <w:tc>
          <w:tcPr>
            <w:tcW w:w="155" w:type="dxa"/>
            <w:tcBorders/>
            <w:vAlign w:val="center"/>
          </w:tcPr>
          <w:p>
            <w:pPr>
              <w:pStyle w:val="TableContents"/>
              <w:bidi w:val="0"/>
              <w:spacing w:before="0" w:after="283"/>
              <w:jc w:val="right"/>
              <w:rPr/>
            </w:pPr>
            <w:hyperlink w:anchor="a_009">
              <w:r>
                <w:rPr>
                  <w:rStyle w:val="InternetLink"/>
                </w:rPr>
                <w:t>6</w:t>
              </w:r>
            </w:hyperlink>
          </w:p>
        </w:tc>
      </w:tr>
      <w:tr>
        <w:trPr/>
        <w:tc>
          <w:tcPr>
            <w:tcW w:w="4445" w:type="dxa"/>
            <w:tcBorders/>
            <w:vAlign w:val="center"/>
          </w:tcPr>
          <w:p>
            <w:pPr>
              <w:pStyle w:val="TableContents"/>
              <w:bidi w:val="0"/>
              <w:spacing w:before="0" w:after="283"/>
              <w:jc w:val="left"/>
              <w:rPr/>
            </w:pPr>
            <w:hyperlink w:anchor="a_010">
              <w:r>
                <w:rPr>
                  <w:rStyle w:val="InternetLink"/>
                </w:rPr>
                <w:t>Description of Purchase Contracts</w:t>
              </w:r>
            </w:hyperlink>
          </w:p>
        </w:tc>
        <w:tc>
          <w:tcPr>
            <w:tcW w:w="155" w:type="dxa"/>
            <w:tcBorders/>
            <w:vAlign w:val="center"/>
          </w:tcPr>
          <w:p>
            <w:pPr>
              <w:pStyle w:val="TableContents"/>
              <w:bidi w:val="0"/>
              <w:spacing w:before="0" w:after="283"/>
              <w:jc w:val="right"/>
              <w:rPr/>
            </w:pPr>
            <w:hyperlink w:anchor="a_010">
              <w:r>
                <w:rPr>
                  <w:rStyle w:val="InternetLink"/>
                </w:rPr>
                <w:t>7</w:t>
              </w:r>
            </w:hyperlink>
          </w:p>
        </w:tc>
      </w:tr>
      <w:tr>
        <w:trPr/>
        <w:tc>
          <w:tcPr>
            <w:tcW w:w="4445" w:type="dxa"/>
            <w:tcBorders/>
            <w:vAlign w:val="center"/>
          </w:tcPr>
          <w:p>
            <w:pPr>
              <w:pStyle w:val="TableContents"/>
              <w:bidi w:val="0"/>
              <w:spacing w:before="0" w:after="283"/>
              <w:jc w:val="left"/>
              <w:rPr/>
            </w:pPr>
            <w:hyperlink w:anchor="a_011">
              <w:r>
                <w:rPr>
                  <w:rStyle w:val="InternetLink"/>
                </w:rPr>
                <w:t>Description of Units</w:t>
              </w:r>
            </w:hyperlink>
          </w:p>
        </w:tc>
        <w:tc>
          <w:tcPr>
            <w:tcW w:w="155" w:type="dxa"/>
            <w:tcBorders/>
            <w:vAlign w:val="center"/>
          </w:tcPr>
          <w:p>
            <w:pPr>
              <w:pStyle w:val="TableContents"/>
              <w:bidi w:val="0"/>
              <w:spacing w:before="0" w:after="283"/>
              <w:jc w:val="right"/>
              <w:rPr/>
            </w:pPr>
            <w:hyperlink w:anchor="a_011">
              <w:r>
                <w:rPr>
                  <w:rStyle w:val="InternetLink"/>
                </w:rPr>
                <w:t>8</w:t>
              </w:r>
            </w:hyperlink>
          </w:p>
        </w:tc>
      </w:tr>
      <w:tr>
        <w:trPr/>
        <w:tc>
          <w:tcPr>
            <w:tcW w:w="4445" w:type="dxa"/>
            <w:tcBorders/>
            <w:vAlign w:val="center"/>
          </w:tcPr>
          <w:p>
            <w:pPr>
              <w:pStyle w:val="TableContents"/>
              <w:bidi w:val="0"/>
              <w:spacing w:before="0" w:after="283"/>
              <w:jc w:val="left"/>
              <w:rPr/>
            </w:pPr>
            <w:hyperlink w:anchor="a_012">
              <w:r>
                <w:rPr>
                  <w:rStyle w:val="InternetLink"/>
                </w:rPr>
                <w:t>Plan of Distribution</w:t>
              </w:r>
            </w:hyperlink>
          </w:p>
        </w:tc>
        <w:tc>
          <w:tcPr>
            <w:tcW w:w="155" w:type="dxa"/>
            <w:tcBorders/>
            <w:vAlign w:val="center"/>
          </w:tcPr>
          <w:p>
            <w:pPr>
              <w:pStyle w:val="TableContents"/>
              <w:bidi w:val="0"/>
              <w:spacing w:before="0" w:after="283"/>
              <w:jc w:val="right"/>
              <w:rPr/>
            </w:pPr>
            <w:hyperlink w:anchor="a_012">
              <w:r>
                <w:rPr>
                  <w:rStyle w:val="InternetLink"/>
                </w:rPr>
                <w:t>9</w:t>
              </w:r>
            </w:hyperlink>
          </w:p>
        </w:tc>
      </w:tr>
      <w:tr>
        <w:trPr/>
        <w:tc>
          <w:tcPr>
            <w:tcW w:w="4445" w:type="dxa"/>
            <w:tcBorders/>
            <w:vAlign w:val="center"/>
          </w:tcPr>
          <w:p>
            <w:pPr>
              <w:pStyle w:val="TableContents"/>
              <w:bidi w:val="0"/>
              <w:spacing w:before="0" w:after="283"/>
              <w:jc w:val="left"/>
              <w:rPr/>
            </w:pPr>
            <w:hyperlink w:anchor="a_013">
              <w:r>
                <w:rPr>
                  <w:rStyle w:val="InternetLink"/>
                </w:rPr>
                <w:t>Legal Matters</w:t>
              </w:r>
            </w:hyperlink>
          </w:p>
        </w:tc>
        <w:tc>
          <w:tcPr>
            <w:tcW w:w="155" w:type="dxa"/>
            <w:tcBorders/>
            <w:vAlign w:val="center"/>
          </w:tcPr>
          <w:p>
            <w:pPr>
              <w:pStyle w:val="TableContents"/>
              <w:bidi w:val="0"/>
              <w:spacing w:before="0" w:after="283"/>
              <w:jc w:val="right"/>
              <w:rPr/>
            </w:pPr>
            <w:hyperlink w:anchor="a_013">
              <w:r>
                <w:rPr>
                  <w:rStyle w:val="InternetLink"/>
                </w:rPr>
                <w:t>9</w:t>
              </w:r>
            </w:hyperlink>
          </w:p>
        </w:tc>
      </w:tr>
      <w:tr>
        <w:trPr/>
        <w:tc>
          <w:tcPr>
            <w:tcW w:w="4445" w:type="dxa"/>
            <w:tcBorders/>
            <w:vAlign w:val="center"/>
          </w:tcPr>
          <w:p>
            <w:pPr>
              <w:pStyle w:val="TableContents"/>
              <w:bidi w:val="0"/>
              <w:spacing w:before="0" w:after="283"/>
              <w:jc w:val="left"/>
              <w:rPr/>
            </w:pPr>
            <w:hyperlink w:anchor="a_014">
              <w:r>
                <w:rPr>
                  <w:rStyle w:val="InternetLink"/>
                </w:rPr>
                <w:t>Experts</w:t>
              </w:r>
            </w:hyperlink>
          </w:p>
        </w:tc>
        <w:tc>
          <w:tcPr>
            <w:tcW w:w="155" w:type="dxa"/>
            <w:tcBorders/>
            <w:vAlign w:val="center"/>
          </w:tcPr>
          <w:p>
            <w:pPr>
              <w:pStyle w:val="TableContents"/>
              <w:bidi w:val="0"/>
              <w:spacing w:before="0" w:after="283"/>
              <w:jc w:val="right"/>
              <w:rPr/>
            </w:pPr>
            <w:hyperlink w:anchor="a_014">
              <w:r>
                <w:rPr>
                  <w:rStyle w:val="InternetLink"/>
                </w:rPr>
                <w:t>9</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bdr w:val="single" w:sz="8" w:space="4" w:color="000000"/>
        </w:rPr>
      </w:pPr>
      <w:bookmarkStart w:id="2" w:name="a_001"/>
      <w:bookmarkEnd w:id="2"/>
      <w:r>
        <w:rPr>
          <w:rFonts w:ascii="Times New Roman;Times;Serif" w:hAnsi="Times New Roman;Times;Serif"/>
          <w:b/>
          <w:i w:val="false"/>
          <w:caps/>
          <w:sz w:val="20"/>
          <w:bdr w:val="single" w:sz="8" w:space="4" w:color="000000"/>
        </w:rPr>
        <w:t>Figure Technology Solutions, Inc.</w:t>
      </w:r>
    </w:p>
    <w:p>
      <w:pPr>
        <w:pStyle w:val="TextBody"/>
        <w:bidi w:val="0"/>
        <w:spacing w:before="0" w:after="0"/>
        <w:ind w:left="0" w:right="0" w:hanging="0"/>
        <w:jc w:val="center"/>
        <w:rPr>
          <w:caps/>
          <w:bdr w:val="single" w:sz="8" w:space="4" w:color="000000"/>
        </w:rPr>
      </w:pPr>
      <w:r>
        <w:rPr>
          <w:caps/>
          <w:bdr w:val="single" w:sz="8" w:space="4"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8" w:space="4" w:color="000000"/>
        </w:rPr>
      </w:pPr>
      <w:r>
        <w:rPr>
          <w:rFonts w:ascii="Times New Roman;Times;Serif" w:hAnsi="Times New Roman;Times;Serif"/>
          <w:b w:val="false"/>
          <w:i w:val="false"/>
          <w:caps w:val="false"/>
          <w:smallCaps w:val="false"/>
          <w:sz w:val="20"/>
          <w:bdr w:val="single" w:sz="8" w:space="4" w:color="000000"/>
        </w:rPr>
        <w:t>Figure Technology Solutions, Inc. may offer any of the following securities: debt securities; preferred stock; common stock; warrants; purchase contracts; and units. The following summary describes only the general terms of these securities and the general manner in which we will offer the securities. You should read the summary together with the more detailed information contained in the rest of this prospectus and the applicable prospectus supplement.</w:t>
      </w:r>
    </w:p>
    <w:p>
      <w:pPr>
        <w:pStyle w:val="TextBody"/>
        <w:bidi w:val="0"/>
        <w:spacing w:before="0" w:after="0"/>
        <w:ind w:left="0" w:right="0" w:firstLine="36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8" w:space="4" w:color="000000"/>
        </w:rPr>
      </w:pPr>
      <w:r>
        <w:rPr>
          <w:rFonts w:ascii="Times New Roman;Times;Serif" w:hAnsi="Times New Roman;Times;Serif"/>
          <w:b w:val="false"/>
          <w:i w:val="false"/>
          <w:caps w:val="false"/>
          <w:smallCaps w:val="false"/>
          <w:sz w:val="20"/>
          <w:bdr w:val="single" w:sz="8" w:space="4" w:color="000000"/>
        </w:rPr>
        <w:t>Our principal executive offices are located at 100 West Liberty Street, Suite 600 Reno, NV 89501, and our telephone number is (917) 789-8049.  We maintain a website at https://www.figure.com where general information about us is available.  We are not incorporating the contents of the website into this prospectus.</w:t>
      </w:r>
    </w:p>
    <w:p>
      <w:pPr>
        <w:pStyle w:val="TextBody"/>
        <w:bidi w:val="0"/>
        <w:spacing w:before="0" w:after="0"/>
        <w:ind w:left="0" w:right="0" w:firstLine="36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36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360"/>
        <w:jc w:val="left"/>
        <w:rPr>
          <w:caps w:val="false"/>
          <w:smallCaps w:val="false"/>
          <w:bdr w:val="single" w:sz="8" w:space="4" w:color="000000"/>
        </w:rPr>
      </w:pPr>
      <w:r>
        <w:rPr>
          <w:caps w:val="false"/>
          <w:smallCaps w:val="false"/>
          <w:bdr w:val="single" w:sz="8" w:space="4" w:color="000000"/>
        </w:rPr>
        <w:t> </w:t>
      </w:r>
    </w:p>
    <w:p>
      <w:pPr>
        <w:pStyle w:val="TextBody"/>
        <w:bidi w:val="0"/>
        <w:jc w:val="left"/>
        <w:rPr>
          <w:bdr w:val="single" w:sz="8" w:space="4" w:color="000000"/>
        </w:rPr>
      </w:pPr>
      <w:r>
        <w:rPr>
          <w:bdr w:val="single" w:sz="8" w:space="4" w:color="000000"/>
        </w:rPr>
        <w:t> </w:t>
      </w:r>
    </w:p>
    <w:p>
      <w:pPr>
        <w:pStyle w:val="TextBody"/>
        <w:bidi w:val="0"/>
        <w:spacing w:before="60" w:after="60"/>
        <w:jc w:val="center"/>
        <w:rPr>
          <w:bdr w:val="single" w:sz="8" w:space="1" w:color="000000"/>
        </w:rPr>
      </w:pPr>
      <w:r>
        <w:rPr>
          <w:bdr w:val="single" w:sz="8" w:space="1" w:color="000000"/>
        </w:rPr>
        <w:t> </w:t>
      </w:r>
    </w:p>
    <w:p>
      <w:pPr>
        <w:pStyle w:val="TextBody"/>
        <w:bidi w:val="0"/>
        <w:jc w:val="left"/>
        <w:rPr>
          <w:bdr w:val="single" w:sz="8" w:space="4" w:color="000000"/>
        </w:rPr>
      </w:pPr>
      <w:r>
        <w:rPr>
          <w:bdr w:val="single" w:sz="8" w:space="4"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4" w:color="000000"/>
        </w:rPr>
      </w:pPr>
      <w:r>
        <w:rPr>
          <w:rFonts w:ascii="Times New Roman;Times;Serif" w:hAnsi="Times New Roman;Times;Serif"/>
          <w:b/>
          <w:i w:val="false"/>
          <w:caps w:val="false"/>
          <w:smallCaps w:val="false"/>
          <w:sz w:val="20"/>
          <w:bdr w:val="single" w:sz="8" w:space="4" w:color="000000"/>
        </w:rPr>
        <w:t>About this Prospectus</w:t>
      </w:r>
    </w:p>
    <w:p>
      <w:pPr>
        <w:pStyle w:val="TextBody"/>
        <w:bidi w:val="0"/>
        <w:spacing w:before="0" w:after="0"/>
        <w:ind w:left="0" w:right="0" w:hanging="0"/>
        <w:jc w:val="center"/>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8" w:space="4" w:color="000000"/>
        </w:rPr>
      </w:pPr>
      <w:r>
        <w:rPr>
          <w:rFonts w:ascii="Times New Roman;Times;Serif" w:hAnsi="Times New Roman;Times;Serif"/>
          <w:b w:val="false"/>
          <w:i w:val="false"/>
          <w:caps w:val="false"/>
          <w:smallCaps w:val="false"/>
          <w:sz w:val="20"/>
          <w:bdr w:val="single" w:sz="8" w:space="4" w:color="000000"/>
        </w:rPr>
        <w:t>This prospectus is part of a registration statement that we filed with the SEC utilizing a “shelf” registration process.  Under this shelf process, we may sell any combination of the securities described in this prospectus in one or more offerings.  This prospectus provides you with a general description of the securities we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 w:name="a_002"/>
      <w:bookmarkEnd w:id="3"/>
      <w:r>
        <w:rPr>
          <w:rFonts w:ascii="Times New Roman;Times;Serif" w:hAnsi="Times New Roman;Times;Serif"/>
          <w:b/>
          <w:i w:val="false"/>
          <w:caps/>
          <w:sz w:val="20"/>
        </w:rPr>
        <w:t>Where You Can Find More Information</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annual, quarterly and current reports, proxy statements and other information with the SEC. The SEC maintains a website that contains reports, proxy statements and other information that we electronically file. The address of the SEC’s website is http://www.sec.gov. You can find information we have filed with the SEC by reference to file number 001-42829. You can find information that Figure Certificate Company has filed with the SEC by reference to CIK 0001974395.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on us and our consolidated subsidiaries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much of the information we file with it,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 13(a), 13(c), 14 or 15(d) of the Securities Exchange Act of 1934 (other than information in the documents or filings that is deemed to have been furnished and not filed) until we complete our offering of the securities to be issued under the registration statement or, if later, the date on which any of our affiliates cease offering and selling these securities:</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174"/>
        <w:gridCol w:w="9979"/>
      </w:tblGrid>
      <w:tr>
        <w:trPr/>
        <w:tc>
          <w:tcPr>
            <w:tcW w:w="5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rFonts w:ascii="Symbol" w:hAnsi="Symbol"/>
              </w:rPr>
            </w:pPr>
            <w:r>
              <w:rPr>
                <w:rFonts w:ascii="Symbol" w:hAnsi="Symbol"/>
              </w:rPr>
              <w:t>·</w:t>
            </w:r>
          </w:p>
        </w:tc>
        <w:tc>
          <w:tcPr>
            <w:tcW w:w="9979" w:type="dxa"/>
            <w:tcBorders/>
            <w:vAlign w:val="center"/>
          </w:tcPr>
          <w:p>
            <w:pPr>
              <w:pStyle w:val="TableContents"/>
              <w:bidi w:val="0"/>
              <w:spacing w:before="0" w:after="283"/>
              <w:jc w:val="left"/>
              <w:rPr/>
            </w:pPr>
            <w:r>
              <w:rPr/>
              <w:t xml:space="preserve">Annual Report on Form 10-K for the fiscal year ended </w:t>
            </w:r>
            <w:hyperlink r:id="rId3">
              <w:r>
                <w:rPr>
                  <w:rStyle w:val="InternetLink"/>
                  <w:color w:val="0000FF"/>
                  <w:u w:val="single"/>
                </w:rPr>
                <w:t>December 31, 2025</w:t>
              </w:r>
            </w:hyperlink>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26"/>
        <w:gridCol w:w="10041"/>
      </w:tblGrid>
      <w:tr>
        <w:trPr/>
        <w:tc>
          <w:tcPr>
            <w:tcW w:w="3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rFonts w:ascii="Symbol" w:hAnsi="Symbol"/>
              </w:rPr>
            </w:pPr>
            <w:r>
              <w:rPr>
                <w:rFonts w:ascii="Symbol" w:hAnsi="Symbol"/>
              </w:rPr>
              <w:t>·</w:t>
            </w:r>
          </w:p>
        </w:tc>
        <w:tc>
          <w:tcPr>
            <w:tcW w:w="10041" w:type="dxa"/>
            <w:tcBorders/>
            <w:vAlign w:val="center"/>
          </w:tcPr>
          <w:p>
            <w:pPr>
              <w:pStyle w:val="TableContents"/>
              <w:bidi w:val="0"/>
              <w:spacing w:before="0" w:after="283"/>
              <w:jc w:val="left"/>
              <w:rPr/>
            </w:pPr>
            <w:r>
              <w:rPr/>
              <w:t xml:space="preserve">Quarterly Reports on Form 10-Q for the quarterly periods ended </w:t>
            </w:r>
            <w:hyperlink r:id="rId4">
              <w:r>
                <w:rPr>
                  <w:rStyle w:val="InternetLink"/>
                  <w:color w:val="0000FF"/>
                  <w:u w:val="single"/>
                </w:rPr>
                <w:t>March 31, 2026</w:t>
              </w:r>
            </w:hyperlink>
            <w:r>
              <w:rPr/>
              <w:t xml:space="preserve"> and </w:t>
            </w:r>
            <w:hyperlink r:id="rId5">
              <w:r>
                <w:rPr>
                  <w:rStyle w:val="InternetLink"/>
                  <w:color w:val="0000FF"/>
                  <w:u w:val="single"/>
                </w:rPr>
                <w:t>June 30, 2026</w:t>
              </w:r>
            </w:hyperlink>
            <w:r>
              <w:rPr/>
              <w: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Current Reports on Form 8-K and Form 8-K/A dated </w:t>
            </w:r>
            <w:hyperlink r:id="rId6">
              <w:r>
                <w:rPr>
                  <w:rStyle w:val="InternetLink"/>
                  <w:color w:val="0000FF"/>
                  <w:u w:val="single"/>
                </w:rPr>
                <w:t>January 12, 2026</w:t>
              </w:r>
            </w:hyperlink>
            <w:r>
              <w:rPr/>
              <w:t xml:space="preserve"> (which is incorporated by reference only to the extent stated therein), </w:t>
            </w:r>
            <w:hyperlink r:id="rId7">
              <w:r>
                <w:rPr>
                  <w:rStyle w:val="InternetLink"/>
                  <w:color w:val="0000FF"/>
                  <w:u w:val="single"/>
                </w:rPr>
                <w:t>January 12, 2026</w:t>
              </w:r>
            </w:hyperlink>
            <w:r>
              <w:rPr/>
              <w:t xml:space="preserve">, </w:t>
            </w:r>
            <w:hyperlink r:id="rId8">
              <w:r>
                <w:rPr>
                  <w:rStyle w:val="InternetLink"/>
                  <w:color w:val="0000FF"/>
                  <w:u w:val="single"/>
                </w:rPr>
                <w:t>January 12, 2026</w:t>
              </w:r>
            </w:hyperlink>
            <w:r>
              <w:rPr/>
              <w:t xml:space="preserve">, </w:t>
            </w:r>
            <w:hyperlink r:id="rId9">
              <w:r>
                <w:rPr>
                  <w:rStyle w:val="InternetLink"/>
                  <w:color w:val="0000FF"/>
                  <w:u w:val="single"/>
                </w:rPr>
                <w:t>February 13, 2026</w:t>
              </w:r>
            </w:hyperlink>
            <w:r>
              <w:rPr/>
              <w:t xml:space="preserve"> (which is incorporated by reference only to the extent stated therein), </w:t>
            </w:r>
            <w:hyperlink r:id="rId10">
              <w:r>
                <w:rPr>
                  <w:rStyle w:val="InternetLink"/>
                  <w:color w:val="0000FF"/>
                  <w:u w:val="single"/>
                </w:rPr>
                <w:t>February 19, 2026</w:t>
              </w:r>
            </w:hyperlink>
            <w:r>
              <w:rPr/>
              <w:t xml:space="preserve">, </w:t>
            </w:r>
            <w:hyperlink r:id="rId11">
              <w:r>
                <w:rPr>
                  <w:rStyle w:val="InternetLink"/>
                  <w:color w:val="0000FF"/>
                  <w:u w:val="single"/>
                </w:rPr>
                <w:t>February 26, 2026</w:t>
              </w:r>
            </w:hyperlink>
            <w:r>
              <w:rPr/>
              <w:t xml:space="preserve"> (which is incorporated by reference only to the extent stated therein), </w:t>
            </w:r>
            <w:hyperlink r:id="rId12">
              <w:r>
                <w:rPr>
                  <w:rStyle w:val="InternetLink"/>
                  <w:color w:val="0000FF"/>
                  <w:u w:val="single"/>
                </w:rPr>
                <w:t>April 3, 2026</w:t>
              </w:r>
            </w:hyperlink>
            <w:r>
              <w:rPr/>
              <w:t xml:space="preserve"> (which is incorporated by reference only to the extent stated therein), </w:t>
            </w:r>
            <w:hyperlink r:id="rId13">
              <w:r>
                <w:rPr>
                  <w:rStyle w:val="InternetLink"/>
                  <w:color w:val="0000FF"/>
                  <w:u w:val="single"/>
                </w:rPr>
                <w:t>May 11, 2026</w:t>
              </w:r>
            </w:hyperlink>
            <w:r>
              <w:rPr/>
              <w:t xml:space="preserve"> (which is incorporated by reference only to the extent stated therein), </w:t>
            </w:r>
            <w:hyperlink r:id="rId14">
              <w:r>
                <w:rPr>
                  <w:rStyle w:val="InternetLink"/>
                  <w:color w:val="0000FF"/>
                  <w:u w:val="single"/>
                </w:rPr>
                <w:t>June 10, 2026</w:t>
              </w:r>
            </w:hyperlink>
            <w:r>
              <w:rPr/>
              <w:t xml:space="preserve">, </w:t>
            </w:r>
            <w:hyperlink r:id="rId15">
              <w:r>
                <w:rPr>
                  <w:rStyle w:val="InternetLink"/>
                  <w:color w:val="0000FF"/>
                  <w:u w:val="single"/>
                </w:rPr>
                <w:t>June 10, 2026</w:t>
              </w:r>
            </w:hyperlink>
            <w:r>
              <w:rPr/>
              <w:t xml:space="preserve">, </w:t>
            </w:r>
            <w:hyperlink r:id="rId16">
              <w:r>
                <w:rPr>
                  <w:rStyle w:val="InternetLink"/>
                  <w:color w:val="0000FF"/>
                  <w:u w:val="single"/>
                </w:rPr>
                <w:t>July 6, 2026</w:t>
              </w:r>
            </w:hyperlink>
            <w:r>
              <w:rPr/>
              <w:t xml:space="preserve">, </w:t>
            </w:r>
            <w:hyperlink r:id="rId17">
              <w:r>
                <w:rPr>
                  <w:rStyle w:val="InternetLink"/>
                  <w:color w:val="0000FF"/>
                  <w:u w:val="single"/>
                </w:rPr>
                <w:t>July 7, 2026</w:t>
              </w:r>
            </w:hyperlink>
            <w:r>
              <w:rPr/>
              <w:t xml:space="preserve"> (which is incorporated by reference only to the extent stated therein), </w:t>
            </w:r>
            <w:hyperlink r:id="rId18">
              <w:r>
                <w:rPr>
                  <w:rStyle w:val="InternetLink"/>
                  <w:color w:val="0000FF"/>
                  <w:u w:val="single"/>
                </w:rPr>
                <w:t>July 9, 2026</w:t>
              </w:r>
            </w:hyperlink>
            <w:r>
              <w:rPr/>
              <w:t xml:space="preserve">, </w:t>
            </w:r>
            <w:hyperlink r:id="rId19">
              <w:r>
                <w:rPr>
                  <w:rStyle w:val="InternetLink"/>
                  <w:color w:val="0000FF"/>
                  <w:u w:val="single"/>
                </w:rPr>
                <w:t>July 14, 2026</w:t>
              </w:r>
            </w:hyperlink>
            <w:r>
              <w:rPr/>
              <w:t xml:space="preserve">, </w:t>
            </w:r>
            <w:hyperlink r:id="rId20">
              <w:r>
                <w:rPr>
                  <w:rStyle w:val="InternetLink"/>
                  <w:color w:val="0000FF"/>
                  <w:u w:val="single"/>
                </w:rPr>
                <w:t>August 13, 2026</w:t>
              </w:r>
            </w:hyperlink>
            <w:r>
              <w:rPr/>
              <w:t xml:space="preserve"> (which is incorporated by reference only to the extent stated therein), and </w:t>
            </w:r>
            <w:hyperlink r:id="rId21">
              <w:r>
                <w:rPr>
                  <w:rStyle w:val="InternetLink"/>
                  <w:color w:val="0000FF"/>
                  <w:u w:val="single"/>
                </w:rPr>
                <w:t>September 1, 2026</w:t>
              </w:r>
            </w:hyperlink>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can request a copy of these documents, excluding exhibits not specifically incorporated by reference into these documents, at no cost, by writing or telephoning us at the following address: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5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Figure Technology Solutions, Inc.</w:t>
        <w:br/>
        <w:t>100 West Liberty Street, Suite 600</w:t>
        <w:br/>
        <w:t>Reno, Nevada 89501</w:t>
        <w:br/>
        <w:t>Attention: Investor Relations</w:t>
        <w:br/>
        <w:t>(917) 789-8049</w:t>
      </w:r>
    </w:p>
    <w:p>
      <w:pPr>
        <w:pStyle w:val="TextBody"/>
        <w:bidi w:val="0"/>
        <w:spacing w:before="0" w:after="0"/>
        <w:ind w:left="350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4" w:name="a_003"/>
      <w:bookmarkEnd w:id="4"/>
      <w:r>
        <w:rPr>
          <w:rFonts w:ascii="Times New Roman;Times;Serif" w:hAnsi="Times New Roman;Times;Serif"/>
          <w:b/>
          <w:i w:val="false"/>
          <w:caps/>
          <w:sz w:val="20"/>
        </w:rPr>
        <w:t>Special Note On Forward-Looking Statements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including the documents incorporated by reference herein, contains forward-looking statements.  In some cases, you can identify these statements by forward-looking words such as “may,” “might,” “will,” “should,” “expects,” “plans,” “anticipates,” “believes,” “estimates,” “predicts,” “potential” or “continue,” the negative of these terms and other comparable terminology.  These forward-looking statements, which are subject to risks, uncertainties and assumptions about us, may include projections of our future financial performance, our anticipated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including those factors discussed under the caption entitled “Risk Factors” in our Annual Report on Form 10-K for the year ended December 31,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We are under no duty to update any of these forward-looking statements after the date of this prospectus to conform our prior statements to actual results or revised expectations.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5" w:name="a_004"/>
      <w:bookmarkEnd w:id="5"/>
      <w:r>
        <w:rPr>
          <w:rFonts w:ascii="Times New Roman;Times;Serif" w:hAnsi="Times New Roman;Times;Serif"/>
          <w:b/>
          <w:i w:val="false"/>
          <w:caps/>
          <w:sz w:val="20"/>
        </w:rPr>
        <w:t>Risk Factors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Investing in the securities offered by this prospectus may involve a high degree of risk. You should carefully consider the information contained in this prospectus and any applicable prospectus supplement before making an investment decision. The securities may not be suitable for all investors, and you may lose some or all of your investment.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 may offer a variety of different securities under this prospectus, and each type of security we offer may involve individualized risks. Before investing, you should carefully read the risk factors described in the applicable prospectus supplement and any pricing supplement, as well as any risk factors incorporated by reference, to understand the risks specific to the securities being offered. You should carefully consider whether the securities are suited to your particular circumstances before you decide to purchase them.  We also urge you to consult with your investment, legal, tax, accounting and other advisers in connection with your investment in the securities offered by this prospectus.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6" w:name="a_005"/>
      <w:bookmarkEnd w:id="6"/>
      <w:r>
        <w:rPr>
          <w:rFonts w:ascii="Times New Roman;Times;Serif" w:hAnsi="Times New Roman;Times;Serif"/>
          <w:b/>
          <w:i w:val="false"/>
          <w:caps/>
          <w:sz w:val="20"/>
        </w:rPr>
        <w:t>Use of Proceeds</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use of the net proceeds from the sale of the securities offered by this prospectus may be very specific to the type of securities we are offering. Unless otherwise indicated in the applicable prospectus supplement, we intend to use the net proceeds from the sale of the securities offered by this prospectus for general corporate purposes. General corporate purposes may include, without limitation, working capital, capital expenditures, repayment or refinancing of indebtedness, investments in or acquisitions of businesses, assets or technologies, and other purposes that our board of directors or management may determine to be in the best interests of Figure Technology Solutions, Inc.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7" w:name="a_006"/>
      <w:bookmarkEnd w:id="7"/>
      <w:r>
        <w:rPr>
          <w:rFonts w:ascii="Times New Roman;Times;Serif" w:hAnsi="Times New Roman;Times;Serif"/>
          <w:b/>
          <w:i w:val="false"/>
          <w:caps/>
          <w:sz w:val="20"/>
        </w:rPr>
        <w:t>Description of Debt Securities</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 issued by Figure may be senior or subordinated in priority of payment, as specified in the applicable prospectus supplement. The debt securities may be issued in certificated or book-entry form and may be recorded, transferred, settled or otherwise administered through The Depository Trust Company or as otherwise described in the applicable prospectus supplement. The applicable prospectus supplement will describe the specific designation, aggregate principal amount, purchase price, maturity, redemption terms, interest rate or method of calculating the interest rate, time of payment of interest, if any, terms of any conversion or exchange, including any adjustment provisions, listing, if any, on a securities exchange, whether any such securities are guaranteed by one or more of our subsidiaries, any security or other collateral being provided in respect of such securities, and any other specific terms of the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8" w:name="a_007"/>
      <w:bookmarkEnd w:id="8"/>
      <w:r>
        <w:rPr>
          <w:rFonts w:ascii="Times New Roman;Times;Serif" w:hAnsi="Times New Roman;Times;Serif"/>
          <w:b/>
          <w:i w:val="false"/>
          <w:caps/>
          <w:sz w:val="20"/>
        </w:rPr>
        <w:t>Description of Preferred Stock</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Figure may sell its preferred stock, par value $0.0001 per share (the “preferred stock”), in one or more series. The applicable prospectus supplement will describe the specific designation, aggregate number of shares offered, dividend rate or method of calculating the dividend rate, dividend periods or method of calculating the dividend periods, stated value, voting rights, conversion or exchange terms, redemption terms, whether depositary shares will be offered and, if so, the fraction or multiple of a share represented by each depositary share, any listing on a securities exchange, and any other specific terms of the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9" w:name="a_008"/>
      <w:bookmarkEnd w:id="9"/>
      <w:r>
        <w:rPr>
          <w:rFonts w:ascii="Times New Roman;Times;Serif" w:hAnsi="Times New Roman;Times;Serif"/>
          <w:b/>
          <w:i w:val="false"/>
          <w:caps/>
          <w:sz w:val="20"/>
        </w:rPr>
        <w:t>Description of Common Stock</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Figure may sell its Class A common stock, par value $0.0001 (“common stock”). The applicable prospectus supplement will describe the aggregate number of shares offered and the offering price or prices of the shares. Holders of Class A common stock will be entitled to one vote for each share held of record on all matters submitted to a vote of stockholders. Except as otherwise required by law or as may be provided with respect to any series of preferred stock, the holders of common stock will possess all voting power. Subject to the rights of any preferred stock then outstanding, holders of common stock will be entitled to receive dividends and other distributions when, as and if declared by the board of directors out of funds legally available therefor. In the event of any liquidation, dissolution or winding up of the company, holders of common stock will be entitled to share ratably in the assets remaining after payment of liabilities and any preferential amounts payable to holders of preferred stock. Holders of common stock will have no preemptive, conversion, redemption or sinking fund rights. The shares of common stock offered hereby will be fully paid and nonassessable. If applicable, the prospectus supplement will describe any listing of the common stock on a securities exchange and any transfer agent for the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0" w:name="a_009"/>
      <w:bookmarkEnd w:id="10"/>
      <w:r>
        <w:rPr>
          <w:rFonts w:ascii="Times New Roman;Times;Serif" w:hAnsi="Times New Roman;Times;Serif"/>
          <w:b/>
          <w:i w:val="false"/>
          <w:caps/>
          <w:sz w:val="20"/>
        </w:rPr>
        <w:t>Description of Warrants</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Figure may issue warrants to purchase its debt or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Figure and a warrant agent. The terms of any warrants to be issued and a description of the material provisions of the applicable warrant agreement will be set forth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describe the following terms of any warrants in respect of which this prospectus is being delivered: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0"/>
        <w:gridCol w:w="497"/>
        <w:gridCol w:w="9558"/>
      </w:tblGrid>
      <w:tr>
        <w:trPr/>
        <w:tc>
          <w:tcPr>
            <w:tcW w:w="15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rFonts w:ascii="Symbol" w:hAnsi="Symbol"/>
              </w:rPr>
            </w:pPr>
            <w:r>
              <w:rPr>
                <w:rFonts w:ascii="Symbol" w:hAnsi="Symbol"/>
              </w:rPr>
              <w:t>·</w:t>
            </w:r>
          </w:p>
        </w:tc>
        <w:tc>
          <w:tcPr>
            <w:tcW w:w="9558" w:type="dxa"/>
            <w:tcBorders/>
            <w:vAlign w:val="center"/>
          </w:tcPr>
          <w:p>
            <w:pPr>
              <w:pStyle w:val="TableContents"/>
              <w:bidi w:val="0"/>
              <w:spacing w:before="0" w:after="283"/>
              <w:jc w:val="left"/>
              <w:rPr/>
            </w:pPr>
            <w:r>
              <w:rPr/>
              <w:t>the title of such warrants;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8"/>
        <w:gridCol w:w="326"/>
        <w:gridCol w:w="9781"/>
      </w:tblGrid>
      <w:tr>
        <w:trPr/>
        <w:tc>
          <w:tcPr>
            <w:tcW w:w="9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rFonts w:ascii="Symbol" w:hAnsi="Symbol"/>
              </w:rPr>
            </w:pPr>
            <w:r>
              <w:rPr>
                <w:rFonts w:ascii="Symbol" w:hAnsi="Symbol"/>
              </w:rPr>
              <w:t>·</w:t>
            </w:r>
          </w:p>
        </w:tc>
        <w:tc>
          <w:tcPr>
            <w:tcW w:w="9781" w:type="dxa"/>
            <w:tcBorders/>
            <w:vAlign w:val="center"/>
          </w:tcPr>
          <w:p>
            <w:pPr>
              <w:pStyle w:val="TableContents"/>
              <w:bidi w:val="0"/>
              <w:spacing w:before="0" w:after="283"/>
              <w:jc w:val="left"/>
              <w:rPr/>
            </w:pPr>
            <w:r>
              <w:rPr/>
              <w:t>the aggregate number of such warrants;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231"/>
        <w:gridCol w:w="9904"/>
      </w:tblGrid>
      <w:tr>
        <w:trPr/>
        <w:tc>
          <w:tcPr>
            <w:tcW w:w="7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Symbol" w:hAnsi="Symbol"/>
              </w:rPr>
            </w:pPr>
            <w:r>
              <w:rPr>
                <w:rFonts w:ascii="Symbol" w:hAnsi="Symbol"/>
              </w:rPr>
              <w:t>·</w:t>
            </w:r>
          </w:p>
        </w:tc>
        <w:tc>
          <w:tcPr>
            <w:tcW w:w="9904" w:type="dxa"/>
            <w:tcBorders/>
            <w:vAlign w:val="center"/>
          </w:tcPr>
          <w:p>
            <w:pPr>
              <w:pStyle w:val="TableContents"/>
              <w:bidi w:val="0"/>
              <w:spacing w:before="0" w:after="283"/>
              <w:jc w:val="left"/>
              <w:rPr/>
            </w:pPr>
            <w:r>
              <w:rPr/>
              <w:t>the price or prices at which such warrants will be issued;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168"/>
        <w:gridCol w:w="9986"/>
      </w:tblGrid>
      <w:tr>
        <w:trPr/>
        <w:tc>
          <w:tcPr>
            <w:tcW w:w="5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rFonts w:ascii="Symbol" w:hAnsi="Symbol"/>
              </w:rPr>
            </w:pPr>
            <w:r>
              <w:rPr>
                <w:rFonts w:ascii="Symbol" w:hAnsi="Symbol"/>
              </w:rPr>
              <w:t>·</w:t>
            </w:r>
          </w:p>
        </w:tc>
        <w:tc>
          <w:tcPr>
            <w:tcW w:w="9986" w:type="dxa"/>
            <w:tcBorders/>
            <w:vAlign w:val="center"/>
          </w:tcPr>
          <w:p>
            <w:pPr>
              <w:pStyle w:val="TableContents"/>
              <w:bidi w:val="0"/>
              <w:spacing w:before="0" w:after="283"/>
              <w:jc w:val="left"/>
              <w:rPr/>
            </w:pPr>
            <w:r>
              <w:rPr/>
              <w:t>the currency or currencies in which the price of such warrants will be payable;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securities or other rights, including rights to receive payment in cash or securities based on the value, rate or price of one or more specified commodities, currencies, securities or indices, or any combination of the foregoing, purchasable upon exercise of such warrants;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price at which and the currency or currencies in which the securities or other rights purchasable upon exercise of such warrants may be purchased;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date on which the right to exercise such warrants shall commence and the date on which such right shall expire;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if applicable, the minimum or maximum amount of such warrants which may be exercised at any one time;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if applicable, the designation and terms of the securities with which such warrants are issued and the number of such warrants issued with each such security;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if applicable, the date on and after which such warrants and the related securities will be separately transferable;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226"/>
        <w:gridCol w:w="9911"/>
      </w:tblGrid>
      <w:tr>
        <w:trPr/>
        <w:tc>
          <w:tcPr>
            <w:tcW w:w="6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Symbol" w:hAnsi="Symbol"/>
              </w:rPr>
            </w:pPr>
            <w:r>
              <w:rPr>
                <w:rFonts w:ascii="Symbol" w:hAnsi="Symbol"/>
              </w:rPr>
              <w:t>·</w:t>
            </w:r>
          </w:p>
        </w:tc>
        <w:tc>
          <w:tcPr>
            <w:tcW w:w="9911" w:type="dxa"/>
            <w:tcBorders/>
            <w:vAlign w:val="center"/>
          </w:tcPr>
          <w:p>
            <w:pPr>
              <w:pStyle w:val="TableContents"/>
              <w:bidi w:val="0"/>
              <w:spacing w:before="0" w:after="283"/>
              <w:jc w:val="left"/>
              <w:rPr/>
            </w:pPr>
            <w:r>
              <w:rPr/>
              <w:t>information with respect to book-entry procedures, if 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41"/>
        <w:gridCol w:w="10022"/>
      </w:tblGrid>
      <w:tr>
        <w:trPr/>
        <w:tc>
          <w:tcPr>
            <w:tcW w:w="4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Symbol" w:hAnsi="Symbol"/>
              </w:rPr>
            </w:pPr>
            <w:r>
              <w:rPr>
                <w:rFonts w:ascii="Symbol" w:hAnsi="Symbol"/>
              </w:rPr>
              <w:t>·</w:t>
            </w:r>
          </w:p>
        </w:tc>
        <w:tc>
          <w:tcPr>
            <w:tcW w:w="10022" w:type="dxa"/>
            <w:tcBorders/>
            <w:vAlign w:val="center"/>
          </w:tcPr>
          <w:p>
            <w:pPr>
              <w:pStyle w:val="TableContents"/>
              <w:bidi w:val="0"/>
              <w:spacing w:before="0" w:after="283"/>
              <w:jc w:val="left"/>
              <w:rPr/>
            </w:pPr>
            <w:r>
              <w:rPr/>
              <w:t>if applicable, a discussion of any material United States federal income tax considerations;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any other terms of such warrants, including terms, procedures and limitations relating to the exchange and exercise of such warrants.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1" w:name="a_010"/>
      <w:bookmarkEnd w:id="11"/>
      <w:r>
        <w:rPr>
          <w:rFonts w:ascii="Times New Roman;Times;Serif" w:hAnsi="Times New Roman;Times;Serif"/>
          <w:b/>
          <w:i w:val="false"/>
          <w:caps/>
          <w:sz w:val="20"/>
        </w:rPr>
        <w:t>Description of Purchase Contracts</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Figure may issue purchase contracts for the purchase or sale of: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debt or equity securities issued by Figure or securities of third parties, a basket of such securities, an index or indices or such securities or any combination of the above as specified in the applicable prospectus supplement;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3"/>
        <w:gridCol w:w="866"/>
        <w:gridCol w:w="9076"/>
      </w:tblGrid>
      <w:tr>
        <w:trPr/>
        <w:tc>
          <w:tcPr>
            <w:tcW w:w="26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rFonts w:ascii="Symbol" w:hAnsi="Symbol"/>
              </w:rPr>
            </w:pPr>
            <w:r>
              <w:rPr>
                <w:rFonts w:ascii="Symbol" w:hAnsi="Symbol"/>
              </w:rPr>
              <w:t>·</w:t>
            </w:r>
          </w:p>
        </w:tc>
        <w:tc>
          <w:tcPr>
            <w:tcW w:w="9076" w:type="dxa"/>
            <w:tcBorders/>
            <w:vAlign w:val="center"/>
          </w:tcPr>
          <w:p>
            <w:pPr>
              <w:pStyle w:val="TableContents"/>
              <w:bidi w:val="0"/>
              <w:spacing w:before="0" w:after="283"/>
              <w:jc w:val="left"/>
              <w:rPr/>
            </w:pPr>
            <w:r>
              <w:rPr/>
              <w:t>currencies;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5"/>
        <w:gridCol w:w="875"/>
        <w:gridCol w:w="9065"/>
      </w:tblGrid>
      <w:tr>
        <w:trPr/>
        <w:tc>
          <w:tcPr>
            <w:tcW w:w="26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rFonts w:ascii="Symbol" w:hAnsi="Symbol"/>
              </w:rPr>
            </w:pPr>
            <w:r>
              <w:rPr>
                <w:rFonts w:ascii="Symbol" w:hAnsi="Symbol"/>
              </w:rPr>
              <w:t>·</w:t>
            </w:r>
          </w:p>
        </w:tc>
        <w:tc>
          <w:tcPr>
            <w:tcW w:w="9065" w:type="dxa"/>
            <w:tcBorders/>
            <w:vAlign w:val="center"/>
          </w:tcPr>
          <w:p>
            <w:pPr>
              <w:pStyle w:val="TableContents"/>
              <w:bidi w:val="0"/>
              <w:spacing w:before="0" w:after="283"/>
              <w:jc w:val="left"/>
              <w:rPr/>
            </w:pPr>
            <w:r>
              <w:rPr/>
              <w:t>commodities.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purchase contract will entitle or obligate the holder thereof to purchase or sell, and obligate Figure to sell or purchase, on specified dates, such securities, currencies or commodities at a specified purchase price, which may be based on a formula, all as set forth in the applicable prospectus supplement. Figure may, however, satisfy our obligations, if any, with respect to any purchase contract by delivering the cash value of such purchase contract or the cash value of the property otherwise deliverable or, in the case of purchase contracts on underlying currencies, by delivering the underlying currencies, as set forth in the applicable prospectus supplement. The applicable prospectus supplement will also specify the methods by which the holders may purchase or sell such securities, currencies or commodities and any acceleration, cancellation or termination provisions or other provisions relating to the settlement of a purchase contract.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contracts may require us to make periodic payments to the holders thereof or vice versa, which payments may be deferred to the extent set forth in the applicable prospectus supplement, and those payments may be unsecured or prefunded on some basis. The purchase contracts may require the holders thereof to secure their obligations in a specified manner to be described in the applicable prospectus supplement. Alternatively, purchase contracts may require holders to satisfy their obligations thereunder when the purchase contracts are issued. Our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obligation to settle such pre-paid purchase contracts on the relevant settlement date may constitute indebtedness. Accordingly, pre-paid purchase contracts will be issued under either the senior indenture or the subordinated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2" w:name="a_011"/>
      <w:bookmarkEnd w:id="12"/>
      <w:r>
        <w:rPr>
          <w:rFonts w:ascii="Times New Roman;Times;Serif" w:hAnsi="Times New Roman;Times;Serif"/>
          <w:b/>
          <w:i w:val="false"/>
          <w:caps/>
          <w:sz w:val="20"/>
        </w:rPr>
        <w:t>Description of Units</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specified in the applicable prospectus supplement, Figure may issue units consisting of one or more purchase contracts, warrants, debt securities, shares of common stock or any combination of such securities. The applicable supplement will describe: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terms of the units and of the purchase contracts, warrants, debt securities and common stock comprising the units, including whether and under what circumstances the securities comprising the units may be traded separately;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47"/>
        <w:gridCol w:w="10014"/>
      </w:tblGrid>
      <w:tr>
        <w:trPr/>
        <w:tc>
          <w:tcPr>
            <w:tcW w:w="4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rFonts w:ascii="Symbol" w:hAnsi="Symbol"/>
              </w:rPr>
            </w:pPr>
            <w:r>
              <w:rPr>
                <w:rFonts w:ascii="Symbol" w:hAnsi="Symbol"/>
              </w:rPr>
              <w:t>·</w:t>
            </w:r>
          </w:p>
        </w:tc>
        <w:tc>
          <w:tcPr>
            <w:tcW w:w="10014" w:type="dxa"/>
            <w:tcBorders/>
            <w:vAlign w:val="center"/>
          </w:tcPr>
          <w:p>
            <w:pPr>
              <w:pStyle w:val="TableContents"/>
              <w:bidi w:val="0"/>
              <w:spacing w:before="0" w:after="283"/>
              <w:jc w:val="left"/>
              <w:rPr/>
            </w:pPr>
            <w:r>
              <w:rPr/>
              <w:t>if applicable, a discussion of any material United States federal income tax considerations;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181"/>
        <w:gridCol w:w="9969"/>
      </w:tblGrid>
      <w:tr>
        <w:trPr/>
        <w:tc>
          <w:tcPr>
            <w:tcW w:w="5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rFonts w:ascii="Symbol" w:hAnsi="Symbol"/>
              </w:rPr>
            </w:pPr>
            <w:r>
              <w:rPr>
                <w:rFonts w:ascii="Symbol" w:hAnsi="Symbol"/>
              </w:rPr>
              <w:t>·</w:t>
            </w:r>
          </w:p>
        </w:tc>
        <w:tc>
          <w:tcPr>
            <w:tcW w:w="9969" w:type="dxa"/>
            <w:tcBorders/>
            <w:vAlign w:val="center"/>
          </w:tcPr>
          <w:p>
            <w:pPr>
              <w:pStyle w:val="TableContents"/>
              <w:bidi w:val="0"/>
              <w:spacing w:before="0" w:after="283"/>
              <w:jc w:val="left"/>
              <w:rPr/>
            </w:pPr>
            <w:r>
              <w:rPr/>
              <w:t>a description of the terms of any unit agreement governing the units;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44"/>
        <w:gridCol w:w="10018"/>
      </w:tblGrid>
      <w:tr>
        <w:trPr/>
        <w:tc>
          <w:tcPr>
            <w:tcW w:w="4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Symbol" w:hAnsi="Symbol"/>
              </w:rPr>
            </w:pPr>
            <w:r>
              <w:rPr>
                <w:rFonts w:ascii="Symbol" w:hAnsi="Symbol"/>
              </w:rPr>
              <w:t>·</w:t>
            </w:r>
          </w:p>
        </w:tc>
        <w:tc>
          <w:tcPr>
            <w:tcW w:w="10018" w:type="dxa"/>
            <w:tcBorders/>
            <w:vAlign w:val="center"/>
          </w:tcPr>
          <w:p>
            <w:pPr>
              <w:pStyle w:val="TableContents"/>
              <w:bidi w:val="0"/>
              <w:spacing w:before="0" w:after="283"/>
              <w:jc w:val="left"/>
              <w:rPr/>
            </w:pPr>
            <w:r>
              <w:rPr/>
              <w:t>a description of the provisions for the payment, settlement, transfer or exchange of the units.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3" w:name="a_012"/>
      <w:bookmarkEnd w:id="13"/>
      <w:r>
        <w:rPr>
          <w:rFonts w:ascii="Times New Roman;Times;Serif" w:hAnsi="Times New Roman;Times;Serif"/>
          <w:b/>
          <w:i w:val="false"/>
          <w:caps/>
          <w:sz w:val="20"/>
        </w:rPr>
        <w:t>Plan of Distribution</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described in this prospectus from time to time in one or more offerings directly to one or more purchasers, through agents, through dealers or through any other method permitted by applicable law. The securities may be sold at fixed prices, at prevailing market prices or at prices determined at the time of such sale.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sell securities through one or more underwritten or non-underwritten transactions, including transactions in which a selling securityholder, if any, participates. The applicable prospectus supplement will indicate whether the securities are being sold through one or more underwriters.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use agents or dealers in connection with the sale of any securities, we will identify them and describe any commissions or discounts, if any, in the applicable prospectus supplement. Any such agents or dealers may be deemed to be underwriters under the Securities Act of 1933, as amended, and any commissions received by them and any profit on the resale of securities purchased by them may be deemed underwriting compensation under the Securities Act.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required, in the applicable prospectus supplement, we will set forth additional information regarding any material relationships between us and any agents, dealers, underwriters or other participants, and any compensation payable in connection with the offering.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4" w:name="a_013"/>
      <w:bookmarkEnd w:id="14"/>
      <w:r>
        <w:rPr>
          <w:rFonts w:ascii="Times New Roman;Times;Serif" w:hAnsi="Times New Roman;Times;Serif"/>
          <w:b/>
          <w:i w:val="false"/>
          <w:caps/>
          <w:sz w:val="20"/>
        </w:rPr>
        <w:t>Legal Matters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shares of capital stock under Nevada law will be passed upon for Figure by Brownstein Hyatt Farber Schreck, LLP. The validity of the remaining securities will be passed upon for Figure by Davis Polk &amp; Wardwell LLP, or other counsel who is satisfactory to Figure, and who may be an officer of Figure.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5" w:name="a_014"/>
      <w:bookmarkEnd w:id="15"/>
      <w:r>
        <w:rPr>
          <w:rFonts w:ascii="Times New Roman;Times;Serif" w:hAnsi="Times New Roman;Times;Serif"/>
          <w:b/>
          <w:i w:val="false"/>
          <w:caps/>
          <w:sz w:val="20"/>
        </w:rPr>
        <w:t>Experts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Figure Technology Solutions, Inc. (“the Company”) as of December 31, 2025 and 2024, and for each of the years in the three year period ended December 31, 2025, incorporated by reference herein in reliance upon the report of KPMG LLP, independent registered public accounting firm, incorporated by reference herein, and upon the authority of said firm as experts in accounting and auditing.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br/>
        <w:br/>
        <w:t>INFORMATION NOT REQUIRED IN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Other Expenses of Issuance and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costs and expenses payable by the Registrant in connection with the sale of the securities being registered hereby.</w:t>
      </w:r>
    </w:p>
    <w:p>
      <w:pPr>
        <w:pStyle w:val="TextBody"/>
        <w:bidi w:val="0"/>
        <w:spacing w:before="0" w:after="0"/>
        <w:ind w:left="0" w:right="0" w:firstLine="360"/>
        <w:jc w:val="left"/>
        <w:rPr>
          <w:caps w:val="false"/>
          <w:smallCaps w:val="false"/>
        </w:rPr>
      </w:pPr>
      <w:r>
        <w:rPr>
          <w:caps w:val="false"/>
          <w:smallCaps w:val="false"/>
        </w:rPr>
        <w:t> </w:t>
      </w:r>
    </w:p>
    <w:tbl>
      <w:tblPr>
        <w:tblW w:w="6850" w:type="dxa"/>
        <w:jc w:val="center"/>
        <w:tblInd w:w="0" w:type="dxa"/>
        <w:tblLayout w:type="fixed"/>
        <w:tblCellMar>
          <w:top w:w="0" w:type="dxa"/>
          <w:left w:w="0" w:type="dxa"/>
          <w:bottom w:w="0" w:type="dxa"/>
          <w:right w:w="0" w:type="dxa"/>
        </w:tblCellMar>
      </w:tblPr>
      <w:tblGrid>
        <w:gridCol w:w="4805"/>
        <w:gridCol w:w="60"/>
        <w:gridCol w:w="1985"/>
      </w:tblGrid>
      <w:tr>
        <w:trPr/>
        <w:tc>
          <w:tcPr>
            <w:tcW w:w="4805" w:type="dxa"/>
            <w:tcBorders/>
            <w:shd w:fill="D5EAEA" w:val="clear"/>
            <w:vAlign w:val="center"/>
          </w:tcPr>
          <w:p>
            <w:pPr>
              <w:pStyle w:val="TableContents"/>
              <w:bidi w:val="0"/>
              <w:spacing w:before="0" w:after="283"/>
              <w:jc w:val="center"/>
              <w:rPr/>
            </w:pPr>
            <w:r>
              <w:rPr/>
              <w:t> </w:t>
            </w:r>
          </w:p>
        </w:tc>
        <w:tc>
          <w:tcPr>
            <w:tcW w:w="60" w:type="dxa"/>
            <w:tcBorders/>
            <w:shd w:fill="D5EAEA" w:val="clear"/>
            <w:vAlign w:val="center"/>
          </w:tcPr>
          <w:p>
            <w:pPr>
              <w:pStyle w:val="TableContents"/>
              <w:bidi w:val="0"/>
              <w:spacing w:before="0" w:after="283"/>
              <w:jc w:val="left"/>
              <w:rPr/>
            </w:pPr>
            <w:r>
              <w:rPr/>
              <w:t> </w:t>
            </w:r>
          </w:p>
        </w:tc>
        <w:tc>
          <w:tcPr>
            <w:tcW w:w="1985" w:type="dxa"/>
            <w:tcBorders>
              <w:bottom w:val="single" w:sz="8" w:space="0" w:color="000000"/>
            </w:tcBorders>
            <w:shd w:fill="D5EAEA" w:val="clear"/>
            <w:tcMar>
              <w:bottom w:w="28" w:type="dxa"/>
            </w:tcMar>
            <w:vAlign w:val="center"/>
          </w:tcPr>
          <w:p>
            <w:pPr>
              <w:pStyle w:val="TableContents"/>
              <w:bidi w:val="0"/>
              <w:spacing w:before="0" w:after="283"/>
              <w:jc w:val="center"/>
              <w:rPr>
                <w:b/>
              </w:rPr>
            </w:pPr>
            <w:r>
              <w:rPr>
                <w:b/>
              </w:rPr>
              <w:t>Amount to Be Paid</w:t>
            </w:r>
          </w:p>
        </w:tc>
      </w:tr>
      <w:tr>
        <w:trPr/>
        <w:tc>
          <w:tcPr>
            <w:tcW w:w="4805" w:type="dxa"/>
            <w:tcBorders/>
            <w:shd w:fill="FFFFFF" w:val="clear"/>
            <w:vAlign w:val="center"/>
          </w:tcPr>
          <w:p>
            <w:pPr>
              <w:pStyle w:val="TableContents"/>
              <w:bidi w:val="0"/>
              <w:spacing w:before="0" w:after="283"/>
              <w:jc w:val="left"/>
              <w:rPr/>
            </w:pPr>
            <w:r>
              <w:rPr/>
              <w:t>Registration fee</w:t>
              <w:tab/>
            </w:r>
          </w:p>
        </w:tc>
        <w:tc>
          <w:tcPr>
            <w:tcW w:w="60" w:type="dxa"/>
            <w:tcBorders/>
            <w:shd w:fill="FFFFFF" w:val="clear"/>
            <w:vAlign w:val="center"/>
          </w:tcPr>
          <w:p>
            <w:pPr>
              <w:pStyle w:val="TableContents"/>
              <w:bidi w:val="0"/>
              <w:spacing w:before="0" w:after="283"/>
              <w:jc w:val="left"/>
              <w:rPr/>
            </w:pPr>
            <w:r>
              <w:rPr/>
              <w:t> </w:t>
            </w:r>
          </w:p>
        </w:tc>
        <w:tc>
          <w:tcPr>
            <w:tcW w:w="1985" w:type="dxa"/>
            <w:tcBorders/>
            <w:shd w:fill="FFFFFF" w:val="clear"/>
            <w:vAlign w:val="center"/>
          </w:tcPr>
          <w:p>
            <w:pPr>
              <w:pStyle w:val="TableContents"/>
              <w:bidi w:val="0"/>
              <w:spacing w:before="0" w:after="283"/>
              <w:jc w:val="right"/>
              <w:rPr/>
            </w:pPr>
            <w:r>
              <w:rPr/>
              <w:t>      </w:t>
            </w:r>
            <w:r>
              <w:rPr/>
              <w:t>(*)</w:t>
            </w:r>
          </w:p>
        </w:tc>
      </w:tr>
      <w:tr>
        <w:trPr/>
        <w:tc>
          <w:tcPr>
            <w:tcW w:w="4805" w:type="dxa"/>
            <w:tcBorders/>
            <w:shd w:fill="D5EAEA" w:val="clear"/>
            <w:vAlign w:val="center"/>
          </w:tcPr>
          <w:p>
            <w:pPr>
              <w:pStyle w:val="TableContents"/>
              <w:bidi w:val="0"/>
              <w:spacing w:before="0" w:after="283"/>
              <w:jc w:val="left"/>
              <w:rPr/>
            </w:pPr>
            <w:r>
              <w:rPr/>
              <w:t>Printing</w:t>
              <w:tab/>
            </w:r>
          </w:p>
        </w:tc>
        <w:tc>
          <w:tcPr>
            <w:tcW w:w="60" w:type="dxa"/>
            <w:tcBorders/>
            <w:shd w:fill="D5EAEA" w:val="clear"/>
            <w:vAlign w:val="center"/>
          </w:tcPr>
          <w:p>
            <w:pPr>
              <w:pStyle w:val="TableContents"/>
              <w:bidi w:val="0"/>
              <w:spacing w:before="0" w:after="283"/>
              <w:jc w:val="left"/>
              <w:rPr/>
            </w:pPr>
            <w:r>
              <w:rPr/>
              <w:t> </w:t>
            </w:r>
          </w:p>
        </w:tc>
        <w:tc>
          <w:tcPr>
            <w:tcW w:w="1985" w:type="dxa"/>
            <w:tcBorders/>
            <w:shd w:fill="D5EAEA" w:val="clear"/>
            <w:vAlign w:val="center"/>
          </w:tcPr>
          <w:p>
            <w:pPr>
              <w:pStyle w:val="TableContents"/>
              <w:bidi w:val="0"/>
              <w:spacing w:before="0" w:after="283"/>
              <w:jc w:val="right"/>
              <w:rPr/>
            </w:pPr>
            <w:r>
              <w:rPr/>
              <w:t>(**)</w:t>
            </w:r>
          </w:p>
        </w:tc>
      </w:tr>
      <w:tr>
        <w:trPr/>
        <w:tc>
          <w:tcPr>
            <w:tcW w:w="4805" w:type="dxa"/>
            <w:tcBorders/>
            <w:shd w:fill="FFFFFF" w:val="clear"/>
            <w:vAlign w:val="center"/>
          </w:tcPr>
          <w:p>
            <w:pPr>
              <w:pStyle w:val="TableContents"/>
              <w:bidi w:val="0"/>
              <w:spacing w:before="0" w:after="283"/>
              <w:jc w:val="left"/>
              <w:rPr/>
            </w:pPr>
            <w:r>
              <w:rPr/>
              <w:t>Legal fees and expenses (including Blue Sky fees)</w:t>
              <w:tab/>
            </w:r>
          </w:p>
        </w:tc>
        <w:tc>
          <w:tcPr>
            <w:tcW w:w="60" w:type="dxa"/>
            <w:tcBorders/>
            <w:shd w:fill="FFFFFF" w:val="clear"/>
            <w:vAlign w:val="center"/>
          </w:tcPr>
          <w:p>
            <w:pPr>
              <w:pStyle w:val="TableContents"/>
              <w:bidi w:val="0"/>
              <w:spacing w:before="0" w:after="283"/>
              <w:jc w:val="left"/>
              <w:rPr/>
            </w:pPr>
            <w:r>
              <w:rPr/>
              <w:t> </w:t>
            </w:r>
          </w:p>
        </w:tc>
        <w:tc>
          <w:tcPr>
            <w:tcW w:w="1985" w:type="dxa"/>
            <w:tcBorders/>
            <w:shd w:fill="FFFFFF" w:val="clear"/>
            <w:vAlign w:val="center"/>
          </w:tcPr>
          <w:p>
            <w:pPr>
              <w:pStyle w:val="TableContents"/>
              <w:bidi w:val="0"/>
              <w:spacing w:before="0" w:after="283"/>
              <w:jc w:val="right"/>
              <w:rPr/>
            </w:pPr>
            <w:r>
              <w:rPr/>
              <w:t>(**)</w:t>
            </w:r>
          </w:p>
        </w:tc>
      </w:tr>
      <w:tr>
        <w:trPr/>
        <w:tc>
          <w:tcPr>
            <w:tcW w:w="4805" w:type="dxa"/>
            <w:tcBorders/>
            <w:shd w:fill="D5EAEA" w:val="clear"/>
            <w:vAlign w:val="center"/>
          </w:tcPr>
          <w:p>
            <w:pPr>
              <w:pStyle w:val="TableContents"/>
              <w:bidi w:val="0"/>
              <w:spacing w:before="0" w:after="283"/>
              <w:jc w:val="left"/>
              <w:rPr/>
            </w:pPr>
            <w:r>
              <w:rPr/>
              <w:t>Trustee fees</w:t>
              <w:tab/>
            </w:r>
          </w:p>
        </w:tc>
        <w:tc>
          <w:tcPr>
            <w:tcW w:w="60" w:type="dxa"/>
            <w:tcBorders/>
            <w:shd w:fill="D5EAEA" w:val="clear"/>
            <w:vAlign w:val="center"/>
          </w:tcPr>
          <w:p>
            <w:pPr>
              <w:pStyle w:val="TableContents"/>
              <w:bidi w:val="0"/>
              <w:spacing w:before="0" w:after="283"/>
              <w:jc w:val="left"/>
              <w:rPr/>
            </w:pPr>
            <w:r>
              <w:rPr/>
              <w:t> </w:t>
            </w:r>
          </w:p>
        </w:tc>
        <w:tc>
          <w:tcPr>
            <w:tcW w:w="1985" w:type="dxa"/>
            <w:tcBorders/>
            <w:shd w:fill="D5EAEA" w:val="clear"/>
            <w:vAlign w:val="center"/>
          </w:tcPr>
          <w:p>
            <w:pPr>
              <w:pStyle w:val="TableContents"/>
              <w:bidi w:val="0"/>
              <w:spacing w:before="0" w:after="283"/>
              <w:jc w:val="right"/>
              <w:rPr/>
            </w:pPr>
            <w:r>
              <w:rPr/>
              <w:t>(**)</w:t>
            </w:r>
          </w:p>
        </w:tc>
      </w:tr>
      <w:tr>
        <w:trPr/>
        <w:tc>
          <w:tcPr>
            <w:tcW w:w="4805" w:type="dxa"/>
            <w:tcBorders/>
            <w:shd w:fill="FFFFFF" w:val="clear"/>
            <w:vAlign w:val="center"/>
          </w:tcPr>
          <w:p>
            <w:pPr>
              <w:pStyle w:val="TableContents"/>
              <w:bidi w:val="0"/>
              <w:spacing w:before="0" w:after="283"/>
              <w:jc w:val="left"/>
              <w:rPr/>
            </w:pPr>
            <w:r>
              <w:rPr/>
              <w:t>Rating Agency fees</w:t>
              <w:tab/>
            </w:r>
          </w:p>
        </w:tc>
        <w:tc>
          <w:tcPr>
            <w:tcW w:w="60" w:type="dxa"/>
            <w:tcBorders/>
            <w:shd w:fill="FFFFFF" w:val="clear"/>
            <w:vAlign w:val="center"/>
          </w:tcPr>
          <w:p>
            <w:pPr>
              <w:pStyle w:val="TableContents"/>
              <w:bidi w:val="0"/>
              <w:spacing w:before="0" w:after="283"/>
              <w:jc w:val="left"/>
              <w:rPr/>
            </w:pPr>
            <w:r>
              <w:rPr/>
              <w:t> </w:t>
            </w:r>
          </w:p>
        </w:tc>
        <w:tc>
          <w:tcPr>
            <w:tcW w:w="1985" w:type="dxa"/>
            <w:tcBorders/>
            <w:shd w:fill="FFFFFF" w:val="clear"/>
            <w:vAlign w:val="center"/>
          </w:tcPr>
          <w:p>
            <w:pPr>
              <w:pStyle w:val="TableContents"/>
              <w:bidi w:val="0"/>
              <w:spacing w:before="0" w:after="283"/>
              <w:jc w:val="right"/>
              <w:rPr/>
            </w:pPr>
            <w:r>
              <w:rPr/>
              <w:t>(**)</w:t>
            </w:r>
          </w:p>
        </w:tc>
      </w:tr>
      <w:tr>
        <w:trPr/>
        <w:tc>
          <w:tcPr>
            <w:tcW w:w="4805" w:type="dxa"/>
            <w:tcBorders/>
            <w:shd w:fill="D5EAEA" w:val="clear"/>
            <w:vAlign w:val="center"/>
          </w:tcPr>
          <w:p>
            <w:pPr>
              <w:pStyle w:val="TableContents"/>
              <w:bidi w:val="0"/>
              <w:spacing w:before="0" w:after="283"/>
              <w:jc w:val="left"/>
              <w:rPr/>
            </w:pPr>
            <w:r>
              <w:rPr/>
              <w:t>Accounting fees and expenses</w:t>
              <w:tab/>
            </w:r>
          </w:p>
        </w:tc>
        <w:tc>
          <w:tcPr>
            <w:tcW w:w="60" w:type="dxa"/>
            <w:tcBorders/>
            <w:shd w:fill="D5EAEA" w:val="clear"/>
            <w:vAlign w:val="center"/>
          </w:tcPr>
          <w:p>
            <w:pPr>
              <w:pStyle w:val="TableContents"/>
              <w:bidi w:val="0"/>
              <w:spacing w:before="0" w:after="283"/>
              <w:jc w:val="left"/>
              <w:rPr/>
            </w:pPr>
            <w:r>
              <w:rPr/>
              <w:t> </w:t>
            </w:r>
          </w:p>
        </w:tc>
        <w:tc>
          <w:tcPr>
            <w:tcW w:w="1985" w:type="dxa"/>
            <w:tcBorders/>
            <w:shd w:fill="D5EAEA" w:val="clear"/>
            <w:vAlign w:val="center"/>
          </w:tcPr>
          <w:p>
            <w:pPr>
              <w:pStyle w:val="TableContents"/>
              <w:bidi w:val="0"/>
              <w:spacing w:before="0" w:after="283"/>
              <w:jc w:val="right"/>
              <w:rPr/>
            </w:pPr>
            <w:r>
              <w:rPr/>
              <w:t>(**)</w:t>
            </w:r>
          </w:p>
        </w:tc>
      </w:tr>
      <w:tr>
        <w:trPr/>
        <w:tc>
          <w:tcPr>
            <w:tcW w:w="4805" w:type="dxa"/>
            <w:tcBorders/>
            <w:shd w:fill="FFFFFF" w:val="clear"/>
            <w:vAlign w:val="center"/>
          </w:tcPr>
          <w:p>
            <w:pPr>
              <w:pStyle w:val="TableContents"/>
              <w:bidi w:val="0"/>
              <w:spacing w:before="0" w:after="283"/>
              <w:jc w:val="left"/>
              <w:rPr/>
            </w:pPr>
            <w:r>
              <w:rPr/>
              <w:t>Miscellaneous</w:t>
              <w:tab/>
            </w:r>
          </w:p>
        </w:tc>
        <w:tc>
          <w:tcPr>
            <w:tcW w:w="60" w:type="dxa"/>
            <w:tcBorders/>
            <w:shd w:fill="FFFFFF" w:val="clear"/>
            <w:vAlign w:val="center"/>
          </w:tcPr>
          <w:p>
            <w:pPr>
              <w:pStyle w:val="TableContents"/>
              <w:bidi w:val="0"/>
              <w:spacing w:before="0" w:after="283"/>
              <w:jc w:val="left"/>
              <w:rPr/>
            </w:pPr>
            <w:r>
              <w:rPr/>
              <w:t> </w:t>
            </w:r>
          </w:p>
        </w:tc>
        <w:tc>
          <w:tcPr>
            <w:tcW w:w="1985" w:type="dxa"/>
            <w:tcBorders>
              <w:bottom w:val="single" w:sz="8" w:space="0" w:color="000000"/>
            </w:tcBorders>
            <w:shd w:fill="FFFFFF" w:val="clear"/>
            <w:tcMar>
              <w:bottom w:w="28" w:type="dxa"/>
            </w:tcMar>
            <w:vAlign w:val="center"/>
          </w:tcPr>
          <w:p>
            <w:pPr>
              <w:pStyle w:val="TableContents"/>
              <w:bidi w:val="0"/>
              <w:spacing w:before="0" w:after="283"/>
              <w:ind w:left="0" w:right="0" w:hanging="187"/>
              <w:jc w:val="right"/>
              <w:rPr/>
            </w:pPr>
            <w:r>
              <w:rPr/>
              <w:t>(**)</w:t>
            </w:r>
          </w:p>
        </w:tc>
      </w:tr>
      <w:tr>
        <w:trPr/>
        <w:tc>
          <w:tcPr>
            <w:tcW w:w="4805" w:type="dxa"/>
            <w:tcBorders/>
            <w:shd w:fill="D5EAEA" w:val="clear"/>
            <w:vAlign w:val="center"/>
          </w:tcPr>
          <w:p>
            <w:pPr>
              <w:pStyle w:val="TableContents"/>
              <w:bidi w:val="0"/>
              <w:spacing w:before="0" w:after="283"/>
              <w:jc w:val="left"/>
              <w:rPr>
                <w:b/>
              </w:rPr>
            </w:pPr>
            <w:r>
              <w:rPr>
                <w:b/>
              </w:rPr>
              <w:t>TOTAL</w:t>
              <w:tab/>
            </w:r>
          </w:p>
        </w:tc>
        <w:tc>
          <w:tcPr>
            <w:tcW w:w="60" w:type="dxa"/>
            <w:tcBorders/>
            <w:shd w:fill="D5EAEA" w:val="clear"/>
            <w:vAlign w:val="center"/>
          </w:tcPr>
          <w:p>
            <w:pPr>
              <w:pStyle w:val="TableContents"/>
              <w:bidi w:val="0"/>
              <w:spacing w:before="0" w:after="283"/>
              <w:jc w:val="left"/>
              <w:rPr/>
            </w:pPr>
            <w:r>
              <w:rPr/>
              <w:t> </w:t>
            </w:r>
          </w:p>
        </w:tc>
        <w:tc>
          <w:tcPr>
            <w:tcW w:w="1985" w:type="dxa"/>
            <w:tcBorders>
              <w:bottom w:val="double" w:sz="6" w:space="0" w:color="000000"/>
            </w:tcBorders>
            <w:shd w:fill="D5EAEA" w:val="clear"/>
            <w:tcMar>
              <w:bottom w:w="50" w:type="dxa"/>
            </w:tcMar>
            <w:vAlign w:val="center"/>
          </w:tcPr>
          <w:p>
            <w:pPr>
              <w:pStyle w:val="TableContents"/>
              <w:bidi w:val="0"/>
              <w:spacing w:before="0" w:after="283"/>
              <w:jc w:val="right"/>
              <w:rPr/>
            </w:pPr>
            <w:r>
              <w:rPr/>
              <w:t>$</w:t>
              <w:tab/>
              <w:t>(**)</w:t>
            </w:r>
          </w:p>
        </w:tc>
      </w:tr>
    </w:tbl>
    <w:p>
      <w:pPr>
        <w:pStyle w:val="TextBody"/>
        <w:bidi w:val="0"/>
        <w:spacing w:before="0" w:after="283"/>
        <w:jc w:val="left"/>
        <w:rPr/>
      </w:pPr>
      <w:r>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Omitted because the registration fee is being deferred pursuant to Rule 456(b) and 457(r).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Not presently known. The estimated aggregate expenses of any offering will be set forth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Indemnification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Nevada Revised Statutes (“NRS”) 78.138 provides that, subject to certain exceptions under Nevada law, unless the articles of incorporation or an amendment thereto provides for greater individual liability, a director or officer is not individually liable to a corporation or its stockholders or creditors for any damages as a result of any act or failure to act in his or her capacity as a director or officer unless the presumption of the business judgment rule set forth in NRS 78.138(3) has been rebutted and it is proven that (i) the director’s or officer’s act or failure to act constituted a breach of his or her fiduciary duties as a director or officer and (ii) the breach of those duties involved intentional misconduct, fraud or a knowing violation of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NRS 78.7502(1) provides, in general, that a corporation may indemnify, pursuant to that statutory mechanism, any person who was or is a party or is threatened to be made a party to any threatened, pending or completed action, suit or proceeding, whether civil, criminal, administrative or investigative, except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or as a manager of a limited liability company, against expenses, including attorneys’ fees, judgments, fines and amounts paid in settlement actually and reasonably incurred by the person in connection with the action, suit or proceeding if the person is not liable pursuant to NRS 78.138 or acted in good faith and in a manner which he or she reasonably believed to be in or not opposed to the best interests of the corporation, and, with respect to any criminal action or proceeding, had no reasonable cause to believe the conduct was unlawful.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NRS 78.7502(2) provides, in general, that a corporation may indemnify, pursuant to that statutory mechanism,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or as a manager of a limited liability company, against expenses, including amounts paid in settlement and attorneys’ fees actually and reasonably incurred by the person in connection with the defense or settlement of the action or suit if the person is not liable pursuant to NRS 78.138 or acted in good faith and in a manner which he or she reasonably believed to be in or not opposed to the best interests of the corporation; provided, however, that indemnification pursuant to NRS 78.7502 may not be made for any claim, issue or matter as to which such a person has been adjudged by a court of competent jurisdiction, after exhaustion of all appeals therefrom, to be liable to the corporation or for amounts paid in settlement to the corporation, unless and only to the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extent that the court in which the action or suit was brought or other court of competent jurisdiction determines upon application that in view of all the circumstances of the case, the person is fairly and reasonably entitled to indemnity for such expenses as the court deems proper.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NRS 78.7502(3) provides that any discretionary indemnification pursuant to the statutory mechanism provided under NRS 78.7502, as described above, unless ordered by a court or advanced pursuant to NRS 78.751(2), may be made by the corporation only as authorized in the specific case upon a determination that indemnification of the director, officer, employee or agent is proper in the circumstances. The determination must be made: (a) by the stockholders; (b) by the board of directors by majority vote of a quorum consisting of directors who were not parties to the action, suit or proceeding; (c) if a majority vote of a quorum consisting of directors who were not parties to the action, suit or proceeding so orders, by independent legal counsel in a written opinion; or (d) if a quorum consisting of directors who were not parties to the action, suit or proceeding cannot be obtained, by independent legal counsel in a written opinion.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NRS 78.751 further provides that indemnification pursuant to the statutory mechanism provided under NRS 78.7502 does not exclude any other rights to which a person seeking indemnification or advancement of expenses may be entitled under the registrant’s amended and restated articles of incorporation, or any bylaw, agreement, vote of stockholders or disinterested directors or otherwise, for either an action in the person’s official capacity or an action in another capacity while holding office, except that indemnification, unless ordered by a court pursuant to NRS 78.7502 or for the advancement of expenses, may not be made to or on behalf of any director or officer finally adjudged by a court of competent jurisdiction, after exhaustion of any appeals, to be liable for intentional misconduct, fraud or a knowing violation of law, and such misconduct, fraud or violation was material to the cause of action.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Second Amended and Restated Articles of Incorporation (“Articles of Incorporation”) and our Amended and Restated Bylaws (“Bylaws”) contain provisions that limit the individual liability of our directors and certain of our officers for damages to the fullest extent permitted by the NRS. Any amendment, repeal, or elimination of these provisions will not eliminate or reduce the effect of these provisions in respect of any act, omission or claim that occurred or arose prior to that amendment, repeal, or elimination. If the NRS is amended to provide for further limitations on the personal liability of directors or officers of corporations, then the personal liability of our directors and officers will be further limited to the greatest extent permitted by the NRS.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and Bylaws provide that the company shall, to the fullest extent permitted under the NRS (including NRS 78.7502, NRS 78.751 and NRS 78.752), indemnify and defend our directors and officers, including against all expenses (including attorneys’ fees) incurred in connection with any proceeding in advance of its final disposition, upon receipt of an undertaking thereby or on their behalf to repay the amount if it is ultimately determined by a court of competent jurisdiction that they are not entitled to be indemnified.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has entered into indemnification agreements with each of our directors and executive officers. These indemnification agreements require us to, among other things, indemnify our directors and executive officers against liabilities that may arise by reason of their status or service. These indemnification agreements also generally require us to advance all expenses reasonably and actually incurred by our directors and executive officers in investigating or defending any such action, suit, or proceeding. We believe that these agreements are necessary to attract and retain qualified individuals to serve as directors and executive officers.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limitation of liability and indemnification provisions in our Articles of Incorporation, Bylaws and indemnification agreements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our directors and executive officers as required by these indemnification provisions. At present, we are not aware of any pending litigation or proceeding involving any person who is or was one of our directors or officers, or is or was one of our directors or officers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obtained and maintain insurance policies under which our directors and officers are insured, within the limits and subject to the limitations of those policies, against certain expenses in connection with the defense of, and certain liabilities which might be imposed as a result of, actions, suits, or proceedings to which they are parties by reason of being or having been our directors or officers. The coverage provided by these policies may apply whether or not we would have the power to indemnify such person against such liability under the provisions of the NRS.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non-employee directors may, through their relationships with their employers, be insured and/or indemnified against certain liabilities incurred in their capacity as members of our board of directors.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407"/>
        <w:gridCol w:w="9742"/>
      </w:tblGrid>
      <w:tr>
        <w:trPr/>
        <w:tc>
          <w:tcPr>
            <w:tcW w:w="5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pPr>
            <w:r>
              <w:rPr/>
              <w:t>(a)</w:t>
            </w:r>
          </w:p>
        </w:tc>
        <w:tc>
          <w:tcPr>
            <w:tcW w:w="9742" w:type="dxa"/>
            <w:tcBorders/>
            <w:vAlign w:val="center"/>
          </w:tcPr>
          <w:p>
            <w:pPr>
              <w:pStyle w:val="TableContents"/>
              <w:bidi w:val="0"/>
              <w:spacing w:before="0" w:after="283"/>
              <w:jc w:val="left"/>
              <w:rPr/>
            </w:pPr>
            <w:r>
              <w:rPr/>
              <w:t>The following exhibits are filed as part of this Registration Statement: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3"/>
        <w:gridCol w:w="60"/>
        <w:gridCol w:w="9342"/>
      </w:tblGrid>
      <w:tr>
        <w:trPr/>
        <w:tc>
          <w:tcPr>
            <w:tcW w:w="803" w:type="dxa"/>
            <w:tcBorders/>
            <w:vAlign w:val="center"/>
          </w:tcPr>
          <w:p>
            <w:pPr>
              <w:pStyle w:val="TableContents"/>
              <w:bidi w:val="0"/>
              <w:spacing w:before="0" w:after="283"/>
              <w:jc w:val="center"/>
              <w:rPr>
                <w:b/>
                <w:sz w:val="20"/>
                <w:u w:val="single"/>
              </w:rPr>
            </w:pPr>
            <w:r>
              <w:rPr>
                <w:b/>
                <w:sz w:val="20"/>
                <w:u w:val="single"/>
              </w:rPr>
              <w:t>Exhibit No.</w:t>
            </w:r>
          </w:p>
        </w:tc>
        <w:tc>
          <w:tcPr>
            <w:tcW w:w="60" w:type="dxa"/>
            <w:tcBorders/>
            <w:vAlign w:val="center"/>
          </w:tcPr>
          <w:p>
            <w:pPr>
              <w:pStyle w:val="TableContents"/>
              <w:bidi w:val="0"/>
              <w:spacing w:before="0" w:after="283"/>
              <w:jc w:val="left"/>
              <w:rPr/>
            </w:pPr>
            <w:r>
              <w:rPr/>
              <w:t> </w:t>
            </w:r>
          </w:p>
        </w:tc>
        <w:tc>
          <w:tcPr>
            <w:tcW w:w="9342" w:type="dxa"/>
            <w:tcBorders/>
            <w:vAlign w:val="center"/>
          </w:tcPr>
          <w:p>
            <w:pPr>
              <w:pStyle w:val="TableContents"/>
              <w:bidi w:val="0"/>
              <w:spacing w:before="0" w:after="283"/>
              <w:jc w:val="center"/>
              <w:rPr>
                <w:b/>
                <w:sz w:val="20"/>
                <w:u w:val="single"/>
              </w:rPr>
            </w:pPr>
            <w:r>
              <w:rPr>
                <w:b/>
                <w:sz w:val="20"/>
                <w:u w:val="single"/>
              </w:rPr>
              <w:t>Document</w:t>
            </w:r>
          </w:p>
        </w:tc>
      </w:tr>
      <w:tr>
        <w:trPr/>
        <w:tc>
          <w:tcPr>
            <w:tcW w:w="803" w:type="dxa"/>
            <w:tcBorders/>
            <w:vAlign w:val="center"/>
          </w:tcPr>
          <w:p>
            <w:pPr>
              <w:pStyle w:val="TableContents"/>
              <w:bidi w:val="0"/>
              <w:spacing w:before="0" w:after="283"/>
              <w:jc w:val="center"/>
              <w:rPr/>
            </w:pPr>
            <w:r>
              <w:rPr/>
              <w:t>1-a*</w:t>
            </w:r>
          </w:p>
        </w:tc>
        <w:tc>
          <w:tcPr>
            <w:tcW w:w="60" w:type="dxa"/>
            <w:tcBorders/>
            <w:vAlign w:val="center"/>
          </w:tcPr>
          <w:p>
            <w:pPr>
              <w:pStyle w:val="TableContents"/>
              <w:bidi w:val="0"/>
              <w:spacing w:before="0" w:after="283"/>
              <w:jc w:val="left"/>
              <w:rPr/>
            </w:pPr>
            <w:r>
              <w:rPr/>
              <w:t> </w:t>
            </w:r>
          </w:p>
        </w:tc>
        <w:tc>
          <w:tcPr>
            <w:tcW w:w="9342" w:type="dxa"/>
            <w:tcBorders/>
            <w:vAlign w:val="center"/>
          </w:tcPr>
          <w:p>
            <w:pPr>
              <w:pStyle w:val="TableContents"/>
              <w:bidi w:val="0"/>
              <w:spacing w:before="0" w:after="283"/>
              <w:jc w:val="left"/>
              <w:rPr/>
            </w:pPr>
            <w:r>
              <w:rPr/>
              <w:t>Form of Underwriting Agreement</w:t>
            </w:r>
          </w:p>
        </w:tc>
      </w:tr>
      <w:tr>
        <w:trPr/>
        <w:tc>
          <w:tcPr>
            <w:tcW w:w="803" w:type="dxa"/>
            <w:tcBorders/>
            <w:vAlign w:val="center"/>
          </w:tcPr>
          <w:p>
            <w:pPr>
              <w:pStyle w:val="TableContents"/>
              <w:bidi w:val="0"/>
              <w:spacing w:before="0" w:after="283"/>
              <w:jc w:val="center"/>
              <w:rPr/>
            </w:pPr>
            <w:r>
              <w:rPr/>
              <w:t>4-a</w:t>
            </w:r>
          </w:p>
        </w:tc>
        <w:tc>
          <w:tcPr>
            <w:tcW w:w="60" w:type="dxa"/>
            <w:tcBorders/>
            <w:vAlign w:val="center"/>
          </w:tcPr>
          <w:p>
            <w:pPr>
              <w:pStyle w:val="TableContents"/>
              <w:bidi w:val="0"/>
              <w:spacing w:before="0" w:after="283"/>
              <w:jc w:val="left"/>
              <w:rPr/>
            </w:pPr>
            <w:r>
              <w:rPr/>
              <w:t> </w:t>
            </w:r>
          </w:p>
        </w:tc>
        <w:tc>
          <w:tcPr>
            <w:tcW w:w="9342" w:type="dxa"/>
            <w:tcBorders/>
            <w:vAlign w:val="center"/>
          </w:tcPr>
          <w:p>
            <w:pPr>
              <w:pStyle w:val="TableContents"/>
              <w:bidi w:val="0"/>
              <w:spacing w:before="0" w:after="283"/>
              <w:jc w:val="left"/>
              <w:rPr/>
            </w:pPr>
            <w:hyperlink r:id="rId22">
              <w:r>
                <w:rPr>
                  <w:rStyle w:val="InternetLink"/>
                  <w:color w:val="0000FF"/>
                  <w:u w:val="single"/>
                </w:rPr>
                <w:t>Second Amended and Restated Articles of Incorporation</w:t>
              </w:r>
            </w:hyperlink>
            <w:r>
              <w:rPr/>
              <w:t>, as amended to date (previously filed as an exhibit to Figure’s Form 8-K dated November 5, 2025, and incorporated herein by reference).</w:t>
            </w:r>
          </w:p>
        </w:tc>
      </w:tr>
      <w:tr>
        <w:trPr/>
        <w:tc>
          <w:tcPr>
            <w:tcW w:w="803" w:type="dxa"/>
            <w:tcBorders/>
            <w:vAlign w:val="center"/>
          </w:tcPr>
          <w:p>
            <w:pPr>
              <w:pStyle w:val="TableContents"/>
              <w:bidi w:val="0"/>
              <w:spacing w:before="0" w:after="283"/>
              <w:jc w:val="center"/>
              <w:rPr/>
            </w:pPr>
            <w:r>
              <w:rPr/>
              <w:t>4-b</w:t>
            </w:r>
          </w:p>
        </w:tc>
        <w:tc>
          <w:tcPr>
            <w:tcW w:w="60" w:type="dxa"/>
            <w:tcBorders/>
            <w:vAlign w:val="center"/>
          </w:tcPr>
          <w:p>
            <w:pPr>
              <w:pStyle w:val="TableContents"/>
              <w:bidi w:val="0"/>
              <w:spacing w:before="0" w:after="283"/>
              <w:jc w:val="left"/>
              <w:rPr/>
            </w:pPr>
            <w:r>
              <w:rPr/>
              <w:t> </w:t>
            </w:r>
          </w:p>
        </w:tc>
        <w:tc>
          <w:tcPr>
            <w:tcW w:w="9342" w:type="dxa"/>
            <w:tcBorders/>
            <w:vAlign w:val="center"/>
          </w:tcPr>
          <w:p>
            <w:pPr>
              <w:pStyle w:val="TableContents"/>
              <w:bidi w:val="0"/>
              <w:spacing w:before="0" w:after="283"/>
              <w:jc w:val="left"/>
              <w:rPr/>
            </w:pPr>
            <w:hyperlink r:id="rId23">
              <w:r>
                <w:rPr>
                  <w:rStyle w:val="InternetLink"/>
                  <w:color w:val="0000FF"/>
                  <w:u w:val="single"/>
                </w:rPr>
                <w:t>Amended and Restated Bylaws</w:t>
              </w:r>
            </w:hyperlink>
            <w:r>
              <w:rPr/>
              <w:t>, as amended to date (incorporated by reference to Exhibit 3.2 to the Company’s Amendment No. 1 to the Registration Statement on Form S-1 filed with the SEC on August 25, 2025).</w:t>
            </w:r>
          </w:p>
        </w:tc>
      </w:tr>
      <w:tr>
        <w:trPr/>
        <w:tc>
          <w:tcPr>
            <w:tcW w:w="803" w:type="dxa"/>
            <w:tcBorders/>
            <w:vAlign w:val="center"/>
          </w:tcPr>
          <w:p>
            <w:pPr>
              <w:pStyle w:val="TableContents"/>
              <w:bidi w:val="0"/>
              <w:spacing w:before="0" w:after="283"/>
              <w:jc w:val="center"/>
              <w:rPr/>
            </w:pPr>
            <w:r>
              <w:rPr/>
              <w:t>4-c</w:t>
            </w:r>
          </w:p>
        </w:tc>
        <w:tc>
          <w:tcPr>
            <w:tcW w:w="60" w:type="dxa"/>
            <w:tcBorders/>
            <w:vAlign w:val="center"/>
          </w:tcPr>
          <w:p>
            <w:pPr>
              <w:pStyle w:val="TableContents"/>
              <w:bidi w:val="0"/>
              <w:spacing w:before="0" w:after="283"/>
              <w:jc w:val="left"/>
              <w:rPr/>
            </w:pPr>
            <w:r>
              <w:rPr/>
              <w:t> </w:t>
            </w:r>
          </w:p>
        </w:tc>
        <w:tc>
          <w:tcPr>
            <w:tcW w:w="9342" w:type="dxa"/>
            <w:tcBorders/>
            <w:vAlign w:val="center"/>
          </w:tcPr>
          <w:p>
            <w:pPr>
              <w:pStyle w:val="TableContents"/>
              <w:bidi w:val="0"/>
              <w:spacing w:before="0" w:after="283"/>
              <w:jc w:val="left"/>
              <w:rPr/>
            </w:pPr>
            <w:hyperlink w:anchor="dp254272_ex4c.htm">
              <w:r>
                <w:rPr>
                  <w:rStyle w:val="InternetLink"/>
                  <w:color w:val="0000FF"/>
                  <w:u w:val="single"/>
                </w:rPr>
                <w:t>Form of Senior Indenture</w:t>
              </w:r>
            </w:hyperlink>
            <w:r>
              <w:rPr/>
              <w:t>.</w:t>
            </w:r>
          </w:p>
        </w:tc>
      </w:tr>
      <w:tr>
        <w:trPr/>
        <w:tc>
          <w:tcPr>
            <w:tcW w:w="803" w:type="dxa"/>
            <w:tcBorders/>
            <w:vAlign w:val="center"/>
          </w:tcPr>
          <w:p>
            <w:pPr>
              <w:pStyle w:val="TableContents"/>
              <w:bidi w:val="0"/>
              <w:spacing w:before="0" w:after="283"/>
              <w:jc w:val="center"/>
              <w:rPr/>
            </w:pPr>
            <w:r>
              <w:rPr/>
              <w:t>4-d</w:t>
            </w:r>
          </w:p>
        </w:tc>
        <w:tc>
          <w:tcPr>
            <w:tcW w:w="60" w:type="dxa"/>
            <w:tcBorders/>
            <w:vAlign w:val="center"/>
          </w:tcPr>
          <w:p>
            <w:pPr>
              <w:pStyle w:val="TableContents"/>
              <w:bidi w:val="0"/>
              <w:spacing w:before="0" w:after="283"/>
              <w:jc w:val="left"/>
              <w:rPr/>
            </w:pPr>
            <w:r>
              <w:rPr/>
              <w:t> </w:t>
            </w:r>
          </w:p>
        </w:tc>
        <w:tc>
          <w:tcPr>
            <w:tcW w:w="9342" w:type="dxa"/>
            <w:tcBorders/>
            <w:vAlign w:val="center"/>
          </w:tcPr>
          <w:p>
            <w:pPr>
              <w:pStyle w:val="TableContents"/>
              <w:bidi w:val="0"/>
              <w:spacing w:before="0" w:after="283"/>
              <w:jc w:val="left"/>
              <w:rPr/>
            </w:pPr>
            <w:hyperlink w:anchor="dp254272_ex4d.htm">
              <w:r>
                <w:rPr>
                  <w:rStyle w:val="InternetLink"/>
                  <w:color w:val="0000FF"/>
                  <w:u w:val="single"/>
                </w:rPr>
                <w:t>Form of Subordinated Indenture</w:t>
              </w:r>
            </w:hyperlink>
            <w:r>
              <w:rPr/>
              <w:t>.</w:t>
            </w:r>
          </w:p>
        </w:tc>
      </w:tr>
      <w:tr>
        <w:trPr/>
        <w:tc>
          <w:tcPr>
            <w:tcW w:w="803" w:type="dxa"/>
            <w:tcBorders/>
            <w:vAlign w:val="center"/>
          </w:tcPr>
          <w:p>
            <w:pPr>
              <w:pStyle w:val="TableContents"/>
              <w:bidi w:val="0"/>
              <w:spacing w:before="0" w:after="283"/>
              <w:jc w:val="center"/>
              <w:rPr/>
            </w:pPr>
            <w:r>
              <w:rPr/>
              <w:t>4-e*</w:t>
            </w:r>
          </w:p>
        </w:tc>
        <w:tc>
          <w:tcPr>
            <w:tcW w:w="60" w:type="dxa"/>
            <w:tcBorders/>
            <w:vAlign w:val="center"/>
          </w:tcPr>
          <w:p>
            <w:pPr>
              <w:pStyle w:val="TableContents"/>
              <w:bidi w:val="0"/>
              <w:spacing w:before="0" w:after="283"/>
              <w:jc w:val="left"/>
              <w:rPr/>
            </w:pPr>
            <w:r>
              <w:rPr/>
              <w:t> </w:t>
            </w:r>
          </w:p>
        </w:tc>
        <w:tc>
          <w:tcPr>
            <w:tcW w:w="9342" w:type="dxa"/>
            <w:tcBorders/>
            <w:vAlign w:val="center"/>
          </w:tcPr>
          <w:p>
            <w:pPr>
              <w:pStyle w:val="TableContents"/>
              <w:bidi w:val="0"/>
              <w:spacing w:before="0" w:after="283"/>
              <w:jc w:val="left"/>
              <w:rPr/>
            </w:pPr>
            <w:r>
              <w:rPr/>
              <w:t>Form of Senior Note.</w:t>
            </w:r>
          </w:p>
        </w:tc>
      </w:tr>
      <w:tr>
        <w:trPr/>
        <w:tc>
          <w:tcPr>
            <w:tcW w:w="803" w:type="dxa"/>
            <w:tcBorders/>
            <w:vAlign w:val="center"/>
          </w:tcPr>
          <w:p>
            <w:pPr>
              <w:pStyle w:val="TableContents"/>
              <w:bidi w:val="0"/>
              <w:spacing w:before="0" w:after="283"/>
              <w:jc w:val="center"/>
              <w:rPr/>
            </w:pPr>
            <w:r>
              <w:rPr/>
              <w:t>4-f*</w:t>
            </w:r>
          </w:p>
        </w:tc>
        <w:tc>
          <w:tcPr>
            <w:tcW w:w="60" w:type="dxa"/>
            <w:tcBorders/>
            <w:vAlign w:val="center"/>
          </w:tcPr>
          <w:p>
            <w:pPr>
              <w:pStyle w:val="TableContents"/>
              <w:bidi w:val="0"/>
              <w:spacing w:before="0" w:after="283"/>
              <w:jc w:val="left"/>
              <w:rPr/>
            </w:pPr>
            <w:r>
              <w:rPr/>
              <w:t> </w:t>
            </w:r>
          </w:p>
        </w:tc>
        <w:tc>
          <w:tcPr>
            <w:tcW w:w="9342" w:type="dxa"/>
            <w:tcBorders/>
            <w:vAlign w:val="center"/>
          </w:tcPr>
          <w:p>
            <w:pPr>
              <w:pStyle w:val="TableContents"/>
              <w:bidi w:val="0"/>
              <w:spacing w:before="0" w:after="283"/>
              <w:jc w:val="left"/>
              <w:rPr/>
            </w:pPr>
            <w:r>
              <w:rPr/>
              <w:t>Form of Subordinated Note.</w:t>
            </w:r>
          </w:p>
        </w:tc>
      </w:tr>
      <w:tr>
        <w:trPr/>
        <w:tc>
          <w:tcPr>
            <w:tcW w:w="803" w:type="dxa"/>
            <w:tcBorders/>
            <w:vAlign w:val="center"/>
          </w:tcPr>
          <w:p>
            <w:pPr>
              <w:pStyle w:val="TableContents"/>
              <w:bidi w:val="0"/>
              <w:spacing w:before="0" w:after="283"/>
              <w:jc w:val="center"/>
              <w:rPr/>
            </w:pPr>
            <w:r>
              <w:rPr/>
              <w:t>4-g*</w:t>
            </w:r>
          </w:p>
        </w:tc>
        <w:tc>
          <w:tcPr>
            <w:tcW w:w="60" w:type="dxa"/>
            <w:tcBorders/>
            <w:vAlign w:val="center"/>
          </w:tcPr>
          <w:p>
            <w:pPr>
              <w:pStyle w:val="TableContents"/>
              <w:bidi w:val="0"/>
              <w:spacing w:before="0" w:after="283"/>
              <w:jc w:val="left"/>
              <w:rPr/>
            </w:pPr>
            <w:r>
              <w:rPr/>
              <w:t> </w:t>
            </w:r>
          </w:p>
        </w:tc>
        <w:tc>
          <w:tcPr>
            <w:tcW w:w="9342" w:type="dxa"/>
            <w:tcBorders/>
            <w:vAlign w:val="center"/>
          </w:tcPr>
          <w:p>
            <w:pPr>
              <w:pStyle w:val="TableContents"/>
              <w:bidi w:val="0"/>
              <w:spacing w:before="0" w:after="283"/>
              <w:jc w:val="left"/>
              <w:rPr/>
            </w:pPr>
            <w:r>
              <w:rPr/>
              <w:t>Form of Warrant Agreement.</w:t>
            </w:r>
          </w:p>
        </w:tc>
      </w:tr>
      <w:tr>
        <w:trPr/>
        <w:tc>
          <w:tcPr>
            <w:tcW w:w="803" w:type="dxa"/>
            <w:tcBorders/>
            <w:vAlign w:val="center"/>
          </w:tcPr>
          <w:p>
            <w:pPr>
              <w:pStyle w:val="TableContents"/>
              <w:bidi w:val="0"/>
              <w:spacing w:before="0" w:after="283"/>
              <w:jc w:val="center"/>
              <w:rPr/>
            </w:pPr>
            <w:r>
              <w:rPr/>
              <w:t>4-h*</w:t>
            </w:r>
          </w:p>
        </w:tc>
        <w:tc>
          <w:tcPr>
            <w:tcW w:w="60" w:type="dxa"/>
            <w:tcBorders/>
            <w:vAlign w:val="center"/>
          </w:tcPr>
          <w:p>
            <w:pPr>
              <w:pStyle w:val="TableContents"/>
              <w:bidi w:val="0"/>
              <w:spacing w:before="0" w:after="283"/>
              <w:jc w:val="left"/>
              <w:rPr/>
            </w:pPr>
            <w:r>
              <w:rPr/>
              <w:t> </w:t>
            </w:r>
          </w:p>
        </w:tc>
        <w:tc>
          <w:tcPr>
            <w:tcW w:w="9342" w:type="dxa"/>
            <w:tcBorders/>
            <w:vAlign w:val="center"/>
          </w:tcPr>
          <w:p>
            <w:pPr>
              <w:pStyle w:val="TableContents"/>
              <w:bidi w:val="0"/>
              <w:spacing w:before="0" w:after="283"/>
              <w:jc w:val="left"/>
              <w:rPr/>
            </w:pPr>
            <w:r>
              <w:rPr/>
              <w:t>Form of Purchase Contract.</w:t>
            </w:r>
          </w:p>
        </w:tc>
      </w:tr>
      <w:tr>
        <w:trPr/>
        <w:tc>
          <w:tcPr>
            <w:tcW w:w="803" w:type="dxa"/>
            <w:tcBorders/>
            <w:vAlign w:val="center"/>
          </w:tcPr>
          <w:p>
            <w:pPr>
              <w:pStyle w:val="TableContents"/>
              <w:bidi w:val="0"/>
              <w:spacing w:before="0" w:after="283"/>
              <w:jc w:val="center"/>
              <w:rPr/>
            </w:pPr>
            <w:r>
              <w:rPr/>
              <w:t>4-i*</w:t>
            </w:r>
          </w:p>
        </w:tc>
        <w:tc>
          <w:tcPr>
            <w:tcW w:w="60" w:type="dxa"/>
            <w:tcBorders/>
            <w:vAlign w:val="center"/>
          </w:tcPr>
          <w:p>
            <w:pPr>
              <w:pStyle w:val="TableContents"/>
              <w:bidi w:val="0"/>
              <w:spacing w:before="0" w:after="283"/>
              <w:jc w:val="left"/>
              <w:rPr/>
            </w:pPr>
            <w:r>
              <w:rPr/>
              <w:t> </w:t>
            </w:r>
          </w:p>
        </w:tc>
        <w:tc>
          <w:tcPr>
            <w:tcW w:w="9342" w:type="dxa"/>
            <w:tcBorders/>
            <w:vAlign w:val="center"/>
          </w:tcPr>
          <w:p>
            <w:pPr>
              <w:pStyle w:val="TableContents"/>
              <w:bidi w:val="0"/>
              <w:spacing w:before="0" w:after="283"/>
              <w:jc w:val="left"/>
              <w:rPr/>
            </w:pPr>
            <w:r>
              <w:rPr/>
              <w:t>Form of Unit Agreement.</w:t>
            </w:r>
          </w:p>
        </w:tc>
      </w:tr>
      <w:tr>
        <w:trPr/>
        <w:tc>
          <w:tcPr>
            <w:tcW w:w="803" w:type="dxa"/>
            <w:tcBorders/>
            <w:vAlign w:val="center"/>
          </w:tcPr>
          <w:p>
            <w:pPr>
              <w:pStyle w:val="TableContents"/>
              <w:bidi w:val="0"/>
              <w:spacing w:before="0" w:after="283"/>
              <w:jc w:val="center"/>
              <w:rPr/>
            </w:pPr>
            <w:r>
              <w:rPr/>
              <w:t>5-a</w:t>
            </w:r>
          </w:p>
        </w:tc>
        <w:tc>
          <w:tcPr>
            <w:tcW w:w="60" w:type="dxa"/>
            <w:tcBorders/>
            <w:vAlign w:val="center"/>
          </w:tcPr>
          <w:p>
            <w:pPr>
              <w:pStyle w:val="TableContents"/>
              <w:bidi w:val="0"/>
              <w:spacing w:before="0" w:after="283"/>
              <w:jc w:val="left"/>
              <w:rPr/>
            </w:pPr>
            <w:r>
              <w:rPr/>
              <w:t> </w:t>
            </w:r>
          </w:p>
        </w:tc>
        <w:tc>
          <w:tcPr>
            <w:tcW w:w="9342" w:type="dxa"/>
            <w:tcBorders/>
            <w:vAlign w:val="center"/>
          </w:tcPr>
          <w:p>
            <w:pPr>
              <w:pStyle w:val="TableContents"/>
              <w:bidi w:val="0"/>
              <w:spacing w:before="0" w:after="283"/>
              <w:jc w:val="left"/>
              <w:rPr/>
            </w:pPr>
            <w:hyperlink w:anchor="dp254272_ex5a.htm">
              <w:r>
                <w:rPr>
                  <w:rStyle w:val="InternetLink"/>
                  <w:color w:val="140BE3"/>
                  <w:u w:val="single"/>
                </w:rPr>
                <w:t>Opinion of Davis Polk &amp; Wardwell LLP.</w:t>
              </w:r>
            </w:hyperlink>
          </w:p>
        </w:tc>
      </w:tr>
      <w:tr>
        <w:trPr/>
        <w:tc>
          <w:tcPr>
            <w:tcW w:w="803" w:type="dxa"/>
            <w:tcBorders/>
            <w:vAlign w:val="center"/>
          </w:tcPr>
          <w:p>
            <w:pPr>
              <w:pStyle w:val="TableContents"/>
              <w:bidi w:val="0"/>
              <w:spacing w:before="0" w:after="283"/>
              <w:jc w:val="center"/>
              <w:rPr/>
            </w:pPr>
            <w:r>
              <w:rPr/>
              <w:t>5-b</w:t>
            </w:r>
          </w:p>
        </w:tc>
        <w:tc>
          <w:tcPr>
            <w:tcW w:w="60" w:type="dxa"/>
            <w:tcBorders/>
            <w:vAlign w:val="center"/>
          </w:tcPr>
          <w:p>
            <w:pPr>
              <w:pStyle w:val="TableContents"/>
              <w:bidi w:val="0"/>
              <w:spacing w:before="0" w:after="283"/>
              <w:jc w:val="left"/>
              <w:rPr/>
            </w:pPr>
            <w:r>
              <w:rPr/>
              <w:t> </w:t>
            </w:r>
          </w:p>
        </w:tc>
        <w:tc>
          <w:tcPr>
            <w:tcW w:w="9342" w:type="dxa"/>
            <w:tcBorders/>
            <w:vAlign w:val="center"/>
          </w:tcPr>
          <w:p>
            <w:pPr>
              <w:pStyle w:val="TableContents"/>
              <w:bidi w:val="0"/>
              <w:spacing w:before="0" w:after="283"/>
              <w:jc w:val="left"/>
              <w:rPr/>
            </w:pPr>
            <w:hyperlink w:anchor="dp254272_ex5b.htm">
              <w:r>
                <w:rPr>
                  <w:rStyle w:val="InternetLink"/>
                  <w:color w:val="140BE3"/>
                  <w:u w:val="single"/>
                </w:rPr>
                <w:t>Opinion of Brownstein Hyatt Farber Schreck, LLP.</w:t>
              </w:r>
            </w:hyperlink>
          </w:p>
        </w:tc>
      </w:tr>
      <w:tr>
        <w:trPr/>
        <w:tc>
          <w:tcPr>
            <w:tcW w:w="803" w:type="dxa"/>
            <w:tcBorders/>
            <w:vAlign w:val="center"/>
          </w:tcPr>
          <w:p>
            <w:pPr>
              <w:pStyle w:val="TableContents"/>
              <w:bidi w:val="0"/>
              <w:spacing w:before="0" w:after="283"/>
              <w:jc w:val="center"/>
              <w:rPr/>
            </w:pPr>
            <w:r>
              <w:rPr/>
              <w:t>23-a</w:t>
            </w:r>
          </w:p>
        </w:tc>
        <w:tc>
          <w:tcPr>
            <w:tcW w:w="60" w:type="dxa"/>
            <w:tcBorders/>
            <w:vAlign w:val="center"/>
          </w:tcPr>
          <w:p>
            <w:pPr>
              <w:pStyle w:val="TableContents"/>
              <w:bidi w:val="0"/>
              <w:spacing w:before="0" w:after="283"/>
              <w:jc w:val="left"/>
              <w:rPr/>
            </w:pPr>
            <w:r>
              <w:rPr/>
              <w:t> </w:t>
            </w:r>
          </w:p>
        </w:tc>
        <w:tc>
          <w:tcPr>
            <w:tcW w:w="9342" w:type="dxa"/>
            <w:tcBorders/>
            <w:vAlign w:val="center"/>
          </w:tcPr>
          <w:p>
            <w:pPr>
              <w:pStyle w:val="TableContents"/>
              <w:bidi w:val="0"/>
              <w:spacing w:before="0" w:after="283"/>
              <w:jc w:val="left"/>
              <w:rPr/>
            </w:pPr>
            <w:hyperlink w:anchor="dp254272_ex23a.htm">
              <w:r>
                <w:rPr>
                  <w:rStyle w:val="InternetLink"/>
                  <w:color w:val="0000FF"/>
                  <w:u w:val="single"/>
                </w:rPr>
                <w:t>Consent of KPMG LLP.</w:t>
              </w:r>
            </w:hyperlink>
          </w:p>
        </w:tc>
      </w:tr>
      <w:tr>
        <w:trPr/>
        <w:tc>
          <w:tcPr>
            <w:tcW w:w="803" w:type="dxa"/>
            <w:tcBorders/>
            <w:vAlign w:val="center"/>
          </w:tcPr>
          <w:p>
            <w:pPr>
              <w:pStyle w:val="TableContents"/>
              <w:bidi w:val="0"/>
              <w:spacing w:before="0" w:after="283"/>
              <w:jc w:val="center"/>
              <w:rPr/>
            </w:pPr>
            <w:r>
              <w:rPr/>
              <w:t>23-b</w:t>
            </w:r>
          </w:p>
        </w:tc>
        <w:tc>
          <w:tcPr>
            <w:tcW w:w="60" w:type="dxa"/>
            <w:tcBorders/>
            <w:vAlign w:val="center"/>
          </w:tcPr>
          <w:p>
            <w:pPr>
              <w:pStyle w:val="TableContents"/>
              <w:bidi w:val="0"/>
              <w:spacing w:before="0" w:after="283"/>
              <w:jc w:val="left"/>
              <w:rPr/>
            </w:pPr>
            <w:r>
              <w:rPr/>
              <w:t> </w:t>
            </w:r>
          </w:p>
        </w:tc>
        <w:tc>
          <w:tcPr>
            <w:tcW w:w="9342" w:type="dxa"/>
            <w:tcBorders/>
            <w:vAlign w:val="center"/>
          </w:tcPr>
          <w:p>
            <w:pPr>
              <w:pStyle w:val="TableContents"/>
              <w:bidi w:val="0"/>
              <w:spacing w:before="0" w:after="283"/>
              <w:jc w:val="left"/>
              <w:rPr/>
            </w:pPr>
            <w:hyperlink w:anchor="dp254272_ex5a.htm">
              <w:r>
                <w:rPr>
                  <w:rStyle w:val="InternetLink"/>
                  <w:color w:val="140BE3"/>
                  <w:u w:val="single"/>
                </w:rPr>
                <w:t>Consent of Davis Polk &amp; Wardwell LLP (included in Exhibit 5-a).</w:t>
              </w:r>
            </w:hyperlink>
          </w:p>
        </w:tc>
      </w:tr>
      <w:tr>
        <w:trPr/>
        <w:tc>
          <w:tcPr>
            <w:tcW w:w="803" w:type="dxa"/>
            <w:tcBorders/>
            <w:vAlign w:val="center"/>
          </w:tcPr>
          <w:p>
            <w:pPr>
              <w:pStyle w:val="TableContents"/>
              <w:bidi w:val="0"/>
              <w:spacing w:before="0" w:after="283"/>
              <w:jc w:val="center"/>
              <w:rPr/>
            </w:pPr>
            <w:r>
              <w:rPr/>
              <w:t>23-c</w:t>
            </w:r>
          </w:p>
        </w:tc>
        <w:tc>
          <w:tcPr>
            <w:tcW w:w="60" w:type="dxa"/>
            <w:tcBorders/>
            <w:vAlign w:val="center"/>
          </w:tcPr>
          <w:p>
            <w:pPr>
              <w:pStyle w:val="TableContents"/>
              <w:bidi w:val="0"/>
              <w:spacing w:before="0" w:after="283"/>
              <w:jc w:val="left"/>
              <w:rPr/>
            </w:pPr>
            <w:r>
              <w:rPr/>
              <w:t> </w:t>
            </w:r>
          </w:p>
        </w:tc>
        <w:tc>
          <w:tcPr>
            <w:tcW w:w="9342" w:type="dxa"/>
            <w:tcBorders/>
            <w:vAlign w:val="center"/>
          </w:tcPr>
          <w:p>
            <w:pPr>
              <w:pStyle w:val="TableContents"/>
              <w:bidi w:val="0"/>
              <w:spacing w:before="0" w:after="283"/>
              <w:jc w:val="left"/>
              <w:rPr/>
            </w:pPr>
            <w:hyperlink w:anchor="dp254272_ex5b.htm">
              <w:r>
                <w:rPr>
                  <w:rStyle w:val="InternetLink"/>
                  <w:color w:val="0000FF"/>
                  <w:u w:val="single"/>
                </w:rPr>
                <w:t>Consent of Brownstein Hyatt Farber Schreck, LLP (included in Exhibit 5-b).</w:t>
              </w:r>
            </w:hyperlink>
          </w:p>
        </w:tc>
      </w:tr>
      <w:tr>
        <w:trPr/>
        <w:tc>
          <w:tcPr>
            <w:tcW w:w="803" w:type="dxa"/>
            <w:tcBorders/>
            <w:vAlign w:val="center"/>
          </w:tcPr>
          <w:p>
            <w:pPr>
              <w:pStyle w:val="TableContents"/>
              <w:bidi w:val="0"/>
              <w:spacing w:before="0" w:after="283"/>
              <w:jc w:val="center"/>
              <w:rPr/>
            </w:pPr>
            <w:r>
              <w:rPr/>
              <w:t>24-a</w:t>
            </w:r>
          </w:p>
        </w:tc>
        <w:tc>
          <w:tcPr>
            <w:tcW w:w="60" w:type="dxa"/>
            <w:tcBorders/>
            <w:vAlign w:val="center"/>
          </w:tcPr>
          <w:p>
            <w:pPr>
              <w:pStyle w:val="TableContents"/>
              <w:bidi w:val="0"/>
              <w:spacing w:before="0" w:after="283"/>
              <w:jc w:val="left"/>
              <w:rPr/>
            </w:pPr>
            <w:r>
              <w:rPr/>
              <w:t> </w:t>
            </w:r>
          </w:p>
        </w:tc>
        <w:tc>
          <w:tcPr>
            <w:tcW w:w="9342" w:type="dxa"/>
            <w:tcBorders/>
            <w:vAlign w:val="center"/>
          </w:tcPr>
          <w:p>
            <w:pPr>
              <w:pStyle w:val="TableContents"/>
              <w:bidi w:val="0"/>
              <w:spacing w:before="0" w:after="283"/>
              <w:jc w:val="left"/>
              <w:rPr/>
            </w:pPr>
            <w:hyperlink w:anchor="a_015">
              <w:r>
                <w:rPr>
                  <w:rStyle w:val="InternetLink"/>
                </w:rPr>
                <w:t>Power of Attorney (included on the signature page hereto)</w:t>
              </w:r>
            </w:hyperlink>
            <w:r>
              <w:rPr/>
              <w:t>.</w:t>
            </w:r>
          </w:p>
        </w:tc>
      </w:tr>
      <w:tr>
        <w:trPr/>
        <w:tc>
          <w:tcPr>
            <w:tcW w:w="803" w:type="dxa"/>
            <w:tcBorders/>
            <w:vAlign w:val="center"/>
          </w:tcPr>
          <w:p>
            <w:pPr>
              <w:pStyle w:val="TableContents"/>
              <w:bidi w:val="0"/>
              <w:spacing w:before="0" w:after="283"/>
              <w:jc w:val="center"/>
              <w:rPr/>
            </w:pPr>
            <w:r>
              <w:rPr/>
              <w:t>25-a*</w:t>
            </w:r>
          </w:p>
        </w:tc>
        <w:tc>
          <w:tcPr>
            <w:tcW w:w="60" w:type="dxa"/>
            <w:tcBorders/>
            <w:vAlign w:val="center"/>
          </w:tcPr>
          <w:p>
            <w:pPr>
              <w:pStyle w:val="TableContents"/>
              <w:bidi w:val="0"/>
              <w:spacing w:before="0" w:after="283"/>
              <w:jc w:val="left"/>
              <w:rPr/>
            </w:pPr>
            <w:r>
              <w:rPr/>
              <w:t> </w:t>
            </w:r>
          </w:p>
        </w:tc>
        <w:tc>
          <w:tcPr>
            <w:tcW w:w="9342" w:type="dxa"/>
            <w:tcBorders/>
            <w:vAlign w:val="center"/>
          </w:tcPr>
          <w:p>
            <w:pPr>
              <w:pStyle w:val="TableContents"/>
              <w:bidi w:val="0"/>
              <w:spacing w:before="0" w:after="283"/>
              <w:jc w:val="left"/>
              <w:rPr/>
            </w:pPr>
            <w:r>
              <w:rPr/>
              <w:t>Statement of Eligibility on Form T-1.</w:t>
            </w:r>
          </w:p>
        </w:tc>
      </w:tr>
      <w:tr>
        <w:trPr/>
        <w:tc>
          <w:tcPr>
            <w:tcW w:w="803" w:type="dxa"/>
            <w:tcBorders/>
            <w:vAlign w:val="center"/>
          </w:tcPr>
          <w:p>
            <w:pPr>
              <w:pStyle w:val="TableContents"/>
              <w:bidi w:val="0"/>
              <w:spacing w:before="0" w:after="283"/>
              <w:jc w:val="center"/>
              <w:rPr/>
            </w:pPr>
            <w:r>
              <w:rPr/>
              <w:t>107</w:t>
            </w:r>
          </w:p>
        </w:tc>
        <w:tc>
          <w:tcPr>
            <w:tcW w:w="60" w:type="dxa"/>
            <w:tcBorders/>
            <w:vAlign w:val="center"/>
          </w:tcPr>
          <w:p>
            <w:pPr>
              <w:pStyle w:val="TableContents"/>
              <w:bidi w:val="0"/>
              <w:spacing w:before="0" w:after="283"/>
              <w:ind w:left="0" w:right="0" w:hanging="0"/>
              <w:jc w:val="left"/>
              <w:rPr/>
            </w:pPr>
            <w:r>
              <w:rPr/>
              <w:t> </w:t>
            </w:r>
          </w:p>
        </w:tc>
        <w:tc>
          <w:tcPr>
            <w:tcW w:w="9342" w:type="dxa"/>
            <w:tcBorders/>
            <w:vAlign w:val="center"/>
          </w:tcPr>
          <w:p>
            <w:pPr>
              <w:pStyle w:val="TableContents"/>
              <w:bidi w:val="0"/>
              <w:spacing w:before="0" w:after="283"/>
              <w:jc w:val="left"/>
              <w:rPr/>
            </w:pPr>
            <w:hyperlink w:anchor="dp254272_exfillingfees.htm">
              <w:r>
                <w:rPr>
                  <w:rStyle w:val="InternetLink"/>
                  <w:color w:val="0000FF"/>
                  <w:u w:val="single"/>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bdr w:val="single" w:sz="8" w:space="1" w:color="000000"/>
        </w:rPr>
      </w:pPr>
      <w:r>
        <w:rPr>
          <w:bdr w:val="single" w:sz="8" w:space="1"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To be filed, if necessary, as an exhibit to a post-effective amendment to this registration statement or as an exhibit to a Current Report on Form 8-K to be filed by the registrant in connection with a specific offering,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584"/>
        <w:gridCol w:w="9541"/>
      </w:tblGrid>
      <w:tr>
        <w:trPr/>
        <w:tc>
          <w:tcPr>
            <w:tcW w:w="80"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pPr>
            <w:r>
              <w:rPr/>
              <w:t>(a)</w:t>
            </w:r>
          </w:p>
        </w:tc>
        <w:tc>
          <w:tcPr>
            <w:tcW w:w="9541" w:type="dxa"/>
            <w:tcBorders/>
            <w:vAlign w:val="center"/>
          </w:tcPr>
          <w:p>
            <w:pPr>
              <w:pStyle w:val="TableContents"/>
              <w:bidi w:val="0"/>
              <w:spacing w:before="0" w:after="283"/>
              <w:jc w:val="left"/>
              <w:rPr/>
            </w:pPr>
            <w:r>
              <w:rPr/>
              <w:t>The undersigned Registrant hereby undertakes: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during any period in which offers or sales are being made of securities registered hereby, a post-effective amendment to this registration statement:</w:t>
      </w:r>
    </w:p>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include any prospectus required by Section 10(a)(3) of the Securities Act of 1933;</w:t>
      </w:r>
    </w:p>
    <w:p>
      <w:pPr>
        <w:pStyle w:val="TextBody"/>
        <w:bidi w:val="0"/>
        <w:spacing w:before="0" w:after="0"/>
        <w:ind w:left="720" w:right="0" w:firstLine="36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pStyle w:val="TextBody"/>
        <w:bidi w:val="0"/>
        <w:spacing w:before="0" w:after="0"/>
        <w:ind w:left="720" w:right="0" w:firstLine="36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before="0" w:after="0"/>
        <w:ind w:left="720" w:right="0" w:firstLine="360"/>
        <w:jc w:val="left"/>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paragraphs (i), (ii) and (iii) above do not apply if the information required to be included in a post-effective amendment by those paragraphs is contained in periodic reports filed with or furnished to the Securities and Exchange Commission by the registrant pursuant to Section 13 or Section 15(d) of the Securities Exchange Act of 1934 that are incorporated by reference in this registration statement, or is contained in a form of prospectus filed pursuant to Rule 424(b) that is part of the registration statement.</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offering thereof.</w:t>
      </w:r>
    </w:p>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That, for the purpose of determining liability under the Securities Act of 1933 to any purchaser:</w:t>
      </w:r>
    </w:p>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108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prospectus filed by the registrant pursuant to Rule 424(b)(3) shall be deemed to be part of the registration statement as of the date the filed prospectus was deemed part of and included in the registration statement; and</w:t>
      </w:r>
    </w:p>
    <w:p>
      <w:pPr>
        <w:pStyle w:val="TextBody"/>
        <w:bidi w:val="0"/>
        <w:spacing w:before="0" w:after="0"/>
        <w:ind w:left="1080" w:right="0" w:firstLine="360"/>
        <w:jc w:val="left"/>
        <w:rPr>
          <w:caps w:val="false"/>
          <w:smallCaps w:val="false"/>
        </w:rPr>
      </w:pPr>
      <w:r>
        <w:rPr>
          <w:caps w:val="false"/>
          <w:smallCaps w:val="false"/>
        </w:rPr>
        <w:t> </w:t>
      </w:r>
    </w:p>
    <w:p>
      <w:pPr>
        <w:pStyle w:val="TextBody"/>
        <w:bidi w:val="0"/>
        <w:spacing w:before="0" w:after="0"/>
        <w:ind w:left="108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offering thereof.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pStyle w:val="TextBody"/>
        <w:bidi w:val="0"/>
        <w:spacing w:before="0" w:after="0"/>
        <w:ind w:left="108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That, for the purpose of determining liability of the registrant under the Securities Act of 1933 to any purchaser in the initial distribution of the securities:</w:t>
      </w:r>
    </w:p>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before="0" w:after="0"/>
        <w:ind w:left="720" w:right="0" w:firstLine="36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preliminary prospectus or prospectus of the undersigned registrant relating to the offering required to be filed pursuant to Rule 424;</w:t>
      </w:r>
    </w:p>
    <w:p>
      <w:pPr>
        <w:pStyle w:val="TextBody"/>
        <w:bidi w:val="0"/>
        <w:spacing w:before="0" w:after="0"/>
        <w:ind w:left="720" w:right="0" w:firstLine="36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free writing prospectus relating to the offering prepared by or on behalf of the undersigned registrant or used or referred to by the undersigned registrant;</w:t>
      </w:r>
    </w:p>
    <w:p>
      <w:pPr>
        <w:pStyle w:val="TextBody"/>
        <w:bidi w:val="0"/>
        <w:spacing w:before="0" w:after="0"/>
        <w:ind w:left="720" w:right="0" w:firstLine="36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portion of any other free writing prospectus relating to the offering containing material information about the undersigned registrant or its securities provided by or on behalf of the undersigned registrant; and</w:t>
      </w:r>
    </w:p>
    <w:p>
      <w:pPr>
        <w:pStyle w:val="TextBody"/>
        <w:bidi w:val="0"/>
        <w:spacing w:before="0" w:after="0"/>
        <w:ind w:left="720" w:right="0" w:firstLine="36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other communication that is an offer in the offering made by the undersigned registrant to the purchaser.</w:t>
      </w:r>
    </w:p>
    <w:p>
      <w:pPr>
        <w:pStyle w:val="TextBody"/>
        <w:bidi w:val="0"/>
        <w:spacing w:before="0" w:after="0"/>
        <w:ind w:left="72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(b)</w:t>
            </w:r>
          </w:p>
        </w:tc>
        <w:tc>
          <w:tcPr>
            <w:tcW w:w="9943" w:type="dxa"/>
            <w:tcBorders/>
            <w:vAlign w:val="center"/>
          </w:tcPr>
          <w:p>
            <w:pPr>
              <w:pStyle w:val="TableContents"/>
              <w:bidi w:val="0"/>
              <w:spacing w:before="0" w:after="283"/>
              <w:jc w:val="left"/>
              <w:rPr/>
            </w:pPr>
            <w:r>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i/>
              </w:rPr>
              <w:t>bona fide</w:t>
            </w:r>
            <w:r>
              <w:rPr/>
              <w:t xml:space="preserve"> offering thereof.</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(c)</w:t>
            </w:r>
          </w:p>
        </w:tc>
        <w:tc>
          <w:tcPr>
            <w:tcW w:w="9962" w:type="dxa"/>
            <w:tcBorders/>
            <w:vAlign w:val="center"/>
          </w:tcPr>
          <w:p>
            <w:pPr>
              <w:pStyle w:val="TableContents"/>
              <w:bidi w:val="0"/>
              <w:spacing w:before="0" w:after="283"/>
              <w:jc w:val="left"/>
              <w:rPr/>
            </w:pPr>
            <w:r>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their counsel the matter has been settled by controlling precedent, submit to a court of appropriate jurisdiction the question whether such indemnification by it is against public policy as expressed in the Act and will be governed by the final adjudication of such issue.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Reno, State of Nevada, on October 2, 2026.</w:t>
      </w:r>
    </w:p>
    <w:p>
      <w:pPr>
        <w:pStyle w:val="TextBody"/>
        <w:bidi w:val="0"/>
        <w:spacing w:before="0" w:after="0"/>
        <w:ind w:left="0" w:right="0" w:firstLine="360"/>
        <w:jc w:val="left"/>
        <w:rPr>
          <w:caps w:val="false"/>
          <w:smallCaps w:val="false"/>
        </w:rPr>
      </w:pPr>
      <w:r>
        <w:rPr>
          <w:caps w:val="false"/>
          <w:smallCaps w:val="false"/>
        </w:rPr>
        <w:t> </w:t>
      </w:r>
    </w:p>
    <w:tbl>
      <w:tblPr>
        <w:tblW w:w="4773" w:type="dxa"/>
        <w:jc w:val="left"/>
        <w:tblInd w:w="0" w:type="dxa"/>
        <w:tblLayout w:type="fixed"/>
        <w:tblCellMar>
          <w:top w:w="0" w:type="dxa"/>
          <w:left w:w="0" w:type="dxa"/>
          <w:bottom w:w="0" w:type="dxa"/>
          <w:right w:w="0" w:type="dxa"/>
        </w:tblCellMar>
      </w:tblPr>
      <w:tblGrid>
        <w:gridCol w:w="75"/>
        <w:gridCol w:w="517"/>
        <w:gridCol w:w="921"/>
        <w:gridCol w:w="3260"/>
      </w:tblGrid>
      <w:tr>
        <w:trPr/>
        <w:tc>
          <w:tcPr>
            <w:tcW w:w="75" w:type="dxa"/>
            <w:tcBorders/>
            <w:vAlign w:val="center"/>
          </w:tcPr>
          <w:p>
            <w:pPr>
              <w:pStyle w:val="TableContents"/>
              <w:bidi w:val="0"/>
              <w:spacing w:before="0" w:after="283"/>
              <w:jc w:val="left"/>
              <w:rPr/>
            </w:pPr>
            <w:r>
              <w:rPr/>
              <w:t> </w:t>
            </w:r>
          </w:p>
        </w:tc>
        <w:tc>
          <w:tcPr>
            <w:tcW w:w="4698" w:type="dxa"/>
            <w:gridSpan w:val="3"/>
            <w:tcBorders/>
            <w:vAlign w:val="center"/>
          </w:tcPr>
          <w:p>
            <w:pPr>
              <w:pStyle w:val="TableContents"/>
              <w:bidi w:val="0"/>
              <w:spacing w:before="0" w:after="283"/>
              <w:jc w:val="left"/>
              <w:rPr/>
            </w:pPr>
            <w:r>
              <w:rPr/>
              <w:t>FIGURE TECHNOLOGY SOLUTIONS, INC.</w:t>
              <w:br/>
              <w:t>(Registrant)</w:t>
            </w:r>
          </w:p>
        </w:tc>
      </w:tr>
      <w:tr>
        <w:trPr/>
        <w:tc>
          <w:tcPr>
            <w:tcW w:w="75" w:type="dxa"/>
            <w:tcBorders/>
            <w:vAlign w:val="center"/>
          </w:tcPr>
          <w:p>
            <w:pPr>
              <w:pStyle w:val="TableContents"/>
              <w:bidi w:val="0"/>
              <w:spacing w:before="0" w:after="283"/>
              <w:jc w:val="left"/>
              <w:rPr/>
            </w:pPr>
            <w:r>
              <w:rPr/>
              <w:t> </w:t>
            </w:r>
          </w:p>
        </w:tc>
        <w:tc>
          <w:tcPr>
            <w:tcW w:w="469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9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17" w:type="dxa"/>
            <w:tcBorders/>
            <w:vAlign w:val="center"/>
          </w:tcPr>
          <w:p>
            <w:pPr>
              <w:pStyle w:val="TableContents"/>
              <w:bidi w:val="0"/>
              <w:spacing w:before="0" w:after="283"/>
              <w:jc w:val="left"/>
              <w:rPr/>
            </w:pPr>
            <w:r>
              <w:rPr/>
              <w:t>By:</w:t>
            </w:r>
          </w:p>
        </w:tc>
        <w:tc>
          <w:tcPr>
            <w:tcW w:w="4181" w:type="dxa"/>
            <w:gridSpan w:val="2"/>
            <w:tcBorders>
              <w:bottom w:val="single" w:sz="8" w:space="0" w:color="000000"/>
            </w:tcBorders>
            <w:tcMar>
              <w:bottom w:w="28" w:type="dxa"/>
            </w:tcMar>
            <w:vAlign w:val="center"/>
          </w:tcPr>
          <w:p>
            <w:pPr>
              <w:pStyle w:val="TableContents"/>
              <w:bidi w:val="0"/>
              <w:spacing w:before="0" w:after="283"/>
              <w:jc w:val="left"/>
              <w:rPr/>
            </w:pPr>
            <w:r>
              <w:rPr/>
              <w:t>/s/ Michael Tannenbaum</w:t>
            </w:r>
          </w:p>
        </w:tc>
      </w:tr>
      <w:tr>
        <w:trPr/>
        <w:tc>
          <w:tcPr>
            <w:tcW w:w="75" w:type="dxa"/>
            <w:tcBorders/>
            <w:vAlign w:val="center"/>
          </w:tcPr>
          <w:p>
            <w:pPr>
              <w:pStyle w:val="TableContents"/>
              <w:bidi w:val="0"/>
              <w:spacing w:before="0" w:after="283"/>
              <w:jc w:val="left"/>
              <w:rPr/>
            </w:pPr>
            <w:r>
              <w:rPr/>
              <w:t> </w:t>
            </w:r>
          </w:p>
        </w:tc>
        <w:tc>
          <w:tcPr>
            <w:tcW w:w="517"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left"/>
              <w:rPr/>
            </w:pPr>
            <w:r>
              <w:rPr/>
              <w:t>Name:</w:t>
            </w:r>
          </w:p>
        </w:tc>
        <w:tc>
          <w:tcPr>
            <w:tcW w:w="3260" w:type="dxa"/>
            <w:tcBorders/>
            <w:vAlign w:val="center"/>
          </w:tcPr>
          <w:p>
            <w:pPr>
              <w:pStyle w:val="TableContents"/>
              <w:bidi w:val="0"/>
              <w:spacing w:before="0" w:after="283"/>
              <w:jc w:val="left"/>
              <w:rPr/>
            </w:pPr>
            <w:r>
              <w:rPr/>
              <w:t>Michael Tannenbaum</w:t>
            </w:r>
          </w:p>
        </w:tc>
      </w:tr>
      <w:tr>
        <w:trPr/>
        <w:tc>
          <w:tcPr>
            <w:tcW w:w="75" w:type="dxa"/>
            <w:tcBorders/>
            <w:vAlign w:val="center"/>
          </w:tcPr>
          <w:p>
            <w:pPr>
              <w:pStyle w:val="TableContents"/>
              <w:bidi w:val="0"/>
              <w:spacing w:before="0" w:after="283"/>
              <w:jc w:val="left"/>
              <w:rPr/>
            </w:pPr>
            <w:r>
              <w:rPr/>
              <w:t> </w:t>
            </w:r>
          </w:p>
        </w:tc>
        <w:tc>
          <w:tcPr>
            <w:tcW w:w="517"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left"/>
              <w:rPr/>
            </w:pPr>
            <w:r>
              <w:rPr/>
              <w:t>Title:</w:t>
            </w:r>
          </w:p>
        </w:tc>
        <w:tc>
          <w:tcPr>
            <w:tcW w:w="3260" w:type="dxa"/>
            <w:tcBorders/>
            <w:vAlign w:val="center"/>
          </w:tcPr>
          <w:p>
            <w:pPr>
              <w:pStyle w:val="TableContents"/>
              <w:bidi w:val="0"/>
              <w:spacing w:before="0" w:after="283"/>
              <w:jc w:val="left"/>
              <w:rPr/>
            </w:pPr>
            <w:r>
              <w:rPr/>
              <w:t>Chief Executive Officer</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POWER OF ATTORNEY</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person whose signature appears below constitutes and appoints Michael Tannenbaum and Macrina Kgil, and each of them, his or her true and lawful attorneys-in-fact and agents, with full power to act separately and full power of substitution and resubstitution, for him or her and in his or her name, place and stead, in any and all capacities, to sign any and all amendments (including post-effective amendments) to this registration statement and to file the same, with all exhibits thereto, and all other documents in connection therewith, with the Securities and Exchange Commission, granting unto each said attorney-in-fact and agent full power and authority to do and perform each and every act in person, hereby ratifying and confirming all that said attorneys-in-fact and agents or either of them or his or her or their substitute or substitutes may lawfully do or cause to be done by virtue hereof.</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registration statement has been signed by the following persons in the capacities, in the locations and on the dates indicated.</w:t>
      </w:r>
    </w:p>
    <w:p>
      <w:pPr>
        <w:pStyle w:val="TextBody"/>
        <w:bidi w:val="0"/>
        <w:spacing w:before="0" w:after="0"/>
        <w:ind w:left="0" w:right="0" w:firstLine="360"/>
        <w:jc w:val="left"/>
        <w:rPr>
          <w:caps w:val="false"/>
          <w:smallCaps w:val="false"/>
        </w:rPr>
      </w:pPr>
      <w:r>
        <w:rPr>
          <w:caps w:val="false"/>
          <w:smallCaps w:val="false"/>
        </w:rPr>
        <w:t> </w:t>
      </w:r>
    </w:p>
    <w:tbl>
      <w:tblPr>
        <w:tblW w:w="7860" w:type="dxa"/>
        <w:jc w:val="left"/>
        <w:tblInd w:w="0" w:type="dxa"/>
        <w:tblLayout w:type="fixed"/>
        <w:tblCellMar>
          <w:top w:w="0" w:type="dxa"/>
          <w:left w:w="0" w:type="dxa"/>
          <w:bottom w:w="0" w:type="dxa"/>
          <w:right w:w="0" w:type="dxa"/>
        </w:tblCellMar>
      </w:tblPr>
      <w:tblGrid>
        <w:gridCol w:w="2315"/>
        <w:gridCol w:w="3965"/>
        <w:gridCol w:w="1580"/>
      </w:tblGrid>
      <w:tr>
        <w:trPr/>
        <w:tc>
          <w:tcPr>
            <w:tcW w:w="2315" w:type="dxa"/>
            <w:tcBorders/>
            <w:vAlign w:val="center"/>
          </w:tcPr>
          <w:p>
            <w:pPr>
              <w:pStyle w:val="TableContents"/>
              <w:bidi w:val="0"/>
              <w:spacing w:before="0" w:after="283"/>
              <w:jc w:val="center"/>
              <w:rPr>
                <w:b/>
                <w:u w:val="single"/>
              </w:rPr>
            </w:pPr>
            <w:r>
              <w:rPr>
                <w:b/>
                <w:u w:val="single"/>
              </w:rPr>
              <w:t>Signature</w:t>
            </w:r>
          </w:p>
        </w:tc>
        <w:tc>
          <w:tcPr>
            <w:tcW w:w="3965" w:type="dxa"/>
            <w:tcBorders/>
            <w:vAlign w:val="center"/>
          </w:tcPr>
          <w:p>
            <w:pPr>
              <w:pStyle w:val="TableContents"/>
              <w:bidi w:val="0"/>
              <w:spacing w:before="0" w:after="283"/>
              <w:jc w:val="center"/>
              <w:rPr>
                <w:b/>
                <w:u w:val="single"/>
              </w:rPr>
            </w:pPr>
            <w:r>
              <w:rPr>
                <w:b/>
                <w:u w:val="single"/>
              </w:rPr>
              <w:t>Title</w:t>
            </w:r>
          </w:p>
        </w:tc>
        <w:tc>
          <w:tcPr>
            <w:tcW w:w="1580" w:type="dxa"/>
            <w:tcBorders/>
            <w:vAlign w:val="center"/>
          </w:tcPr>
          <w:p>
            <w:pPr>
              <w:pStyle w:val="TableContents"/>
              <w:bidi w:val="0"/>
              <w:spacing w:before="0" w:after="283"/>
              <w:jc w:val="center"/>
              <w:rPr>
                <w:b/>
                <w:u w:val="single"/>
              </w:rPr>
            </w:pPr>
            <w:r>
              <w:rPr>
                <w:b/>
                <w:u w:val="single"/>
              </w:rPr>
              <w:t>Date</w:t>
            </w:r>
          </w:p>
        </w:tc>
      </w:tr>
      <w:tr>
        <w:trPr/>
        <w:tc>
          <w:tcPr>
            <w:tcW w:w="2315" w:type="dxa"/>
            <w:tcBorders/>
            <w:vAlign w:val="center"/>
          </w:tcPr>
          <w:p>
            <w:pPr>
              <w:pStyle w:val="TableContents"/>
              <w:bidi w:val="0"/>
              <w:spacing w:before="0" w:after="283"/>
              <w:jc w:val="center"/>
              <w:rPr/>
            </w:pPr>
            <w:r>
              <w:rPr/>
              <w:t> </w:t>
            </w:r>
          </w:p>
        </w:tc>
        <w:tc>
          <w:tcPr>
            <w:tcW w:w="3965" w:type="dxa"/>
            <w:tcBorders/>
            <w:vAlign w:val="center"/>
          </w:tcPr>
          <w:p>
            <w:pPr>
              <w:pStyle w:val="TableContents"/>
              <w:bidi w:val="0"/>
              <w:spacing w:before="0" w:after="283"/>
              <w:jc w:val="center"/>
              <w:rPr/>
            </w:pPr>
            <w:r>
              <w:rPr/>
              <w:t> </w:t>
            </w:r>
          </w:p>
        </w:tc>
        <w:tc>
          <w:tcPr>
            <w:tcW w:w="1580" w:type="dxa"/>
            <w:tcBorders/>
            <w:vAlign w:val="center"/>
          </w:tcPr>
          <w:p>
            <w:pPr>
              <w:pStyle w:val="TableContents"/>
              <w:bidi w:val="0"/>
              <w:spacing w:before="0" w:after="283"/>
              <w:jc w:val="center"/>
              <w:rPr/>
            </w:pPr>
            <w:r>
              <w:rPr/>
              <w:t> </w:t>
            </w:r>
          </w:p>
        </w:tc>
      </w:tr>
      <w:tr>
        <w:trPr/>
        <w:tc>
          <w:tcPr>
            <w:tcW w:w="2315" w:type="dxa"/>
            <w:tcBorders>
              <w:bottom w:val="single" w:sz="8" w:space="0" w:color="000000"/>
            </w:tcBorders>
            <w:tcMar>
              <w:bottom w:w="28" w:type="dxa"/>
            </w:tcMar>
            <w:vAlign w:val="center"/>
          </w:tcPr>
          <w:p>
            <w:pPr>
              <w:pStyle w:val="TableContents"/>
              <w:bidi w:val="0"/>
              <w:spacing w:before="0" w:after="283"/>
              <w:jc w:val="center"/>
              <w:rPr/>
            </w:pPr>
            <w:r>
              <w:rPr/>
              <w:t>/s/ Michael Tannebaum</w:t>
            </w:r>
          </w:p>
        </w:tc>
        <w:tc>
          <w:tcPr>
            <w:tcW w:w="3965" w:type="dxa"/>
            <w:tcBorders/>
            <w:vAlign w:val="center"/>
          </w:tcPr>
          <w:p>
            <w:pPr>
              <w:pStyle w:val="TableContents"/>
              <w:bidi w:val="0"/>
              <w:spacing w:before="0" w:after="283"/>
              <w:jc w:val="center"/>
              <w:rPr/>
            </w:pPr>
            <w:r>
              <w:rPr/>
              <w:t>Chief Executive Officer and Director</w:t>
              <w:br/>
              <w:t>(Principal Executive Officer)</w:t>
            </w:r>
          </w:p>
        </w:tc>
        <w:tc>
          <w:tcPr>
            <w:tcW w:w="1580" w:type="dxa"/>
            <w:tcBorders/>
            <w:vAlign w:val="center"/>
          </w:tcPr>
          <w:p>
            <w:pPr>
              <w:pStyle w:val="TableContents"/>
              <w:bidi w:val="0"/>
              <w:spacing w:before="0" w:after="283"/>
              <w:jc w:val="center"/>
              <w:rPr/>
            </w:pPr>
            <w:r>
              <w:rPr/>
              <w:t>October 2, 2026</w:t>
            </w:r>
          </w:p>
        </w:tc>
      </w:tr>
      <w:tr>
        <w:trPr/>
        <w:tc>
          <w:tcPr>
            <w:tcW w:w="2315" w:type="dxa"/>
            <w:tcBorders/>
            <w:vAlign w:val="center"/>
          </w:tcPr>
          <w:p>
            <w:pPr>
              <w:pStyle w:val="TableContents"/>
              <w:bidi w:val="0"/>
              <w:spacing w:before="0" w:after="283"/>
              <w:jc w:val="center"/>
              <w:rPr/>
            </w:pPr>
            <w:r>
              <w:rPr/>
              <w:t>Michael Tannenbaum</w:t>
            </w:r>
          </w:p>
        </w:tc>
        <w:tc>
          <w:tcPr>
            <w:tcW w:w="3965" w:type="dxa"/>
            <w:tcBorders/>
            <w:vAlign w:val="center"/>
          </w:tcPr>
          <w:p>
            <w:pPr>
              <w:pStyle w:val="TableContents"/>
              <w:bidi w:val="0"/>
              <w:spacing w:before="0" w:after="283"/>
              <w:jc w:val="center"/>
              <w:rPr/>
            </w:pPr>
            <w:r>
              <w:rPr/>
              <w:t> </w:t>
            </w:r>
          </w:p>
        </w:tc>
        <w:tc>
          <w:tcPr>
            <w:tcW w:w="1580" w:type="dxa"/>
            <w:tcBorders/>
            <w:vAlign w:val="center"/>
          </w:tcPr>
          <w:p>
            <w:pPr>
              <w:pStyle w:val="TableContents"/>
              <w:bidi w:val="0"/>
              <w:spacing w:before="0" w:after="283"/>
              <w:jc w:val="center"/>
              <w:rPr/>
            </w:pPr>
            <w:r>
              <w:rPr/>
              <w:t> </w:t>
            </w:r>
          </w:p>
        </w:tc>
      </w:tr>
      <w:tr>
        <w:trPr/>
        <w:tc>
          <w:tcPr>
            <w:tcW w:w="2315" w:type="dxa"/>
            <w:tcBorders/>
            <w:vAlign w:val="center"/>
          </w:tcPr>
          <w:p>
            <w:pPr>
              <w:pStyle w:val="TableContents"/>
              <w:bidi w:val="0"/>
              <w:spacing w:before="0" w:after="283"/>
              <w:jc w:val="center"/>
              <w:rPr/>
            </w:pPr>
            <w:r>
              <w:rPr/>
              <w:t> </w:t>
            </w:r>
          </w:p>
        </w:tc>
        <w:tc>
          <w:tcPr>
            <w:tcW w:w="3965" w:type="dxa"/>
            <w:tcBorders/>
            <w:vAlign w:val="center"/>
          </w:tcPr>
          <w:p>
            <w:pPr>
              <w:pStyle w:val="TableContents"/>
              <w:bidi w:val="0"/>
              <w:spacing w:before="0" w:after="283"/>
              <w:jc w:val="center"/>
              <w:rPr/>
            </w:pPr>
            <w:r>
              <w:rPr/>
              <w:t> </w:t>
            </w:r>
          </w:p>
        </w:tc>
        <w:tc>
          <w:tcPr>
            <w:tcW w:w="1580" w:type="dxa"/>
            <w:tcBorders/>
            <w:vAlign w:val="center"/>
          </w:tcPr>
          <w:p>
            <w:pPr>
              <w:pStyle w:val="TableContents"/>
              <w:bidi w:val="0"/>
              <w:spacing w:before="0" w:after="283"/>
              <w:jc w:val="center"/>
              <w:rPr/>
            </w:pPr>
            <w:r>
              <w:rPr/>
              <w:t> </w:t>
            </w:r>
          </w:p>
        </w:tc>
      </w:tr>
      <w:tr>
        <w:trPr/>
        <w:tc>
          <w:tcPr>
            <w:tcW w:w="2315" w:type="dxa"/>
            <w:tcBorders>
              <w:bottom w:val="single" w:sz="8" w:space="0" w:color="000000"/>
            </w:tcBorders>
            <w:tcMar>
              <w:bottom w:w="28" w:type="dxa"/>
            </w:tcMar>
            <w:vAlign w:val="center"/>
          </w:tcPr>
          <w:p>
            <w:pPr>
              <w:pStyle w:val="TableContents"/>
              <w:bidi w:val="0"/>
              <w:spacing w:before="0" w:after="283"/>
              <w:jc w:val="center"/>
              <w:rPr/>
            </w:pPr>
            <w:r>
              <w:rPr/>
              <w:t>/s/ Macrina Kgil</w:t>
            </w:r>
          </w:p>
        </w:tc>
        <w:tc>
          <w:tcPr>
            <w:tcW w:w="3965" w:type="dxa"/>
            <w:tcBorders/>
            <w:vAlign w:val="center"/>
          </w:tcPr>
          <w:p>
            <w:pPr>
              <w:pStyle w:val="TableContents"/>
              <w:bidi w:val="0"/>
              <w:spacing w:before="0" w:after="283"/>
              <w:jc w:val="center"/>
              <w:rPr/>
            </w:pPr>
            <w:r>
              <w:rPr/>
              <w:t>Chief Financial Officer</w:t>
              <w:br/>
              <w:t xml:space="preserve">(Principal Financial Officer and Principal </w:t>
              <w:br/>
              <w:t>Accounting Officer)</w:t>
            </w:r>
          </w:p>
        </w:tc>
        <w:tc>
          <w:tcPr>
            <w:tcW w:w="1580" w:type="dxa"/>
            <w:tcBorders/>
            <w:vAlign w:val="center"/>
          </w:tcPr>
          <w:p>
            <w:pPr>
              <w:pStyle w:val="TableContents"/>
              <w:bidi w:val="0"/>
              <w:spacing w:before="0" w:after="283"/>
              <w:jc w:val="center"/>
              <w:rPr/>
            </w:pPr>
            <w:r>
              <w:rPr/>
              <w:t>October 2, 2026</w:t>
            </w:r>
          </w:p>
        </w:tc>
      </w:tr>
      <w:tr>
        <w:trPr/>
        <w:tc>
          <w:tcPr>
            <w:tcW w:w="2315" w:type="dxa"/>
            <w:tcBorders/>
            <w:vAlign w:val="center"/>
          </w:tcPr>
          <w:p>
            <w:pPr>
              <w:pStyle w:val="TableContents"/>
              <w:bidi w:val="0"/>
              <w:spacing w:before="0" w:after="283"/>
              <w:jc w:val="center"/>
              <w:rPr/>
            </w:pPr>
            <w:r>
              <w:rPr/>
              <w:t>Macrina Kgil</w:t>
            </w:r>
          </w:p>
        </w:tc>
        <w:tc>
          <w:tcPr>
            <w:tcW w:w="3965" w:type="dxa"/>
            <w:tcBorders/>
            <w:vAlign w:val="center"/>
          </w:tcPr>
          <w:p>
            <w:pPr>
              <w:pStyle w:val="TableContents"/>
              <w:bidi w:val="0"/>
              <w:spacing w:before="0" w:after="283"/>
              <w:jc w:val="center"/>
              <w:rPr/>
            </w:pPr>
            <w:r>
              <w:rPr/>
              <w:t> </w:t>
            </w:r>
          </w:p>
        </w:tc>
        <w:tc>
          <w:tcPr>
            <w:tcW w:w="1580" w:type="dxa"/>
            <w:tcBorders/>
            <w:vAlign w:val="center"/>
          </w:tcPr>
          <w:p>
            <w:pPr>
              <w:pStyle w:val="TableContents"/>
              <w:bidi w:val="0"/>
              <w:spacing w:before="0" w:after="283"/>
              <w:jc w:val="center"/>
              <w:rPr/>
            </w:pPr>
            <w:r>
              <w:rPr/>
              <w:t> </w:t>
            </w:r>
          </w:p>
        </w:tc>
      </w:tr>
      <w:tr>
        <w:trPr/>
        <w:tc>
          <w:tcPr>
            <w:tcW w:w="2315" w:type="dxa"/>
            <w:tcBorders/>
            <w:vAlign w:val="center"/>
          </w:tcPr>
          <w:p>
            <w:pPr>
              <w:pStyle w:val="TableContents"/>
              <w:bidi w:val="0"/>
              <w:spacing w:before="0" w:after="283"/>
              <w:jc w:val="center"/>
              <w:rPr/>
            </w:pPr>
            <w:r>
              <w:rPr/>
              <w:t> </w:t>
            </w:r>
          </w:p>
        </w:tc>
        <w:tc>
          <w:tcPr>
            <w:tcW w:w="3965" w:type="dxa"/>
            <w:tcBorders/>
            <w:vAlign w:val="center"/>
          </w:tcPr>
          <w:p>
            <w:pPr>
              <w:pStyle w:val="TableContents"/>
              <w:bidi w:val="0"/>
              <w:spacing w:before="0" w:after="283"/>
              <w:jc w:val="center"/>
              <w:rPr/>
            </w:pPr>
            <w:r>
              <w:rPr/>
              <w:t> </w:t>
            </w:r>
          </w:p>
        </w:tc>
        <w:tc>
          <w:tcPr>
            <w:tcW w:w="1580" w:type="dxa"/>
            <w:tcBorders/>
            <w:vAlign w:val="center"/>
          </w:tcPr>
          <w:p>
            <w:pPr>
              <w:pStyle w:val="TableContents"/>
              <w:bidi w:val="0"/>
              <w:spacing w:before="0" w:after="283"/>
              <w:jc w:val="center"/>
              <w:rPr/>
            </w:pPr>
            <w:r>
              <w:rPr/>
              <w:t> </w:t>
            </w:r>
          </w:p>
        </w:tc>
      </w:tr>
      <w:tr>
        <w:trPr/>
        <w:tc>
          <w:tcPr>
            <w:tcW w:w="2315" w:type="dxa"/>
            <w:tcBorders/>
            <w:vAlign w:val="center"/>
          </w:tcPr>
          <w:p>
            <w:pPr>
              <w:pStyle w:val="TableContents"/>
              <w:bidi w:val="0"/>
              <w:spacing w:before="0" w:after="283"/>
              <w:jc w:val="center"/>
              <w:rPr/>
            </w:pPr>
            <w:r>
              <w:rPr/>
              <w:t> </w:t>
            </w:r>
          </w:p>
        </w:tc>
        <w:tc>
          <w:tcPr>
            <w:tcW w:w="3965" w:type="dxa"/>
            <w:tcBorders/>
            <w:vAlign w:val="center"/>
          </w:tcPr>
          <w:p>
            <w:pPr>
              <w:pStyle w:val="TableContents"/>
              <w:bidi w:val="0"/>
              <w:spacing w:before="0" w:after="283"/>
              <w:jc w:val="center"/>
              <w:rPr/>
            </w:pPr>
            <w:r>
              <w:rPr/>
              <w:t> </w:t>
            </w:r>
          </w:p>
        </w:tc>
        <w:tc>
          <w:tcPr>
            <w:tcW w:w="1580" w:type="dxa"/>
            <w:tcBorders/>
            <w:vAlign w:val="center"/>
          </w:tcPr>
          <w:p>
            <w:pPr>
              <w:pStyle w:val="TableContents"/>
              <w:bidi w:val="0"/>
              <w:spacing w:before="0" w:after="283"/>
              <w:jc w:val="center"/>
              <w:rPr/>
            </w:pPr>
            <w:r>
              <w:rPr/>
              <w:t> </w:t>
            </w:r>
          </w:p>
        </w:tc>
      </w:tr>
      <w:tr>
        <w:trPr/>
        <w:tc>
          <w:tcPr>
            <w:tcW w:w="2315" w:type="dxa"/>
            <w:tcBorders>
              <w:bottom w:val="single" w:sz="8" w:space="0" w:color="000000"/>
            </w:tcBorders>
            <w:tcMar>
              <w:bottom w:w="28" w:type="dxa"/>
            </w:tcMar>
            <w:vAlign w:val="center"/>
          </w:tcPr>
          <w:p>
            <w:pPr>
              <w:pStyle w:val="TableContents"/>
              <w:bidi w:val="0"/>
              <w:spacing w:before="0" w:after="283"/>
              <w:jc w:val="center"/>
              <w:rPr/>
            </w:pPr>
            <w:r>
              <w:rPr/>
              <w:t>/s/ Michael Cagney</w:t>
            </w:r>
          </w:p>
        </w:tc>
        <w:tc>
          <w:tcPr>
            <w:tcW w:w="3965" w:type="dxa"/>
            <w:tcBorders/>
            <w:vAlign w:val="center"/>
          </w:tcPr>
          <w:p>
            <w:pPr>
              <w:pStyle w:val="TableContents"/>
              <w:bidi w:val="0"/>
              <w:spacing w:before="0" w:after="283"/>
              <w:jc w:val="center"/>
              <w:rPr/>
            </w:pPr>
            <w:r>
              <w:rPr/>
              <w:t>Executive Chairman of the Board</w:t>
            </w:r>
          </w:p>
        </w:tc>
        <w:tc>
          <w:tcPr>
            <w:tcW w:w="1580" w:type="dxa"/>
            <w:tcBorders/>
            <w:vAlign w:val="center"/>
          </w:tcPr>
          <w:p>
            <w:pPr>
              <w:pStyle w:val="TableContents"/>
              <w:bidi w:val="0"/>
              <w:spacing w:before="0" w:after="283"/>
              <w:jc w:val="center"/>
              <w:rPr/>
            </w:pPr>
            <w:r>
              <w:rPr/>
              <w:t>October 2, 2026</w:t>
            </w:r>
          </w:p>
        </w:tc>
      </w:tr>
      <w:tr>
        <w:trPr/>
        <w:tc>
          <w:tcPr>
            <w:tcW w:w="2315" w:type="dxa"/>
            <w:tcBorders/>
            <w:vAlign w:val="center"/>
          </w:tcPr>
          <w:p>
            <w:pPr>
              <w:pStyle w:val="TableContents"/>
              <w:bidi w:val="0"/>
              <w:spacing w:before="0" w:after="283"/>
              <w:jc w:val="center"/>
              <w:rPr/>
            </w:pPr>
            <w:r>
              <w:rPr/>
              <w:t>Michael Cagney</w:t>
            </w:r>
          </w:p>
        </w:tc>
        <w:tc>
          <w:tcPr>
            <w:tcW w:w="3965" w:type="dxa"/>
            <w:tcBorders/>
            <w:vAlign w:val="center"/>
          </w:tcPr>
          <w:p>
            <w:pPr>
              <w:pStyle w:val="TableContents"/>
              <w:bidi w:val="0"/>
              <w:spacing w:before="0" w:after="283"/>
              <w:jc w:val="center"/>
              <w:rPr/>
            </w:pPr>
            <w:r>
              <w:rPr/>
              <w:t> </w:t>
            </w:r>
          </w:p>
        </w:tc>
        <w:tc>
          <w:tcPr>
            <w:tcW w:w="1580" w:type="dxa"/>
            <w:tcBorders/>
            <w:vAlign w:val="center"/>
          </w:tcPr>
          <w:p>
            <w:pPr>
              <w:pStyle w:val="TableContents"/>
              <w:bidi w:val="0"/>
              <w:spacing w:before="0" w:after="283"/>
              <w:jc w:val="center"/>
              <w:rPr/>
            </w:pPr>
            <w:r>
              <w:rPr/>
              <w:t> </w:t>
            </w:r>
          </w:p>
        </w:tc>
      </w:tr>
      <w:tr>
        <w:trPr/>
        <w:tc>
          <w:tcPr>
            <w:tcW w:w="2315" w:type="dxa"/>
            <w:tcBorders/>
            <w:vAlign w:val="center"/>
          </w:tcPr>
          <w:p>
            <w:pPr>
              <w:pStyle w:val="TableContents"/>
              <w:bidi w:val="0"/>
              <w:spacing w:before="0" w:after="283"/>
              <w:jc w:val="center"/>
              <w:rPr/>
            </w:pPr>
            <w:r>
              <w:rPr/>
              <w:t> </w:t>
            </w:r>
          </w:p>
        </w:tc>
        <w:tc>
          <w:tcPr>
            <w:tcW w:w="3965" w:type="dxa"/>
            <w:tcBorders/>
            <w:vAlign w:val="center"/>
          </w:tcPr>
          <w:p>
            <w:pPr>
              <w:pStyle w:val="TableContents"/>
              <w:bidi w:val="0"/>
              <w:spacing w:before="0" w:after="283"/>
              <w:jc w:val="center"/>
              <w:rPr/>
            </w:pPr>
            <w:r>
              <w:rPr/>
              <w:t> </w:t>
            </w:r>
          </w:p>
        </w:tc>
        <w:tc>
          <w:tcPr>
            <w:tcW w:w="1580" w:type="dxa"/>
            <w:tcBorders/>
            <w:vAlign w:val="center"/>
          </w:tcPr>
          <w:p>
            <w:pPr>
              <w:pStyle w:val="TableContents"/>
              <w:bidi w:val="0"/>
              <w:spacing w:before="0" w:after="283"/>
              <w:jc w:val="center"/>
              <w:rPr/>
            </w:pPr>
            <w:r>
              <w:rPr/>
              <w:t> </w:t>
            </w:r>
          </w:p>
        </w:tc>
      </w:tr>
      <w:tr>
        <w:trPr/>
        <w:tc>
          <w:tcPr>
            <w:tcW w:w="2315" w:type="dxa"/>
            <w:tcBorders/>
            <w:vAlign w:val="center"/>
          </w:tcPr>
          <w:p>
            <w:pPr>
              <w:pStyle w:val="TableContents"/>
              <w:bidi w:val="0"/>
              <w:spacing w:before="0" w:after="283"/>
              <w:jc w:val="center"/>
              <w:rPr/>
            </w:pPr>
            <w:r>
              <w:rPr/>
              <w:t> </w:t>
            </w:r>
          </w:p>
        </w:tc>
        <w:tc>
          <w:tcPr>
            <w:tcW w:w="3965" w:type="dxa"/>
            <w:tcBorders/>
            <w:vAlign w:val="center"/>
          </w:tcPr>
          <w:p>
            <w:pPr>
              <w:pStyle w:val="TableContents"/>
              <w:bidi w:val="0"/>
              <w:spacing w:before="0" w:after="283"/>
              <w:jc w:val="center"/>
              <w:rPr/>
            </w:pPr>
            <w:r>
              <w:rPr/>
              <w:t> </w:t>
            </w:r>
          </w:p>
        </w:tc>
        <w:tc>
          <w:tcPr>
            <w:tcW w:w="1580" w:type="dxa"/>
            <w:tcBorders/>
            <w:vAlign w:val="center"/>
          </w:tcPr>
          <w:p>
            <w:pPr>
              <w:pStyle w:val="TableContents"/>
              <w:bidi w:val="0"/>
              <w:spacing w:before="0" w:after="283"/>
              <w:jc w:val="center"/>
              <w:rPr/>
            </w:pPr>
            <w:r>
              <w:rPr/>
              <w:t> </w:t>
            </w:r>
          </w:p>
        </w:tc>
      </w:tr>
      <w:tr>
        <w:trPr/>
        <w:tc>
          <w:tcPr>
            <w:tcW w:w="2315" w:type="dxa"/>
            <w:tcBorders>
              <w:bottom w:val="single" w:sz="8" w:space="0" w:color="000000"/>
            </w:tcBorders>
            <w:tcMar>
              <w:bottom w:w="28" w:type="dxa"/>
            </w:tcMar>
            <w:vAlign w:val="center"/>
          </w:tcPr>
          <w:p>
            <w:pPr>
              <w:pStyle w:val="TableContents"/>
              <w:bidi w:val="0"/>
              <w:spacing w:before="0" w:after="283"/>
              <w:jc w:val="center"/>
              <w:rPr/>
            </w:pPr>
            <w:r>
              <w:rPr/>
              <w:t>/s/ Adam Boyden</w:t>
            </w:r>
          </w:p>
        </w:tc>
        <w:tc>
          <w:tcPr>
            <w:tcW w:w="3965" w:type="dxa"/>
            <w:tcBorders/>
            <w:vAlign w:val="center"/>
          </w:tcPr>
          <w:p>
            <w:pPr>
              <w:pStyle w:val="TableContents"/>
              <w:bidi w:val="0"/>
              <w:spacing w:before="0" w:after="283"/>
              <w:jc w:val="center"/>
              <w:rPr/>
            </w:pPr>
            <w:r>
              <w:rPr/>
              <w:t>Director</w:t>
            </w:r>
          </w:p>
        </w:tc>
        <w:tc>
          <w:tcPr>
            <w:tcW w:w="1580" w:type="dxa"/>
            <w:tcBorders/>
            <w:vAlign w:val="center"/>
          </w:tcPr>
          <w:p>
            <w:pPr>
              <w:pStyle w:val="TableContents"/>
              <w:bidi w:val="0"/>
              <w:spacing w:before="0" w:after="283"/>
              <w:jc w:val="center"/>
              <w:rPr/>
            </w:pPr>
            <w:r>
              <w:rPr/>
              <w:t>October 2, 2026</w:t>
            </w:r>
          </w:p>
        </w:tc>
      </w:tr>
      <w:tr>
        <w:trPr/>
        <w:tc>
          <w:tcPr>
            <w:tcW w:w="2315" w:type="dxa"/>
            <w:tcBorders/>
            <w:vAlign w:val="center"/>
          </w:tcPr>
          <w:p>
            <w:pPr>
              <w:pStyle w:val="TableContents"/>
              <w:bidi w:val="0"/>
              <w:spacing w:before="0" w:after="283"/>
              <w:jc w:val="center"/>
              <w:rPr/>
            </w:pPr>
            <w:r>
              <w:rPr/>
              <w:t>Adam Boyden</w:t>
            </w:r>
          </w:p>
        </w:tc>
        <w:tc>
          <w:tcPr>
            <w:tcW w:w="3965" w:type="dxa"/>
            <w:tcBorders/>
            <w:vAlign w:val="center"/>
          </w:tcPr>
          <w:p>
            <w:pPr>
              <w:pStyle w:val="TableContents"/>
              <w:bidi w:val="0"/>
              <w:spacing w:before="0" w:after="283"/>
              <w:jc w:val="center"/>
              <w:rPr/>
            </w:pPr>
            <w:r>
              <w:rPr/>
              <w:t> </w:t>
            </w:r>
          </w:p>
        </w:tc>
        <w:tc>
          <w:tcPr>
            <w:tcW w:w="1580" w:type="dxa"/>
            <w:tcBorders/>
            <w:vAlign w:val="center"/>
          </w:tcPr>
          <w:p>
            <w:pPr>
              <w:pStyle w:val="TableContents"/>
              <w:bidi w:val="0"/>
              <w:spacing w:before="0" w:after="283"/>
              <w:jc w:val="center"/>
              <w:rPr/>
            </w:pPr>
            <w:r>
              <w:rPr/>
              <w:t> </w:t>
            </w:r>
          </w:p>
        </w:tc>
      </w:tr>
      <w:tr>
        <w:trPr/>
        <w:tc>
          <w:tcPr>
            <w:tcW w:w="2315" w:type="dxa"/>
            <w:tcBorders/>
            <w:vAlign w:val="center"/>
          </w:tcPr>
          <w:p>
            <w:pPr>
              <w:pStyle w:val="TableContents"/>
              <w:bidi w:val="0"/>
              <w:spacing w:before="0" w:after="283"/>
              <w:jc w:val="center"/>
              <w:rPr/>
            </w:pPr>
            <w:r>
              <w:rPr/>
              <w:t> </w:t>
            </w:r>
          </w:p>
        </w:tc>
        <w:tc>
          <w:tcPr>
            <w:tcW w:w="3965" w:type="dxa"/>
            <w:tcBorders/>
            <w:vAlign w:val="center"/>
          </w:tcPr>
          <w:p>
            <w:pPr>
              <w:pStyle w:val="TableContents"/>
              <w:bidi w:val="0"/>
              <w:spacing w:before="0" w:after="283"/>
              <w:jc w:val="center"/>
              <w:rPr/>
            </w:pPr>
            <w:r>
              <w:rPr/>
              <w:t> </w:t>
            </w:r>
          </w:p>
        </w:tc>
        <w:tc>
          <w:tcPr>
            <w:tcW w:w="1580" w:type="dxa"/>
            <w:tcBorders/>
            <w:vAlign w:val="center"/>
          </w:tcPr>
          <w:p>
            <w:pPr>
              <w:pStyle w:val="TableContents"/>
              <w:bidi w:val="0"/>
              <w:spacing w:before="0" w:after="283"/>
              <w:jc w:val="center"/>
              <w:rPr/>
            </w:pPr>
            <w:r>
              <w:rPr/>
              <w:t> </w:t>
            </w:r>
          </w:p>
        </w:tc>
      </w:tr>
      <w:tr>
        <w:trPr/>
        <w:tc>
          <w:tcPr>
            <w:tcW w:w="2315" w:type="dxa"/>
            <w:tcBorders/>
            <w:vAlign w:val="center"/>
          </w:tcPr>
          <w:p>
            <w:pPr>
              <w:pStyle w:val="TableContents"/>
              <w:bidi w:val="0"/>
              <w:spacing w:before="0" w:after="283"/>
              <w:jc w:val="center"/>
              <w:rPr/>
            </w:pPr>
            <w:r>
              <w:rPr/>
              <w:t> </w:t>
            </w:r>
          </w:p>
        </w:tc>
        <w:tc>
          <w:tcPr>
            <w:tcW w:w="3965" w:type="dxa"/>
            <w:tcBorders/>
            <w:vAlign w:val="center"/>
          </w:tcPr>
          <w:p>
            <w:pPr>
              <w:pStyle w:val="TableContents"/>
              <w:bidi w:val="0"/>
              <w:spacing w:before="0" w:after="283"/>
              <w:jc w:val="center"/>
              <w:rPr/>
            </w:pPr>
            <w:r>
              <w:rPr/>
              <w:t> </w:t>
            </w:r>
          </w:p>
        </w:tc>
        <w:tc>
          <w:tcPr>
            <w:tcW w:w="1580" w:type="dxa"/>
            <w:tcBorders/>
            <w:vAlign w:val="center"/>
          </w:tcPr>
          <w:p>
            <w:pPr>
              <w:pStyle w:val="TableContents"/>
              <w:bidi w:val="0"/>
              <w:spacing w:before="0" w:after="283"/>
              <w:jc w:val="center"/>
              <w:rPr/>
            </w:pPr>
            <w:r>
              <w:rPr/>
              <w:t> </w:t>
            </w:r>
          </w:p>
        </w:tc>
      </w:tr>
      <w:tr>
        <w:trPr/>
        <w:tc>
          <w:tcPr>
            <w:tcW w:w="2315" w:type="dxa"/>
            <w:tcBorders>
              <w:bottom w:val="single" w:sz="8" w:space="0" w:color="000000"/>
            </w:tcBorders>
            <w:tcMar>
              <w:bottom w:w="28" w:type="dxa"/>
            </w:tcMar>
            <w:vAlign w:val="center"/>
          </w:tcPr>
          <w:p>
            <w:pPr>
              <w:pStyle w:val="TableContents"/>
              <w:bidi w:val="0"/>
              <w:spacing w:before="0" w:after="283"/>
              <w:jc w:val="center"/>
              <w:rPr/>
            </w:pPr>
            <w:r>
              <w:rPr/>
              <w:t>/s/ David Katsujin Chao</w:t>
            </w:r>
          </w:p>
        </w:tc>
        <w:tc>
          <w:tcPr>
            <w:tcW w:w="3965" w:type="dxa"/>
            <w:tcBorders/>
            <w:vAlign w:val="center"/>
          </w:tcPr>
          <w:p>
            <w:pPr>
              <w:pStyle w:val="TableContents"/>
              <w:bidi w:val="0"/>
              <w:spacing w:before="0" w:after="283"/>
              <w:jc w:val="center"/>
              <w:rPr/>
            </w:pPr>
            <w:r>
              <w:rPr/>
              <w:t>Director</w:t>
            </w:r>
          </w:p>
        </w:tc>
        <w:tc>
          <w:tcPr>
            <w:tcW w:w="1580" w:type="dxa"/>
            <w:tcBorders/>
            <w:vAlign w:val="center"/>
          </w:tcPr>
          <w:p>
            <w:pPr>
              <w:pStyle w:val="TableContents"/>
              <w:bidi w:val="0"/>
              <w:spacing w:before="0" w:after="283"/>
              <w:jc w:val="center"/>
              <w:rPr/>
            </w:pPr>
            <w:r>
              <w:rPr/>
              <w:t>October 2, 2026</w:t>
            </w:r>
          </w:p>
        </w:tc>
      </w:tr>
      <w:tr>
        <w:trPr/>
        <w:tc>
          <w:tcPr>
            <w:tcW w:w="2315" w:type="dxa"/>
            <w:tcBorders/>
            <w:vAlign w:val="center"/>
          </w:tcPr>
          <w:p>
            <w:pPr>
              <w:pStyle w:val="TableContents"/>
              <w:bidi w:val="0"/>
              <w:spacing w:before="0" w:after="283"/>
              <w:jc w:val="center"/>
              <w:rPr/>
            </w:pPr>
            <w:r>
              <w:rPr/>
              <w:t>David Katsujin Chao</w:t>
            </w:r>
          </w:p>
        </w:tc>
        <w:tc>
          <w:tcPr>
            <w:tcW w:w="3965" w:type="dxa"/>
            <w:tcBorders/>
            <w:vAlign w:val="center"/>
          </w:tcPr>
          <w:p>
            <w:pPr>
              <w:pStyle w:val="TableContents"/>
              <w:bidi w:val="0"/>
              <w:spacing w:before="0" w:after="283"/>
              <w:jc w:val="center"/>
              <w:rPr/>
            </w:pPr>
            <w:r>
              <w:rPr/>
              <w:t> </w:t>
            </w:r>
          </w:p>
        </w:tc>
        <w:tc>
          <w:tcPr>
            <w:tcW w:w="1580" w:type="dxa"/>
            <w:tcBorders/>
            <w:vAlign w:val="center"/>
          </w:tcPr>
          <w:p>
            <w:pPr>
              <w:pStyle w:val="TableContents"/>
              <w:bidi w:val="0"/>
              <w:spacing w:before="0" w:after="283"/>
              <w:jc w:val="center"/>
              <w:rPr/>
            </w:pPr>
            <w:r>
              <w:rPr/>
              <w:t> </w:t>
            </w:r>
          </w:p>
        </w:tc>
      </w:tr>
      <w:tr>
        <w:trPr/>
        <w:tc>
          <w:tcPr>
            <w:tcW w:w="2315" w:type="dxa"/>
            <w:tcBorders/>
            <w:vAlign w:val="center"/>
          </w:tcPr>
          <w:p>
            <w:pPr>
              <w:pStyle w:val="TableContents"/>
              <w:bidi w:val="0"/>
              <w:spacing w:before="0" w:after="283"/>
              <w:jc w:val="center"/>
              <w:rPr/>
            </w:pPr>
            <w:r>
              <w:rPr/>
              <w:t> </w:t>
            </w:r>
          </w:p>
        </w:tc>
        <w:tc>
          <w:tcPr>
            <w:tcW w:w="3965" w:type="dxa"/>
            <w:tcBorders/>
            <w:vAlign w:val="center"/>
          </w:tcPr>
          <w:p>
            <w:pPr>
              <w:pStyle w:val="TableContents"/>
              <w:bidi w:val="0"/>
              <w:spacing w:before="0" w:after="283"/>
              <w:jc w:val="center"/>
              <w:rPr/>
            </w:pPr>
            <w:r>
              <w:rPr/>
              <w:t> </w:t>
            </w:r>
          </w:p>
        </w:tc>
        <w:tc>
          <w:tcPr>
            <w:tcW w:w="1580" w:type="dxa"/>
            <w:tcBorders/>
            <w:vAlign w:val="center"/>
          </w:tcPr>
          <w:p>
            <w:pPr>
              <w:pStyle w:val="TableContents"/>
              <w:bidi w:val="0"/>
              <w:spacing w:before="0" w:after="283"/>
              <w:jc w:val="center"/>
              <w:rPr/>
            </w:pPr>
            <w:r>
              <w:rPr/>
              <w:t> </w:t>
            </w:r>
          </w:p>
        </w:tc>
      </w:tr>
      <w:tr>
        <w:trPr/>
        <w:tc>
          <w:tcPr>
            <w:tcW w:w="2315" w:type="dxa"/>
            <w:tcBorders/>
            <w:vAlign w:val="center"/>
          </w:tcPr>
          <w:p>
            <w:pPr>
              <w:pStyle w:val="TableContents"/>
              <w:bidi w:val="0"/>
              <w:spacing w:before="0" w:after="283"/>
              <w:jc w:val="center"/>
              <w:rPr/>
            </w:pPr>
            <w:r>
              <w:rPr/>
              <w:t> </w:t>
            </w:r>
          </w:p>
        </w:tc>
        <w:tc>
          <w:tcPr>
            <w:tcW w:w="3965" w:type="dxa"/>
            <w:tcBorders/>
            <w:vAlign w:val="center"/>
          </w:tcPr>
          <w:p>
            <w:pPr>
              <w:pStyle w:val="TableContents"/>
              <w:bidi w:val="0"/>
              <w:spacing w:before="0" w:after="283"/>
              <w:jc w:val="center"/>
              <w:rPr/>
            </w:pPr>
            <w:r>
              <w:rPr/>
              <w:t> </w:t>
            </w:r>
          </w:p>
        </w:tc>
        <w:tc>
          <w:tcPr>
            <w:tcW w:w="1580" w:type="dxa"/>
            <w:tcBorders/>
            <w:vAlign w:val="center"/>
          </w:tcPr>
          <w:p>
            <w:pPr>
              <w:pStyle w:val="TableContents"/>
              <w:bidi w:val="0"/>
              <w:spacing w:before="0" w:after="283"/>
              <w:jc w:val="center"/>
              <w:rPr/>
            </w:pPr>
            <w:r>
              <w:rPr/>
              <w:t> </w:t>
            </w:r>
          </w:p>
        </w:tc>
      </w:tr>
      <w:tr>
        <w:trPr/>
        <w:tc>
          <w:tcPr>
            <w:tcW w:w="2315" w:type="dxa"/>
            <w:tcBorders>
              <w:bottom w:val="single" w:sz="8" w:space="0" w:color="000000"/>
            </w:tcBorders>
            <w:tcMar>
              <w:bottom w:w="28" w:type="dxa"/>
            </w:tcMar>
            <w:vAlign w:val="center"/>
          </w:tcPr>
          <w:p>
            <w:pPr>
              <w:pStyle w:val="TableContents"/>
              <w:bidi w:val="0"/>
              <w:spacing w:before="0" w:after="283"/>
              <w:jc w:val="center"/>
              <w:rPr/>
            </w:pPr>
            <w:r>
              <w:rPr/>
              <w:t>/s/ Lesley Goldwasser</w:t>
            </w:r>
          </w:p>
        </w:tc>
        <w:tc>
          <w:tcPr>
            <w:tcW w:w="3965" w:type="dxa"/>
            <w:tcBorders/>
            <w:vAlign w:val="center"/>
          </w:tcPr>
          <w:p>
            <w:pPr>
              <w:pStyle w:val="TableContents"/>
              <w:bidi w:val="0"/>
              <w:spacing w:before="0" w:after="283"/>
              <w:jc w:val="center"/>
              <w:rPr/>
            </w:pPr>
            <w:r>
              <w:rPr/>
              <w:t>Director</w:t>
            </w:r>
          </w:p>
        </w:tc>
        <w:tc>
          <w:tcPr>
            <w:tcW w:w="1580" w:type="dxa"/>
            <w:tcBorders/>
            <w:vAlign w:val="center"/>
          </w:tcPr>
          <w:p>
            <w:pPr>
              <w:pStyle w:val="TableContents"/>
              <w:bidi w:val="0"/>
              <w:spacing w:before="0" w:after="283"/>
              <w:jc w:val="center"/>
              <w:rPr/>
            </w:pPr>
            <w:r>
              <w:rPr/>
              <w:t>October 2, 2026</w:t>
            </w:r>
          </w:p>
        </w:tc>
      </w:tr>
      <w:tr>
        <w:trPr/>
        <w:tc>
          <w:tcPr>
            <w:tcW w:w="2315" w:type="dxa"/>
            <w:tcBorders/>
            <w:vAlign w:val="center"/>
          </w:tcPr>
          <w:p>
            <w:pPr>
              <w:pStyle w:val="TableContents"/>
              <w:bidi w:val="0"/>
              <w:spacing w:before="0" w:after="283"/>
              <w:jc w:val="center"/>
              <w:rPr/>
            </w:pPr>
            <w:r>
              <w:rPr/>
              <w:t>Lesley Goldwasser</w:t>
            </w:r>
          </w:p>
        </w:tc>
        <w:tc>
          <w:tcPr>
            <w:tcW w:w="3965" w:type="dxa"/>
            <w:tcBorders/>
            <w:vAlign w:val="center"/>
          </w:tcPr>
          <w:p>
            <w:pPr>
              <w:pStyle w:val="TableContents"/>
              <w:bidi w:val="0"/>
              <w:spacing w:before="0" w:after="283"/>
              <w:jc w:val="center"/>
              <w:rPr/>
            </w:pPr>
            <w:r>
              <w:rPr/>
              <w:t> </w:t>
            </w:r>
          </w:p>
        </w:tc>
        <w:tc>
          <w:tcPr>
            <w:tcW w:w="1580" w:type="dxa"/>
            <w:tcBorders/>
            <w:vAlign w:val="center"/>
          </w:tcPr>
          <w:p>
            <w:pPr>
              <w:pStyle w:val="TableContents"/>
              <w:bidi w:val="0"/>
              <w:spacing w:before="0" w:after="283"/>
              <w:jc w:val="center"/>
              <w:rPr/>
            </w:pPr>
            <w:r>
              <w:rPr/>
              <w:t> </w:t>
            </w:r>
          </w:p>
        </w:tc>
      </w:tr>
      <w:tr>
        <w:trPr/>
        <w:tc>
          <w:tcPr>
            <w:tcW w:w="2315" w:type="dxa"/>
            <w:tcBorders/>
            <w:vAlign w:val="center"/>
          </w:tcPr>
          <w:p>
            <w:pPr>
              <w:pStyle w:val="TableContents"/>
              <w:bidi w:val="0"/>
              <w:spacing w:before="0" w:after="283"/>
              <w:jc w:val="center"/>
              <w:rPr/>
            </w:pPr>
            <w:r>
              <w:rPr/>
              <w:t> </w:t>
            </w:r>
          </w:p>
        </w:tc>
        <w:tc>
          <w:tcPr>
            <w:tcW w:w="3965" w:type="dxa"/>
            <w:tcBorders/>
            <w:vAlign w:val="center"/>
          </w:tcPr>
          <w:p>
            <w:pPr>
              <w:pStyle w:val="TableContents"/>
              <w:bidi w:val="0"/>
              <w:spacing w:before="0" w:after="283"/>
              <w:jc w:val="center"/>
              <w:rPr/>
            </w:pPr>
            <w:r>
              <w:rPr/>
              <w:t> </w:t>
            </w:r>
          </w:p>
        </w:tc>
        <w:tc>
          <w:tcPr>
            <w:tcW w:w="1580" w:type="dxa"/>
            <w:tcBorders/>
            <w:vAlign w:val="center"/>
          </w:tcPr>
          <w:p>
            <w:pPr>
              <w:pStyle w:val="TableContents"/>
              <w:bidi w:val="0"/>
              <w:spacing w:before="0" w:after="283"/>
              <w:jc w:val="center"/>
              <w:rPr/>
            </w:pPr>
            <w:r>
              <w:rPr/>
              <w:t> </w:t>
            </w:r>
          </w:p>
        </w:tc>
      </w:tr>
      <w:tr>
        <w:trPr/>
        <w:tc>
          <w:tcPr>
            <w:tcW w:w="2315" w:type="dxa"/>
            <w:tcBorders/>
            <w:vAlign w:val="center"/>
          </w:tcPr>
          <w:p>
            <w:pPr>
              <w:pStyle w:val="TableContents"/>
              <w:bidi w:val="0"/>
              <w:spacing w:before="0" w:after="283"/>
              <w:jc w:val="center"/>
              <w:rPr/>
            </w:pPr>
            <w:r>
              <w:rPr/>
              <w:t> </w:t>
            </w:r>
          </w:p>
        </w:tc>
        <w:tc>
          <w:tcPr>
            <w:tcW w:w="3965" w:type="dxa"/>
            <w:tcBorders/>
            <w:vAlign w:val="center"/>
          </w:tcPr>
          <w:p>
            <w:pPr>
              <w:pStyle w:val="TableContents"/>
              <w:bidi w:val="0"/>
              <w:spacing w:before="0" w:after="283"/>
              <w:jc w:val="center"/>
              <w:rPr/>
            </w:pPr>
            <w:r>
              <w:rPr/>
              <w:t> </w:t>
            </w:r>
          </w:p>
        </w:tc>
        <w:tc>
          <w:tcPr>
            <w:tcW w:w="1580" w:type="dxa"/>
            <w:tcBorders/>
            <w:vAlign w:val="center"/>
          </w:tcPr>
          <w:p>
            <w:pPr>
              <w:pStyle w:val="TableContents"/>
              <w:bidi w:val="0"/>
              <w:spacing w:before="0" w:after="283"/>
              <w:jc w:val="center"/>
              <w:rPr/>
            </w:pPr>
            <w:r>
              <w:rPr/>
              <w:t> </w:t>
            </w:r>
          </w:p>
        </w:tc>
      </w:tr>
      <w:tr>
        <w:trPr/>
        <w:tc>
          <w:tcPr>
            <w:tcW w:w="2315" w:type="dxa"/>
            <w:tcBorders>
              <w:bottom w:val="single" w:sz="8" w:space="0" w:color="000000"/>
            </w:tcBorders>
            <w:tcMar>
              <w:bottom w:w="28" w:type="dxa"/>
            </w:tcMar>
            <w:vAlign w:val="center"/>
          </w:tcPr>
          <w:p>
            <w:pPr>
              <w:pStyle w:val="TableContents"/>
              <w:bidi w:val="0"/>
              <w:spacing w:before="0" w:after="283"/>
              <w:jc w:val="center"/>
              <w:rPr/>
            </w:pPr>
            <w:r>
              <w:rPr/>
              <w:t>/s/ Sachin Jaitly</w:t>
            </w:r>
          </w:p>
        </w:tc>
        <w:tc>
          <w:tcPr>
            <w:tcW w:w="3965" w:type="dxa"/>
            <w:tcBorders/>
            <w:vAlign w:val="center"/>
          </w:tcPr>
          <w:p>
            <w:pPr>
              <w:pStyle w:val="TableContents"/>
              <w:bidi w:val="0"/>
              <w:spacing w:before="0" w:after="283"/>
              <w:jc w:val="center"/>
              <w:rPr/>
            </w:pPr>
            <w:r>
              <w:rPr/>
              <w:t>Director</w:t>
            </w:r>
          </w:p>
        </w:tc>
        <w:tc>
          <w:tcPr>
            <w:tcW w:w="1580" w:type="dxa"/>
            <w:tcBorders/>
            <w:vAlign w:val="center"/>
          </w:tcPr>
          <w:p>
            <w:pPr>
              <w:pStyle w:val="TableContents"/>
              <w:bidi w:val="0"/>
              <w:spacing w:before="0" w:after="283"/>
              <w:jc w:val="center"/>
              <w:rPr/>
            </w:pPr>
            <w:r>
              <w:rPr/>
              <w:t>October 2, 2026</w:t>
            </w:r>
          </w:p>
        </w:tc>
      </w:tr>
      <w:tr>
        <w:trPr/>
        <w:tc>
          <w:tcPr>
            <w:tcW w:w="2315" w:type="dxa"/>
            <w:tcBorders/>
            <w:vAlign w:val="center"/>
          </w:tcPr>
          <w:p>
            <w:pPr>
              <w:pStyle w:val="TableContents"/>
              <w:bidi w:val="0"/>
              <w:spacing w:before="0" w:after="283"/>
              <w:jc w:val="center"/>
              <w:rPr/>
            </w:pPr>
            <w:r>
              <w:rPr/>
              <w:t>Sachin Jaitly</w:t>
            </w:r>
          </w:p>
        </w:tc>
        <w:tc>
          <w:tcPr>
            <w:tcW w:w="3965" w:type="dxa"/>
            <w:tcBorders/>
            <w:vAlign w:val="center"/>
          </w:tcPr>
          <w:p>
            <w:pPr>
              <w:pStyle w:val="TableContents"/>
              <w:bidi w:val="0"/>
              <w:spacing w:before="0" w:after="283"/>
              <w:jc w:val="center"/>
              <w:rPr/>
            </w:pPr>
            <w:r>
              <w:rPr/>
              <w:t> </w:t>
            </w:r>
          </w:p>
        </w:tc>
        <w:tc>
          <w:tcPr>
            <w:tcW w:w="1580" w:type="dxa"/>
            <w:tcBorders/>
            <w:vAlign w:val="center"/>
          </w:tcPr>
          <w:p>
            <w:pPr>
              <w:pStyle w:val="TableContents"/>
              <w:bidi w:val="0"/>
              <w:spacing w:before="0" w:after="283"/>
              <w:jc w:val="center"/>
              <w:rPr/>
            </w:pPr>
            <w:r>
              <w:rPr/>
              <w:t> </w:t>
            </w:r>
          </w:p>
        </w:tc>
      </w:tr>
      <w:tr>
        <w:trPr/>
        <w:tc>
          <w:tcPr>
            <w:tcW w:w="2315" w:type="dxa"/>
            <w:tcBorders/>
            <w:vAlign w:val="center"/>
          </w:tcPr>
          <w:p>
            <w:pPr>
              <w:pStyle w:val="TableContents"/>
              <w:bidi w:val="0"/>
              <w:spacing w:before="0" w:after="283"/>
              <w:jc w:val="center"/>
              <w:rPr/>
            </w:pPr>
            <w:r>
              <w:rPr/>
              <w:t> </w:t>
            </w:r>
          </w:p>
        </w:tc>
        <w:tc>
          <w:tcPr>
            <w:tcW w:w="3965" w:type="dxa"/>
            <w:tcBorders/>
            <w:vAlign w:val="center"/>
          </w:tcPr>
          <w:p>
            <w:pPr>
              <w:pStyle w:val="TableContents"/>
              <w:bidi w:val="0"/>
              <w:spacing w:before="0" w:after="283"/>
              <w:jc w:val="center"/>
              <w:rPr/>
            </w:pPr>
            <w:r>
              <w:rPr/>
              <w:t> </w:t>
            </w:r>
          </w:p>
        </w:tc>
        <w:tc>
          <w:tcPr>
            <w:tcW w:w="1580" w:type="dxa"/>
            <w:tcBorders/>
            <w:vAlign w:val="center"/>
          </w:tcPr>
          <w:p>
            <w:pPr>
              <w:pStyle w:val="TableContents"/>
              <w:bidi w:val="0"/>
              <w:spacing w:before="0" w:after="283"/>
              <w:jc w:val="center"/>
              <w:rPr/>
            </w:pPr>
            <w:r>
              <w:rPr/>
              <w:t> </w:t>
            </w:r>
          </w:p>
        </w:tc>
      </w:tr>
      <w:tr>
        <w:trPr/>
        <w:tc>
          <w:tcPr>
            <w:tcW w:w="2315" w:type="dxa"/>
            <w:tcBorders/>
            <w:vAlign w:val="center"/>
          </w:tcPr>
          <w:p>
            <w:pPr>
              <w:pStyle w:val="TableContents"/>
              <w:bidi w:val="0"/>
              <w:spacing w:before="0" w:after="283"/>
              <w:jc w:val="center"/>
              <w:rPr/>
            </w:pPr>
            <w:r>
              <w:rPr/>
              <w:t> </w:t>
            </w:r>
          </w:p>
        </w:tc>
        <w:tc>
          <w:tcPr>
            <w:tcW w:w="3965" w:type="dxa"/>
            <w:tcBorders/>
            <w:vAlign w:val="center"/>
          </w:tcPr>
          <w:p>
            <w:pPr>
              <w:pStyle w:val="TableContents"/>
              <w:bidi w:val="0"/>
              <w:spacing w:before="0" w:after="283"/>
              <w:jc w:val="center"/>
              <w:rPr/>
            </w:pPr>
            <w:r>
              <w:rPr/>
              <w:t> </w:t>
            </w:r>
          </w:p>
        </w:tc>
        <w:tc>
          <w:tcPr>
            <w:tcW w:w="1580" w:type="dxa"/>
            <w:tcBorders/>
            <w:vAlign w:val="center"/>
          </w:tcPr>
          <w:p>
            <w:pPr>
              <w:pStyle w:val="TableContents"/>
              <w:bidi w:val="0"/>
              <w:spacing w:before="0" w:after="283"/>
              <w:jc w:val="center"/>
              <w:rPr/>
            </w:pPr>
            <w:r>
              <w:rPr/>
              <w:t> </w:t>
            </w:r>
          </w:p>
        </w:tc>
      </w:tr>
      <w:tr>
        <w:trPr/>
        <w:tc>
          <w:tcPr>
            <w:tcW w:w="2315" w:type="dxa"/>
            <w:tcBorders>
              <w:bottom w:val="single" w:sz="8" w:space="0" w:color="000000"/>
            </w:tcBorders>
            <w:tcMar>
              <w:bottom w:w="28" w:type="dxa"/>
            </w:tcMar>
            <w:vAlign w:val="center"/>
          </w:tcPr>
          <w:p>
            <w:pPr>
              <w:pStyle w:val="TableContents"/>
              <w:bidi w:val="0"/>
              <w:spacing w:before="0" w:after="283"/>
              <w:jc w:val="center"/>
              <w:rPr/>
            </w:pPr>
            <w:r>
              <w:rPr/>
              <w:t>/s/ Daniel Morehead</w:t>
            </w:r>
          </w:p>
        </w:tc>
        <w:tc>
          <w:tcPr>
            <w:tcW w:w="3965" w:type="dxa"/>
            <w:tcBorders/>
            <w:vAlign w:val="center"/>
          </w:tcPr>
          <w:p>
            <w:pPr>
              <w:pStyle w:val="TableContents"/>
              <w:bidi w:val="0"/>
              <w:spacing w:before="0" w:after="283"/>
              <w:jc w:val="center"/>
              <w:rPr/>
            </w:pPr>
            <w:r>
              <w:rPr/>
              <w:t>Director</w:t>
            </w:r>
          </w:p>
        </w:tc>
        <w:tc>
          <w:tcPr>
            <w:tcW w:w="1580" w:type="dxa"/>
            <w:tcBorders/>
            <w:vAlign w:val="center"/>
          </w:tcPr>
          <w:p>
            <w:pPr>
              <w:pStyle w:val="TableContents"/>
              <w:bidi w:val="0"/>
              <w:spacing w:before="0" w:after="283"/>
              <w:jc w:val="center"/>
              <w:rPr/>
            </w:pPr>
            <w:r>
              <w:rPr/>
              <w:t>October 2, 2026</w:t>
            </w:r>
          </w:p>
        </w:tc>
      </w:tr>
      <w:tr>
        <w:trPr/>
        <w:tc>
          <w:tcPr>
            <w:tcW w:w="2315" w:type="dxa"/>
            <w:tcBorders/>
            <w:vAlign w:val="center"/>
          </w:tcPr>
          <w:p>
            <w:pPr>
              <w:pStyle w:val="TableContents"/>
              <w:bidi w:val="0"/>
              <w:spacing w:before="0" w:after="283"/>
              <w:jc w:val="center"/>
              <w:rPr/>
            </w:pPr>
            <w:r>
              <w:rPr/>
              <w:t>Daniel Morehead</w:t>
            </w:r>
          </w:p>
        </w:tc>
        <w:tc>
          <w:tcPr>
            <w:tcW w:w="3965" w:type="dxa"/>
            <w:tcBorders/>
            <w:vAlign w:val="center"/>
          </w:tcPr>
          <w:p>
            <w:pPr>
              <w:pStyle w:val="TableContents"/>
              <w:bidi w:val="0"/>
              <w:spacing w:before="0" w:after="283"/>
              <w:jc w:val="center"/>
              <w:rPr/>
            </w:pPr>
            <w:r>
              <w:rPr/>
              <w:t> </w:t>
            </w:r>
          </w:p>
        </w:tc>
        <w:tc>
          <w:tcPr>
            <w:tcW w:w="1580" w:type="dxa"/>
            <w:tcBorders/>
            <w:vAlign w:val="center"/>
          </w:tcPr>
          <w:p>
            <w:pPr>
              <w:pStyle w:val="TableContents"/>
              <w:bidi w:val="0"/>
              <w:spacing w:before="0" w:after="283"/>
              <w:jc w:val="center"/>
              <w:rPr/>
            </w:pPr>
            <w:r>
              <w:rPr/>
              <w:t> </w:t>
            </w:r>
          </w:p>
        </w:tc>
      </w:tr>
      <w:tr>
        <w:trPr/>
        <w:tc>
          <w:tcPr>
            <w:tcW w:w="2315" w:type="dxa"/>
            <w:tcBorders/>
            <w:vAlign w:val="center"/>
          </w:tcPr>
          <w:p>
            <w:pPr>
              <w:pStyle w:val="TableContents"/>
              <w:bidi w:val="0"/>
              <w:spacing w:before="0" w:after="283"/>
              <w:jc w:val="center"/>
              <w:rPr/>
            </w:pPr>
            <w:r>
              <w:rPr/>
              <w:t> </w:t>
            </w:r>
          </w:p>
        </w:tc>
        <w:tc>
          <w:tcPr>
            <w:tcW w:w="3965" w:type="dxa"/>
            <w:tcBorders/>
            <w:vAlign w:val="center"/>
          </w:tcPr>
          <w:p>
            <w:pPr>
              <w:pStyle w:val="TableContents"/>
              <w:bidi w:val="0"/>
              <w:spacing w:before="0" w:after="283"/>
              <w:jc w:val="center"/>
              <w:rPr/>
            </w:pPr>
            <w:r>
              <w:rPr/>
              <w:t> </w:t>
            </w:r>
          </w:p>
        </w:tc>
        <w:tc>
          <w:tcPr>
            <w:tcW w:w="1580" w:type="dxa"/>
            <w:tcBorders/>
            <w:vAlign w:val="center"/>
          </w:tcPr>
          <w:p>
            <w:pPr>
              <w:pStyle w:val="TableContents"/>
              <w:bidi w:val="0"/>
              <w:spacing w:before="0" w:after="283"/>
              <w:jc w:val="center"/>
              <w:rPr/>
            </w:pPr>
            <w:r>
              <w:rPr/>
              <w:t> </w:t>
            </w:r>
          </w:p>
        </w:tc>
      </w:tr>
      <w:tr>
        <w:trPr/>
        <w:tc>
          <w:tcPr>
            <w:tcW w:w="2315" w:type="dxa"/>
            <w:tcBorders/>
            <w:vAlign w:val="center"/>
          </w:tcPr>
          <w:p>
            <w:pPr>
              <w:pStyle w:val="TableContents"/>
              <w:bidi w:val="0"/>
              <w:spacing w:before="0" w:after="283"/>
              <w:jc w:val="center"/>
              <w:rPr/>
            </w:pPr>
            <w:r>
              <w:rPr/>
              <w:t> </w:t>
            </w:r>
          </w:p>
        </w:tc>
        <w:tc>
          <w:tcPr>
            <w:tcW w:w="3965" w:type="dxa"/>
            <w:tcBorders/>
            <w:vAlign w:val="center"/>
          </w:tcPr>
          <w:p>
            <w:pPr>
              <w:pStyle w:val="TableContents"/>
              <w:bidi w:val="0"/>
              <w:spacing w:before="0" w:after="283"/>
              <w:jc w:val="center"/>
              <w:rPr/>
            </w:pPr>
            <w:r>
              <w:rPr/>
              <w:t> </w:t>
            </w:r>
          </w:p>
        </w:tc>
        <w:tc>
          <w:tcPr>
            <w:tcW w:w="1580" w:type="dxa"/>
            <w:tcBorders/>
            <w:vAlign w:val="center"/>
          </w:tcPr>
          <w:p>
            <w:pPr>
              <w:pStyle w:val="TableContents"/>
              <w:bidi w:val="0"/>
              <w:spacing w:before="0" w:after="283"/>
              <w:jc w:val="center"/>
              <w:rPr/>
            </w:pPr>
            <w:r>
              <w:rPr/>
              <w:t> </w:t>
            </w:r>
          </w:p>
        </w:tc>
      </w:tr>
      <w:tr>
        <w:trPr/>
        <w:tc>
          <w:tcPr>
            <w:tcW w:w="2315" w:type="dxa"/>
            <w:tcBorders>
              <w:bottom w:val="single" w:sz="8" w:space="0" w:color="000000"/>
            </w:tcBorders>
            <w:tcMar>
              <w:bottom w:w="28" w:type="dxa"/>
            </w:tcMar>
            <w:vAlign w:val="center"/>
          </w:tcPr>
          <w:p>
            <w:pPr>
              <w:pStyle w:val="TableContents"/>
              <w:bidi w:val="0"/>
              <w:spacing w:before="0" w:after="283"/>
              <w:jc w:val="center"/>
              <w:rPr/>
            </w:pPr>
            <w:r>
              <w:rPr/>
              <w:t>/s/ June Ou</w:t>
            </w:r>
          </w:p>
        </w:tc>
        <w:tc>
          <w:tcPr>
            <w:tcW w:w="3965" w:type="dxa"/>
            <w:tcBorders/>
            <w:vAlign w:val="center"/>
          </w:tcPr>
          <w:p>
            <w:pPr>
              <w:pStyle w:val="TableContents"/>
              <w:bidi w:val="0"/>
              <w:spacing w:before="0" w:after="283"/>
              <w:jc w:val="center"/>
              <w:rPr/>
            </w:pPr>
            <w:r>
              <w:rPr/>
              <w:t>Director</w:t>
            </w:r>
          </w:p>
        </w:tc>
        <w:tc>
          <w:tcPr>
            <w:tcW w:w="1580" w:type="dxa"/>
            <w:tcBorders/>
            <w:vAlign w:val="center"/>
          </w:tcPr>
          <w:p>
            <w:pPr>
              <w:pStyle w:val="TableContents"/>
              <w:bidi w:val="0"/>
              <w:spacing w:before="0" w:after="283"/>
              <w:jc w:val="center"/>
              <w:rPr/>
            </w:pPr>
            <w:r>
              <w:rPr/>
              <w:t>October 2, 2026</w:t>
            </w:r>
          </w:p>
        </w:tc>
      </w:tr>
      <w:tr>
        <w:trPr/>
        <w:tc>
          <w:tcPr>
            <w:tcW w:w="2315" w:type="dxa"/>
            <w:tcBorders/>
            <w:vAlign w:val="center"/>
          </w:tcPr>
          <w:p>
            <w:pPr>
              <w:pStyle w:val="TableContents"/>
              <w:bidi w:val="0"/>
              <w:spacing w:before="0" w:after="283"/>
              <w:jc w:val="center"/>
              <w:rPr/>
            </w:pPr>
            <w:r>
              <w:rPr/>
              <w:t>June Ou</w:t>
            </w:r>
          </w:p>
        </w:tc>
        <w:tc>
          <w:tcPr>
            <w:tcW w:w="3965" w:type="dxa"/>
            <w:tcBorders/>
            <w:vAlign w:val="center"/>
          </w:tcPr>
          <w:p>
            <w:pPr>
              <w:pStyle w:val="TableContents"/>
              <w:bidi w:val="0"/>
              <w:spacing w:before="0" w:after="283"/>
              <w:jc w:val="center"/>
              <w:rPr/>
            </w:pPr>
            <w:r>
              <w:rPr/>
              <w:t> </w:t>
            </w:r>
          </w:p>
        </w:tc>
        <w:tc>
          <w:tcPr>
            <w:tcW w:w="158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II-7</w:t>
      </w:r>
    </w:p>
    <w:p>
      <w:pPr>
        <w:pStyle w:val="TextBody"/>
        <w:bidi w:val="0"/>
        <w:spacing w:before="0" w:after="283"/>
        <w:jc w:val="left"/>
        <w:rPr/>
      </w:pPr>
      <w:r>
        <w:rPr/>
        <w:t> </w:t>
      </w:r>
    </w:p>
    <w:p>
      <w:pPr>
        <w:pStyle w:val="TextBody"/>
        <w:bidi w:val="0"/>
        <w:spacing w:before="0" w:after="0"/>
        <w:ind w:left="0" w:right="0" w:hanging="0"/>
        <w:jc w:val="right"/>
        <w:rPr>
          <w:caps w:val="false"/>
          <w:smallCaps w:val="false"/>
        </w:rPr>
      </w:pPr>
      <w:bookmarkStart w:id="17" w:name="dp254272_ex4c.htm"/>
      <w:bookmarkStart w:id="18" w:name="ksdp254272_ex4c"/>
      <w:bookmarkEnd w:id="17"/>
      <w:bookmarkEnd w:id="1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Exhibit 4-c </w:t>
      </w:r>
    </w:p>
    <w:p>
      <w:pPr>
        <w:pStyle w:val="TextBody"/>
        <w:bidi w:val="0"/>
        <w:ind w:left="0" w:right="0" w:hanging="0"/>
        <w:jc w:val="left"/>
        <w:rPr/>
      </w:pPr>
      <w:r>
        <w:rPr/>
        <w:t> </w:t>
      </w:r>
    </w:p>
    <w:p>
      <w:pPr>
        <w:pStyle w:val="TextBody"/>
        <w:bidi w:val="0"/>
        <w:jc w:val="left"/>
        <w:rPr>
          <w:bdr w:val="single" w:sz="24" w:space="1" w:color="000000"/>
        </w:rPr>
      </w:pPr>
      <w:r>
        <w:rPr>
          <w:bdr w:val="single" w:sz="24"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FIGURE TECHNOLOGY SOLUTIONS,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as 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as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jc w:val="center"/>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Senior 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Dated as of               ,  20</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60" w:after="60"/>
        <w:jc w:val="center"/>
        <w:rPr>
          <w:bdr w:val="single" w:sz="8" w:space="1" w:color="000000"/>
        </w:rPr>
      </w:pPr>
      <w:r>
        <w:rPr>
          <w:bdr w:val="single" w:sz="8" w:space="1" w:color="000000"/>
        </w:rPr>
        <w:t> </w:t>
      </w:r>
    </w:p>
    <w:p>
      <w:pPr>
        <w:pStyle w:val="TextBody"/>
        <w:bidi w:val="0"/>
        <w:spacing w:before="0" w:after="0"/>
        <w:ind w:left="0" w:right="0" w:hanging="0"/>
        <w:jc w:val="right"/>
        <w:rPr>
          <w:rFonts w:ascii="Times New Roman;Times;Serif" w:hAnsi="Times New Roman;Times;Serif"/>
          <w:b w:val="false"/>
          <w:i w:val="false"/>
          <w:smallCaps/>
          <w:sz w:val="20"/>
          <w:u w:val="single"/>
        </w:rPr>
      </w:pPr>
      <w:r>
        <w:rPr>
          <w:rFonts w:ascii="Times New Roman;Times;Serif" w:hAnsi="Times New Roman;Times;Serif"/>
          <w:b w:val="false"/>
          <w:i w:val="false"/>
          <w:smallCaps/>
          <w:sz w:val="20"/>
          <w:u w:val="single"/>
        </w:rPr>
        <w:t>Page</w:t>
      </w:r>
    </w:p>
    <w:p>
      <w:pPr>
        <w:pStyle w:val="TextBody"/>
        <w:bidi w:val="0"/>
        <w:spacing w:before="0" w:after="0"/>
        <w:ind w:left="0" w:right="0" w:hanging="0"/>
        <w:jc w:val="right"/>
        <w:rPr>
          <w:caps w:val="false"/>
          <w:smallCaps w:val="false"/>
        </w:rPr>
      </w:pPr>
      <w:r>
        <w:rPr>
          <w:caps w:val="false"/>
          <w:smallCaps w:val="false"/>
        </w:rPr>
        <w:t> </w:t>
      </w:r>
    </w:p>
    <w:tbl>
      <w:tblPr>
        <w:tblW w:w="8860" w:type="dxa"/>
        <w:jc w:val="left"/>
        <w:tblInd w:w="0" w:type="dxa"/>
        <w:tblLayout w:type="fixed"/>
        <w:tblCellMar>
          <w:top w:w="0" w:type="dxa"/>
          <w:left w:w="0" w:type="dxa"/>
          <w:bottom w:w="0" w:type="dxa"/>
          <w:right w:w="0" w:type="dxa"/>
        </w:tblCellMar>
      </w:tblPr>
      <w:tblGrid>
        <w:gridCol w:w="8585"/>
        <w:gridCol w:w="275"/>
      </w:tblGrid>
      <w:tr>
        <w:trPr/>
        <w:tc>
          <w:tcPr>
            <w:tcW w:w="8860" w:type="dxa"/>
            <w:gridSpan w:val="2"/>
            <w:tcBorders/>
            <w:vAlign w:val="center"/>
          </w:tcPr>
          <w:p>
            <w:pPr>
              <w:pStyle w:val="TableContents"/>
              <w:bidi w:val="0"/>
              <w:spacing w:before="0" w:after="283"/>
              <w:ind w:left="0" w:right="0" w:hanging="720"/>
              <w:jc w:val="center"/>
              <w:rPr/>
            </w:pPr>
            <w:r>
              <w:rPr/>
              <w:t>Article 1</w:t>
              <w:br/>
              <w:t>DEFINITIONS AND INCORPORATION BY REFERENCE</w:t>
            </w:r>
          </w:p>
        </w:tc>
      </w:tr>
      <w:tr>
        <w:trPr/>
        <w:tc>
          <w:tcPr>
            <w:tcW w:w="8585" w:type="dxa"/>
            <w:tcBorders/>
            <w:vAlign w:val="center"/>
          </w:tcPr>
          <w:p>
            <w:pPr>
              <w:pStyle w:val="TableContents"/>
              <w:bidi w:val="0"/>
              <w:spacing w:before="0" w:after="283"/>
              <w:jc w:val="left"/>
              <w:rPr/>
            </w:pPr>
            <w:r>
              <w:rPr/>
              <w:t>Section 1.01.  </w:t>
            </w:r>
            <w:r>
              <w:rPr>
                <w:i/>
              </w:rPr>
              <w:t>Definitions</w:t>
            </w:r>
          </w:p>
        </w:tc>
        <w:tc>
          <w:tcPr>
            <w:tcW w:w="275" w:type="dxa"/>
            <w:tcBorders/>
            <w:vAlign w:val="center"/>
          </w:tcPr>
          <w:p>
            <w:pPr>
              <w:pStyle w:val="TableContents"/>
              <w:bidi w:val="0"/>
              <w:spacing w:before="0" w:after="283"/>
              <w:ind w:left="0" w:right="0" w:hanging="720"/>
              <w:jc w:val="right"/>
              <w:rPr/>
            </w:pPr>
            <w:r>
              <w:rPr/>
              <w:t>4</w:t>
            </w:r>
          </w:p>
        </w:tc>
      </w:tr>
      <w:tr>
        <w:trPr/>
        <w:tc>
          <w:tcPr>
            <w:tcW w:w="8585" w:type="dxa"/>
            <w:tcBorders/>
            <w:vAlign w:val="center"/>
          </w:tcPr>
          <w:p>
            <w:pPr>
              <w:pStyle w:val="TableContents"/>
              <w:bidi w:val="0"/>
              <w:spacing w:before="0" w:after="283"/>
              <w:jc w:val="left"/>
              <w:rPr/>
            </w:pPr>
            <w:r>
              <w:rPr/>
              <w:t>Section 1.02.  </w:t>
            </w:r>
            <w:r>
              <w:rPr>
                <w:i/>
              </w:rPr>
              <w:t>Other Definitions</w:t>
            </w:r>
          </w:p>
        </w:tc>
        <w:tc>
          <w:tcPr>
            <w:tcW w:w="275" w:type="dxa"/>
            <w:tcBorders/>
            <w:vAlign w:val="center"/>
          </w:tcPr>
          <w:p>
            <w:pPr>
              <w:pStyle w:val="TableContents"/>
              <w:bidi w:val="0"/>
              <w:spacing w:before="0" w:after="283"/>
              <w:ind w:left="0" w:right="0" w:hanging="720"/>
              <w:jc w:val="right"/>
              <w:rPr/>
            </w:pPr>
            <w:r>
              <w:rPr/>
              <w:t>7</w:t>
            </w:r>
          </w:p>
        </w:tc>
      </w:tr>
      <w:tr>
        <w:trPr/>
        <w:tc>
          <w:tcPr>
            <w:tcW w:w="8585" w:type="dxa"/>
            <w:tcBorders/>
            <w:vAlign w:val="center"/>
          </w:tcPr>
          <w:p>
            <w:pPr>
              <w:pStyle w:val="TableContents"/>
              <w:bidi w:val="0"/>
              <w:spacing w:before="0" w:after="283"/>
              <w:jc w:val="left"/>
              <w:rPr/>
            </w:pPr>
            <w:r>
              <w:rPr/>
              <w:t>Section 1.03.  </w:t>
            </w:r>
            <w:r>
              <w:rPr>
                <w:i/>
              </w:rPr>
              <w:t>Incorporation by Reference of Trust Indenture Act</w:t>
            </w:r>
          </w:p>
        </w:tc>
        <w:tc>
          <w:tcPr>
            <w:tcW w:w="275" w:type="dxa"/>
            <w:tcBorders/>
            <w:vAlign w:val="center"/>
          </w:tcPr>
          <w:p>
            <w:pPr>
              <w:pStyle w:val="TableContents"/>
              <w:bidi w:val="0"/>
              <w:spacing w:before="0" w:after="283"/>
              <w:ind w:left="0" w:right="0" w:hanging="720"/>
              <w:jc w:val="right"/>
              <w:rPr/>
            </w:pPr>
            <w:r>
              <w:rPr/>
              <w:t>8</w:t>
            </w:r>
          </w:p>
        </w:tc>
      </w:tr>
      <w:tr>
        <w:trPr/>
        <w:tc>
          <w:tcPr>
            <w:tcW w:w="8585" w:type="dxa"/>
            <w:tcBorders/>
            <w:vAlign w:val="center"/>
          </w:tcPr>
          <w:p>
            <w:pPr>
              <w:pStyle w:val="TableContents"/>
              <w:bidi w:val="0"/>
              <w:spacing w:before="0" w:after="283"/>
              <w:jc w:val="left"/>
              <w:rPr/>
            </w:pPr>
            <w:r>
              <w:rPr/>
              <w:t>Section 1.04.  </w:t>
            </w:r>
            <w:r>
              <w:rPr>
                <w:i/>
              </w:rPr>
              <w:t>Rules of Construction</w:t>
            </w:r>
          </w:p>
        </w:tc>
        <w:tc>
          <w:tcPr>
            <w:tcW w:w="275" w:type="dxa"/>
            <w:tcBorders/>
            <w:vAlign w:val="center"/>
          </w:tcPr>
          <w:p>
            <w:pPr>
              <w:pStyle w:val="TableContents"/>
              <w:bidi w:val="0"/>
              <w:spacing w:before="0" w:after="283"/>
              <w:jc w:val="right"/>
              <w:rPr/>
            </w:pPr>
            <w:r>
              <w:rPr/>
              <w:t>8</w:t>
            </w:r>
          </w:p>
        </w:tc>
      </w:tr>
      <w:tr>
        <w:trPr/>
        <w:tc>
          <w:tcPr>
            <w:tcW w:w="8860" w:type="dxa"/>
            <w:gridSpan w:val="2"/>
            <w:tcBorders/>
            <w:vAlign w:val="center"/>
          </w:tcPr>
          <w:p>
            <w:pPr>
              <w:pStyle w:val="TableContents"/>
              <w:bidi w:val="0"/>
              <w:spacing w:before="0" w:after="283"/>
              <w:ind w:left="0" w:right="0" w:hanging="720"/>
              <w:jc w:val="center"/>
              <w:rPr/>
            </w:pPr>
            <w:r>
              <w:rPr/>
              <w:t>Article 2</w:t>
              <w:br/>
              <w:t>THE SECURITIES</w:t>
            </w:r>
          </w:p>
        </w:tc>
      </w:tr>
      <w:tr>
        <w:trPr/>
        <w:tc>
          <w:tcPr>
            <w:tcW w:w="8585" w:type="dxa"/>
            <w:tcBorders/>
            <w:vAlign w:val="center"/>
          </w:tcPr>
          <w:p>
            <w:pPr>
              <w:pStyle w:val="TableContents"/>
              <w:bidi w:val="0"/>
              <w:spacing w:before="0" w:after="283"/>
              <w:jc w:val="left"/>
              <w:rPr/>
            </w:pPr>
            <w:r>
              <w:rPr/>
              <w:t>Section 2.01.  </w:t>
            </w:r>
            <w:r>
              <w:rPr>
                <w:i/>
              </w:rPr>
              <w:t>Form and Dating</w:t>
            </w:r>
          </w:p>
        </w:tc>
        <w:tc>
          <w:tcPr>
            <w:tcW w:w="275" w:type="dxa"/>
            <w:tcBorders/>
            <w:vAlign w:val="center"/>
          </w:tcPr>
          <w:p>
            <w:pPr>
              <w:pStyle w:val="TableContents"/>
              <w:bidi w:val="0"/>
              <w:spacing w:before="0" w:after="283"/>
              <w:ind w:left="0" w:right="0" w:hanging="720"/>
              <w:jc w:val="right"/>
              <w:rPr/>
            </w:pPr>
            <w:r>
              <w:rPr/>
              <w:t>9</w:t>
            </w:r>
          </w:p>
        </w:tc>
      </w:tr>
      <w:tr>
        <w:trPr/>
        <w:tc>
          <w:tcPr>
            <w:tcW w:w="8585" w:type="dxa"/>
            <w:tcBorders/>
            <w:vAlign w:val="center"/>
          </w:tcPr>
          <w:p>
            <w:pPr>
              <w:pStyle w:val="TableContents"/>
              <w:bidi w:val="0"/>
              <w:spacing w:before="0" w:after="283"/>
              <w:jc w:val="left"/>
              <w:rPr/>
            </w:pPr>
            <w:r>
              <w:rPr/>
              <w:t>Section 2.02.  </w:t>
            </w:r>
            <w:r>
              <w:rPr>
                <w:i/>
              </w:rPr>
              <w:t>Execution And Authentication</w:t>
            </w:r>
          </w:p>
        </w:tc>
        <w:tc>
          <w:tcPr>
            <w:tcW w:w="275" w:type="dxa"/>
            <w:tcBorders/>
            <w:vAlign w:val="center"/>
          </w:tcPr>
          <w:p>
            <w:pPr>
              <w:pStyle w:val="TableContents"/>
              <w:bidi w:val="0"/>
              <w:spacing w:before="0" w:after="283"/>
              <w:ind w:left="0" w:right="0" w:hanging="720"/>
              <w:jc w:val="right"/>
              <w:rPr/>
            </w:pPr>
            <w:r>
              <w:rPr/>
              <w:t>9</w:t>
            </w:r>
          </w:p>
        </w:tc>
      </w:tr>
      <w:tr>
        <w:trPr/>
        <w:tc>
          <w:tcPr>
            <w:tcW w:w="8585" w:type="dxa"/>
            <w:tcBorders/>
            <w:vAlign w:val="center"/>
          </w:tcPr>
          <w:p>
            <w:pPr>
              <w:pStyle w:val="TableContents"/>
              <w:bidi w:val="0"/>
              <w:spacing w:before="0" w:after="283"/>
              <w:jc w:val="left"/>
              <w:rPr/>
            </w:pPr>
            <w:r>
              <w:rPr/>
              <w:t>Section 2.03.  </w:t>
            </w:r>
            <w:r>
              <w:rPr>
                <w:i/>
              </w:rPr>
              <w:t>Amount Unlimited; Issuable in Series</w:t>
            </w:r>
          </w:p>
        </w:tc>
        <w:tc>
          <w:tcPr>
            <w:tcW w:w="275" w:type="dxa"/>
            <w:tcBorders/>
            <w:vAlign w:val="center"/>
          </w:tcPr>
          <w:p>
            <w:pPr>
              <w:pStyle w:val="TableContents"/>
              <w:bidi w:val="0"/>
              <w:spacing w:before="0" w:after="283"/>
              <w:ind w:left="0" w:right="0" w:hanging="720"/>
              <w:jc w:val="right"/>
              <w:rPr/>
            </w:pPr>
            <w:r>
              <w:rPr/>
              <w:t>11</w:t>
            </w:r>
          </w:p>
        </w:tc>
      </w:tr>
      <w:tr>
        <w:trPr/>
        <w:tc>
          <w:tcPr>
            <w:tcW w:w="8585" w:type="dxa"/>
            <w:tcBorders/>
            <w:vAlign w:val="center"/>
          </w:tcPr>
          <w:p>
            <w:pPr>
              <w:pStyle w:val="TableContents"/>
              <w:bidi w:val="0"/>
              <w:spacing w:before="0" w:after="283"/>
              <w:jc w:val="left"/>
              <w:rPr/>
            </w:pPr>
            <w:r>
              <w:rPr/>
              <w:t>Section 2.04.  </w:t>
            </w:r>
            <w:r>
              <w:rPr>
                <w:i/>
              </w:rPr>
              <w:t>Denomination and Date of Securities; Payments of Interest</w:t>
            </w:r>
          </w:p>
        </w:tc>
        <w:tc>
          <w:tcPr>
            <w:tcW w:w="275" w:type="dxa"/>
            <w:tcBorders/>
            <w:vAlign w:val="center"/>
          </w:tcPr>
          <w:p>
            <w:pPr>
              <w:pStyle w:val="TableContents"/>
              <w:bidi w:val="0"/>
              <w:spacing w:before="0" w:after="283"/>
              <w:ind w:left="0" w:right="0" w:hanging="720"/>
              <w:jc w:val="right"/>
              <w:rPr/>
            </w:pPr>
            <w:r>
              <w:rPr/>
              <w:t>13</w:t>
            </w:r>
          </w:p>
        </w:tc>
      </w:tr>
      <w:tr>
        <w:trPr/>
        <w:tc>
          <w:tcPr>
            <w:tcW w:w="8585" w:type="dxa"/>
            <w:tcBorders/>
            <w:vAlign w:val="center"/>
          </w:tcPr>
          <w:p>
            <w:pPr>
              <w:pStyle w:val="TableContents"/>
              <w:bidi w:val="0"/>
              <w:spacing w:before="0" w:after="283"/>
              <w:jc w:val="left"/>
              <w:rPr/>
            </w:pPr>
            <w:r>
              <w:rPr/>
              <w:t>Section 2.05.  </w:t>
            </w:r>
            <w:r>
              <w:rPr>
                <w:i/>
              </w:rPr>
              <w:t>Registrar and Paying Agent; Agents Generally</w:t>
            </w:r>
          </w:p>
        </w:tc>
        <w:tc>
          <w:tcPr>
            <w:tcW w:w="275" w:type="dxa"/>
            <w:tcBorders/>
            <w:vAlign w:val="center"/>
          </w:tcPr>
          <w:p>
            <w:pPr>
              <w:pStyle w:val="TableContents"/>
              <w:bidi w:val="0"/>
              <w:spacing w:before="0" w:after="283"/>
              <w:ind w:left="0" w:right="0" w:hanging="720"/>
              <w:jc w:val="right"/>
              <w:rPr/>
            </w:pPr>
            <w:r>
              <w:rPr/>
              <w:t>13</w:t>
            </w:r>
          </w:p>
        </w:tc>
      </w:tr>
      <w:tr>
        <w:trPr/>
        <w:tc>
          <w:tcPr>
            <w:tcW w:w="8585" w:type="dxa"/>
            <w:tcBorders/>
            <w:vAlign w:val="center"/>
          </w:tcPr>
          <w:p>
            <w:pPr>
              <w:pStyle w:val="TableContents"/>
              <w:bidi w:val="0"/>
              <w:spacing w:before="0" w:after="283"/>
              <w:jc w:val="left"/>
              <w:rPr/>
            </w:pPr>
            <w:r>
              <w:rPr/>
              <w:t>Section 2.06.  </w:t>
            </w:r>
            <w:r>
              <w:rPr>
                <w:i/>
              </w:rPr>
              <w:t>Paying Agent to Hold Money in Trust</w:t>
            </w:r>
          </w:p>
        </w:tc>
        <w:tc>
          <w:tcPr>
            <w:tcW w:w="275" w:type="dxa"/>
            <w:tcBorders/>
            <w:vAlign w:val="center"/>
          </w:tcPr>
          <w:p>
            <w:pPr>
              <w:pStyle w:val="TableContents"/>
              <w:bidi w:val="0"/>
              <w:spacing w:before="0" w:after="283"/>
              <w:ind w:left="0" w:right="0" w:hanging="720"/>
              <w:jc w:val="right"/>
              <w:rPr/>
            </w:pPr>
            <w:r>
              <w:rPr/>
              <w:t>14</w:t>
            </w:r>
          </w:p>
        </w:tc>
      </w:tr>
      <w:tr>
        <w:trPr/>
        <w:tc>
          <w:tcPr>
            <w:tcW w:w="8585" w:type="dxa"/>
            <w:tcBorders/>
            <w:vAlign w:val="center"/>
          </w:tcPr>
          <w:p>
            <w:pPr>
              <w:pStyle w:val="TableContents"/>
              <w:bidi w:val="0"/>
              <w:spacing w:before="0" w:after="283"/>
              <w:jc w:val="left"/>
              <w:rPr/>
            </w:pPr>
            <w:r>
              <w:rPr/>
              <w:t>Section 2.07.  </w:t>
            </w:r>
            <w:r>
              <w:rPr>
                <w:i/>
              </w:rPr>
              <w:t>Transfer and Exchange</w:t>
            </w:r>
          </w:p>
        </w:tc>
        <w:tc>
          <w:tcPr>
            <w:tcW w:w="275" w:type="dxa"/>
            <w:tcBorders/>
            <w:vAlign w:val="center"/>
          </w:tcPr>
          <w:p>
            <w:pPr>
              <w:pStyle w:val="TableContents"/>
              <w:bidi w:val="0"/>
              <w:spacing w:before="0" w:after="283"/>
              <w:ind w:left="0" w:right="0" w:hanging="720"/>
              <w:jc w:val="right"/>
              <w:rPr/>
            </w:pPr>
            <w:r>
              <w:rPr/>
              <w:t>15</w:t>
            </w:r>
          </w:p>
        </w:tc>
      </w:tr>
      <w:tr>
        <w:trPr/>
        <w:tc>
          <w:tcPr>
            <w:tcW w:w="8585" w:type="dxa"/>
            <w:tcBorders/>
            <w:vAlign w:val="center"/>
          </w:tcPr>
          <w:p>
            <w:pPr>
              <w:pStyle w:val="TableContents"/>
              <w:bidi w:val="0"/>
              <w:spacing w:before="0" w:after="283"/>
              <w:jc w:val="left"/>
              <w:rPr/>
            </w:pPr>
            <w:r>
              <w:rPr/>
              <w:t>Section 2.08.  </w:t>
            </w:r>
            <w:r>
              <w:rPr>
                <w:i/>
              </w:rPr>
              <w:t>Replacement Securities</w:t>
            </w:r>
          </w:p>
        </w:tc>
        <w:tc>
          <w:tcPr>
            <w:tcW w:w="275" w:type="dxa"/>
            <w:tcBorders/>
            <w:vAlign w:val="center"/>
          </w:tcPr>
          <w:p>
            <w:pPr>
              <w:pStyle w:val="TableContents"/>
              <w:bidi w:val="0"/>
              <w:spacing w:before="0" w:after="283"/>
              <w:ind w:left="0" w:right="0" w:hanging="720"/>
              <w:jc w:val="right"/>
              <w:rPr/>
            </w:pPr>
            <w:r>
              <w:rPr/>
              <w:t>17</w:t>
            </w:r>
          </w:p>
        </w:tc>
      </w:tr>
      <w:tr>
        <w:trPr/>
        <w:tc>
          <w:tcPr>
            <w:tcW w:w="8585" w:type="dxa"/>
            <w:tcBorders/>
            <w:vAlign w:val="center"/>
          </w:tcPr>
          <w:p>
            <w:pPr>
              <w:pStyle w:val="TableContents"/>
              <w:bidi w:val="0"/>
              <w:spacing w:before="0" w:after="283"/>
              <w:jc w:val="left"/>
              <w:rPr/>
            </w:pPr>
            <w:r>
              <w:rPr/>
              <w:t>Section 2.09.  </w:t>
            </w:r>
            <w:r>
              <w:rPr>
                <w:i/>
              </w:rPr>
              <w:t>Outstanding Securities</w:t>
            </w:r>
          </w:p>
        </w:tc>
        <w:tc>
          <w:tcPr>
            <w:tcW w:w="275" w:type="dxa"/>
            <w:tcBorders/>
            <w:vAlign w:val="center"/>
          </w:tcPr>
          <w:p>
            <w:pPr>
              <w:pStyle w:val="TableContents"/>
              <w:bidi w:val="0"/>
              <w:spacing w:before="0" w:after="283"/>
              <w:ind w:left="0" w:right="0" w:hanging="720"/>
              <w:jc w:val="right"/>
              <w:rPr/>
            </w:pPr>
            <w:r>
              <w:rPr/>
              <w:t>18</w:t>
            </w:r>
          </w:p>
        </w:tc>
      </w:tr>
      <w:tr>
        <w:trPr/>
        <w:tc>
          <w:tcPr>
            <w:tcW w:w="8585" w:type="dxa"/>
            <w:tcBorders/>
            <w:vAlign w:val="center"/>
          </w:tcPr>
          <w:p>
            <w:pPr>
              <w:pStyle w:val="TableContents"/>
              <w:bidi w:val="0"/>
              <w:spacing w:before="0" w:after="283"/>
              <w:jc w:val="left"/>
              <w:rPr/>
            </w:pPr>
            <w:r>
              <w:rPr/>
              <w:t>Section 2.10.  </w:t>
            </w:r>
            <w:r>
              <w:rPr>
                <w:i/>
              </w:rPr>
              <w:t>Temporary Securities</w:t>
            </w:r>
          </w:p>
        </w:tc>
        <w:tc>
          <w:tcPr>
            <w:tcW w:w="275" w:type="dxa"/>
            <w:tcBorders/>
            <w:vAlign w:val="center"/>
          </w:tcPr>
          <w:p>
            <w:pPr>
              <w:pStyle w:val="TableContents"/>
              <w:bidi w:val="0"/>
              <w:spacing w:before="0" w:after="283"/>
              <w:ind w:left="0" w:right="0" w:hanging="720"/>
              <w:jc w:val="right"/>
              <w:rPr/>
            </w:pPr>
            <w:r>
              <w:rPr/>
              <w:t>18</w:t>
            </w:r>
          </w:p>
        </w:tc>
      </w:tr>
      <w:tr>
        <w:trPr/>
        <w:tc>
          <w:tcPr>
            <w:tcW w:w="8585" w:type="dxa"/>
            <w:tcBorders/>
            <w:vAlign w:val="center"/>
          </w:tcPr>
          <w:p>
            <w:pPr>
              <w:pStyle w:val="TableContents"/>
              <w:bidi w:val="0"/>
              <w:spacing w:before="0" w:after="283"/>
              <w:jc w:val="left"/>
              <w:rPr/>
            </w:pPr>
            <w:r>
              <w:rPr/>
              <w:t>Section 2.11.  </w:t>
            </w:r>
            <w:r>
              <w:rPr>
                <w:i/>
              </w:rPr>
              <w:t>Cancellation</w:t>
            </w:r>
          </w:p>
        </w:tc>
        <w:tc>
          <w:tcPr>
            <w:tcW w:w="275" w:type="dxa"/>
            <w:tcBorders/>
            <w:vAlign w:val="center"/>
          </w:tcPr>
          <w:p>
            <w:pPr>
              <w:pStyle w:val="TableContents"/>
              <w:bidi w:val="0"/>
              <w:spacing w:before="0" w:after="283"/>
              <w:ind w:left="0" w:right="0" w:hanging="720"/>
              <w:jc w:val="right"/>
              <w:rPr/>
            </w:pPr>
            <w:r>
              <w:rPr/>
              <w:t>19</w:t>
            </w:r>
          </w:p>
        </w:tc>
      </w:tr>
      <w:tr>
        <w:trPr/>
        <w:tc>
          <w:tcPr>
            <w:tcW w:w="8585" w:type="dxa"/>
            <w:tcBorders/>
            <w:vAlign w:val="center"/>
          </w:tcPr>
          <w:p>
            <w:pPr>
              <w:pStyle w:val="TableContents"/>
              <w:bidi w:val="0"/>
              <w:spacing w:before="0" w:after="283"/>
              <w:jc w:val="left"/>
              <w:rPr/>
            </w:pPr>
            <w:r>
              <w:rPr/>
              <w:t>Section 2.12.  </w:t>
            </w:r>
            <w:r>
              <w:rPr>
                <w:i/>
              </w:rPr>
              <w:t>CUSIP Numbers</w:t>
            </w:r>
          </w:p>
        </w:tc>
        <w:tc>
          <w:tcPr>
            <w:tcW w:w="275" w:type="dxa"/>
            <w:tcBorders/>
            <w:vAlign w:val="center"/>
          </w:tcPr>
          <w:p>
            <w:pPr>
              <w:pStyle w:val="TableContents"/>
              <w:bidi w:val="0"/>
              <w:spacing w:before="0" w:after="283"/>
              <w:ind w:left="0" w:right="0" w:hanging="720"/>
              <w:jc w:val="right"/>
              <w:rPr/>
            </w:pPr>
            <w:r>
              <w:rPr/>
              <w:t>19</w:t>
            </w:r>
          </w:p>
        </w:tc>
      </w:tr>
      <w:tr>
        <w:trPr/>
        <w:tc>
          <w:tcPr>
            <w:tcW w:w="8585" w:type="dxa"/>
            <w:tcBorders/>
            <w:vAlign w:val="center"/>
          </w:tcPr>
          <w:p>
            <w:pPr>
              <w:pStyle w:val="TableContents"/>
              <w:bidi w:val="0"/>
              <w:spacing w:before="0" w:after="283"/>
              <w:jc w:val="left"/>
              <w:rPr/>
            </w:pPr>
            <w:r>
              <w:rPr/>
              <w:t>Section 2.13.  </w:t>
            </w:r>
            <w:r>
              <w:rPr>
                <w:i/>
              </w:rPr>
              <w:t>Defaulted Interest</w:t>
            </w:r>
          </w:p>
        </w:tc>
        <w:tc>
          <w:tcPr>
            <w:tcW w:w="275" w:type="dxa"/>
            <w:tcBorders/>
            <w:vAlign w:val="center"/>
          </w:tcPr>
          <w:p>
            <w:pPr>
              <w:pStyle w:val="TableContents"/>
              <w:bidi w:val="0"/>
              <w:spacing w:before="0" w:after="283"/>
              <w:ind w:left="0" w:right="0" w:hanging="720"/>
              <w:jc w:val="right"/>
              <w:rPr/>
            </w:pPr>
            <w:r>
              <w:rPr/>
              <w:t>19</w:t>
            </w:r>
          </w:p>
        </w:tc>
      </w:tr>
      <w:tr>
        <w:trPr/>
        <w:tc>
          <w:tcPr>
            <w:tcW w:w="8585" w:type="dxa"/>
            <w:tcBorders/>
            <w:vAlign w:val="center"/>
          </w:tcPr>
          <w:p>
            <w:pPr>
              <w:pStyle w:val="TableContents"/>
              <w:bidi w:val="0"/>
              <w:spacing w:before="0" w:after="283"/>
              <w:jc w:val="left"/>
              <w:rPr/>
            </w:pPr>
            <w:r>
              <w:rPr/>
              <w:t>Section 2.14.  </w:t>
            </w:r>
            <w:r>
              <w:rPr>
                <w:i/>
              </w:rPr>
              <w:t>Series May Include Tranches</w:t>
            </w:r>
          </w:p>
        </w:tc>
        <w:tc>
          <w:tcPr>
            <w:tcW w:w="275" w:type="dxa"/>
            <w:tcBorders/>
            <w:vAlign w:val="center"/>
          </w:tcPr>
          <w:p>
            <w:pPr>
              <w:pStyle w:val="TableContents"/>
              <w:bidi w:val="0"/>
              <w:spacing w:before="0" w:after="283"/>
              <w:jc w:val="right"/>
              <w:rPr/>
            </w:pPr>
            <w:r>
              <w:rPr/>
              <w:t>19</w:t>
            </w:r>
          </w:p>
        </w:tc>
      </w:tr>
      <w:tr>
        <w:trPr/>
        <w:tc>
          <w:tcPr>
            <w:tcW w:w="8860" w:type="dxa"/>
            <w:gridSpan w:val="2"/>
            <w:tcBorders/>
            <w:vAlign w:val="center"/>
          </w:tcPr>
          <w:p>
            <w:pPr>
              <w:pStyle w:val="TableContents"/>
              <w:bidi w:val="0"/>
              <w:spacing w:before="0" w:after="283"/>
              <w:ind w:left="0" w:right="0" w:hanging="720"/>
              <w:jc w:val="center"/>
              <w:rPr/>
            </w:pPr>
            <w:r>
              <w:rPr/>
              <w:t>Article 3</w:t>
              <w:br/>
              <w:t>REDEMPTION</w:t>
            </w:r>
          </w:p>
        </w:tc>
      </w:tr>
      <w:tr>
        <w:trPr/>
        <w:tc>
          <w:tcPr>
            <w:tcW w:w="8585" w:type="dxa"/>
            <w:tcBorders/>
            <w:vAlign w:val="center"/>
          </w:tcPr>
          <w:p>
            <w:pPr>
              <w:pStyle w:val="TableContents"/>
              <w:bidi w:val="0"/>
              <w:spacing w:before="0" w:after="283"/>
              <w:jc w:val="left"/>
              <w:rPr/>
            </w:pPr>
            <w:r>
              <w:rPr/>
              <w:t>Section 3.01.  </w:t>
            </w:r>
            <w:r>
              <w:rPr>
                <w:i/>
              </w:rPr>
              <w:t>Applicability of Article</w:t>
            </w:r>
          </w:p>
        </w:tc>
        <w:tc>
          <w:tcPr>
            <w:tcW w:w="275" w:type="dxa"/>
            <w:tcBorders/>
            <w:vAlign w:val="center"/>
          </w:tcPr>
          <w:p>
            <w:pPr>
              <w:pStyle w:val="TableContents"/>
              <w:bidi w:val="0"/>
              <w:spacing w:before="0" w:after="283"/>
              <w:ind w:left="0" w:right="0" w:hanging="720"/>
              <w:jc w:val="right"/>
              <w:rPr/>
            </w:pPr>
            <w:r>
              <w:rPr/>
              <w:t>20</w:t>
            </w:r>
          </w:p>
        </w:tc>
      </w:tr>
      <w:tr>
        <w:trPr/>
        <w:tc>
          <w:tcPr>
            <w:tcW w:w="8585" w:type="dxa"/>
            <w:tcBorders/>
            <w:vAlign w:val="center"/>
          </w:tcPr>
          <w:p>
            <w:pPr>
              <w:pStyle w:val="TableContents"/>
              <w:bidi w:val="0"/>
              <w:spacing w:before="0" w:after="283"/>
              <w:jc w:val="left"/>
              <w:rPr/>
            </w:pPr>
            <w:r>
              <w:rPr/>
              <w:t>Section 3.02.  </w:t>
            </w:r>
            <w:r>
              <w:rPr>
                <w:i/>
              </w:rPr>
              <w:t>Notice of Redemption; Partial Redemptions</w:t>
            </w:r>
          </w:p>
        </w:tc>
        <w:tc>
          <w:tcPr>
            <w:tcW w:w="275" w:type="dxa"/>
            <w:tcBorders/>
            <w:vAlign w:val="center"/>
          </w:tcPr>
          <w:p>
            <w:pPr>
              <w:pStyle w:val="TableContents"/>
              <w:bidi w:val="0"/>
              <w:spacing w:before="0" w:after="283"/>
              <w:ind w:left="0" w:right="0" w:hanging="720"/>
              <w:jc w:val="right"/>
              <w:rPr/>
            </w:pPr>
            <w:r>
              <w:rPr/>
              <w:t>20</w:t>
            </w:r>
          </w:p>
        </w:tc>
      </w:tr>
      <w:tr>
        <w:trPr/>
        <w:tc>
          <w:tcPr>
            <w:tcW w:w="8585" w:type="dxa"/>
            <w:tcBorders/>
            <w:vAlign w:val="center"/>
          </w:tcPr>
          <w:p>
            <w:pPr>
              <w:pStyle w:val="TableContents"/>
              <w:bidi w:val="0"/>
              <w:spacing w:before="0" w:after="283"/>
              <w:jc w:val="left"/>
              <w:rPr/>
            </w:pPr>
            <w:r>
              <w:rPr/>
              <w:t>Section 3.03.  </w:t>
            </w:r>
            <w:r>
              <w:rPr>
                <w:i/>
              </w:rPr>
              <w:t>Payment Of Securities Called For Redemption</w:t>
            </w:r>
          </w:p>
        </w:tc>
        <w:tc>
          <w:tcPr>
            <w:tcW w:w="275" w:type="dxa"/>
            <w:tcBorders/>
            <w:vAlign w:val="center"/>
          </w:tcPr>
          <w:p>
            <w:pPr>
              <w:pStyle w:val="TableContents"/>
              <w:bidi w:val="0"/>
              <w:spacing w:before="0" w:after="283"/>
              <w:ind w:left="0" w:right="0" w:hanging="720"/>
              <w:jc w:val="right"/>
              <w:rPr/>
            </w:pPr>
            <w:r>
              <w:rPr/>
              <w:t>21</w:t>
            </w:r>
          </w:p>
        </w:tc>
      </w:tr>
      <w:tr>
        <w:trPr/>
        <w:tc>
          <w:tcPr>
            <w:tcW w:w="8585" w:type="dxa"/>
            <w:tcBorders/>
            <w:vAlign w:val="center"/>
          </w:tcPr>
          <w:p>
            <w:pPr>
              <w:pStyle w:val="TableContents"/>
              <w:bidi w:val="0"/>
              <w:spacing w:before="0" w:after="283"/>
              <w:jc w:val="left"/>
              <w:rPr/>
            </w:pPr>
            <w:r>
              <w:rPr/>
              <w:t>Section 3.04.  </w:t>
            </w:r>
            <w:r>
              <w:rPr>
                <w:i/>
              </w:rPr>
              <w:t>Exclusion of Certain Securities from Eligibility for Selection for Redemption</w:t>
            </w:r>
          </w:p>
        </w:tc>
        <w:tc>
          <w:tcPr>
            <w:tcW w:w="275" w:type="dxa"/>
            <w:tcBorders/>
            <w:vAlign w:val="center"/>
          </w:tcPr>
          <w:p>
            <w:pPr>
              <w:pStyle w:val="TableContents"/>
              <w:bidi w:val="0"/>
              <w:spacing w:before="0" w:after="283"/>
              <w:ind w:left="0" w:right="0" w:hanging="720"/>
              <w:jc w:val="right"/>
              <w:rPr/>
            </w:pPr>
            <w:r>
              <w:rPr/>
              <w:t>22</w:t>
            </w:r>
          </w:p>
        </w:tc>
      </w:tr>
      <w:tr>
        <w:trPr/>
        <w:tc>
          <w:tcPr>
            <w:tcW w:w="8585" w:type="dxa"/>
            <w:tcBorders/>
            <w:vAlign w:val="center"/>
          </w:tcPr>
          <w:p>
            <w:pPr>
              <w:pStyle w:val="TableContents"/>
              <w:bidi w:val="0"/>
              <w:spacing w:before="0" w:after="283"/>
              <w:jc w:val="left"/>
              <w:rPr/>
            </w:pPr>
            <w:r>
              <w:rPr/>
              <w:t>Section 3.05.  </w:t>
            </w:r>
            <w:r>
              <w:rPr>
                <w:i/>
              </w:rPr>
              <w:t>Mandatory and Optional Sinking Funds</w:t>
            </w:r>
          </w:p>
        </w:tc>
        <w:tc>
          <w:tcPr>
            <w:tcW w:w="275" w:type="dxa"/>
            <w:tcBorders/>
            <w:vAlign w:val="center"/>
          </w:tcPr>
          <w:p>
            <w:pPr>
              <w:pStyle w:val="TableContents"/>
              <w:bidi w:val="0"/>
              <w:spacing w:before="0" w:after="283"/>
              <w:jc w:val="right"/>
              <w:rPr/>
            </w:pPr>
            <w:r>
              <w:rPr/>
              <w:t>22</w:t>
            </w:r>
          </w:p>
        </w:tc>
      </w:tr>
      <w:tr>
        <w:trPr/>
        <w:tc>
          <w:tcPr>
            <w:tcW w:w="8860" w:type="dxa"/>
            <w:gridSpan w:val="2"/>
            <w:tcBorders/>
            <w:vAlign w:val="center"/>
          </w:tcPr>
          <w:p>
            <w:pPr>
              <w:pStyle w:val="TableContents"/>
              <w:bidi w:val="0"/>
              <w:spacing w:before="0" w:after="283"/>
              <w:ind w:left="0" w:right="0" w:hanging="720"/>
              <w:jc w:val="center"/>
              <w:rPr/>
            </w:pPr>
            <w:r>
              <w:rPr/>
              <w:t>Article</w:t>
              <w:br/>
              <w:t>4 COVENANTS</w:t>
            </w:r>
          </w:p>
        </w:tc>
      </w:tr>
      <w:tr>
        <w:trPr/>
        <w:tc>
          <w:tcPr>
            <w:tcW w:w="8585" w:type="dxa"/>
            <w:tcBorders/>
            <w:vAlign w:val="center"/>
          </w:tcPr>
          <w:p>
            <w:pPr>
              <w:pStyle w:val="TableContents"/>
              <w:bidi w:val="0"/>
              <w:spacing w:before="0" w:after="283"/>
              <w:jc w:val="left"/>
              <w:rPr/>
            </w:pPr>
            <w:r>
              <w:rPr/>
              <w:t>Section 4.01.  </w:t>
            </w:r>
            <w:r>
              <w:rPr>
                <w:i/>
              </w:rPr>
              <w:t>Payment of Securities</w:t>
            </w:r>
          </w:p>
        </w:tc>
        <w:tc>
          <w:tcPr>
            <w:tcW w:w="275" w:type="dxa"/>
            <w:tcBorders/>
            <w:vAlign w:val="center"/>
          </w:tcPr>
          <w:p>
            <w:pPr>
              <w:pStyle w:val="TableContents"/>
              <w:bidi w:val="0"/>
              <w:spacing w:before="0" w:after="283"/>
              <w:ind w:left="0" w:right="0" w:hanging="720"/>
              <w:jc w:val="right"/>
              <w:rPr/>
            </w:pPr>
            <w:r>
              <w:rPr/>
              <w:t>24</w:t>
            </w:r>
          </w:p>
        </w:tc>
      </w:tr>
      <w:tr>
        <w:trPr/>
        <w:tc>
          <w:tcPr>
            <w:tcW w:w="8585" w:type="dxa"/>
            <w:tcBorders/>
            <w:vAlign w:val="center"/>
          </w:tcPr>
          <w:p>
            <w:pPr>
              <w:pStyle w:val="TableContents"/>
              <w:bidi w:val="0"/>
              <w:spacing w:before="0" w:after="283"/>
              <w:jc w:val="left"/>
              <w:rPr/>
            </w:pPr>
            <w:r>
              <w:rPr/>
              <w:t>Section 4.02.  </w:t>
            </w:r>
            <w:r>
              <w:rPr>
                <w:i/>
              </w:rPr>
              <w:t>Maintenance of Office or Agency</w:t>
            </w:r>
          </w:p>
        </w:tc>
        <w:tc>
          <w:tcPr>
            <w:tcW w:w="275" w:type="dxa"/>
            <w:tcBorders/>
            <w:vAlign w:val="center"/>
          </w:tcPr>
          <w:p>
            <w:pPr>
              <w:pStyle w:val="TableContents"/>
              <w:bidi w:val="0"/>
              <w:spacing w:before="0" w:after="283"/>
              <w:ind w:left="0" w:right="0" w:hanging="720"/>
              <w:jc w:val="right"/>
              <w:rPr/>
            </w:pPr>
            <w:r>
              <w:rPr/>
              <w:t>25</w:t>
            </w:r>
          </w:p>
        </w:tc>
      </w:tr>
      <w:tr>
        <w:trPr/>
        <w:tc>
          <w:tcPr>
            <w:tcW w:w="8585" w:type="dxa"/>
            <w:tcBorders/>
            <w:vAlign w:val="center"/>
          </w:tcPr>
          <w:p>
            <w:pPr>
              <w:pStyle w:val="TableContents"/>
              <w:bidi w:val="0"/>
              <w:spacing w:before="0" w:after="283"/>
              <w:jc w:val="left"/>
              <w:rPr/>
            </w:pPr>
            <w:r>
              <w:rPr/>
              <w:t>Section 4.03.  </w:t>
            </w:r>
            <w:r>
              <w:rPr>
                <w:i/>
              </w:rPr>
              <w:t>Securityholders’ Lists</w:t>
            </w:r>
          </w:p>
        </w:tc>
        <w:tc>
          <w:tcPr>
            <w:tcW w:w="275" w:type="dxa"/>
            <w:tcBorders/>
            <w:vAlign w:val="center"/>
          </w:tcPr>
          <w:p>
            <w:pPr>
              <w:pStyle w:val="TableContents"/>
              <w:bidi w:val="0"/>
              <w:spacing w:before="0" w:after="283"/>
              <w:ind w:left="0" w:right="0" w:hanging="720"/>
              <w:jc w:val="right"/>
              <w:rPr/>
            </w:pPr>
            <w:r>
              <w:rPr/>
              <w:t>25</w:t>
            </w:r>
          </w:p>
        </w:tc>
      </w:tr>
      <w:tr>
        <w:trPr/>
        <w:tc>
          <w:tcPr>
            <w:tcW w:w="8585" w:type="dxa"/>
            <w:tcBorders/>
            <w:vAlign w:val="center"/>
          </w:tcPr>
          <w:p>
            <w:pPr>
              <w:pStyle w:val="TableContents"/>
              <w:bidi w:val="0"/>
              <w:spacing w:before="0" w:after="283"/>
              <w:jc w:val="left"/>
              <w:rPr/>
            </w:pPr>
            <w:r>
              <w:rPr/>
              <w:t>Section 4.04.  </w:t>
            </w:r>
            <w:r>
              <w:rPr>
                <w:i/>
              </w:rPr>
              <w:t>Certificate to Trustee</w:t>
            </w:r>
          </w:p>
        </w:tc>
        <w:tc>
          <w:tcPr>
            <w:tcW w:w="275" w:type="dxa"/>
            <w:tcBorders/>
            <w:vAlign w:val="center"/>
          </w:tcPr>
          <w:p>
            <w:pPr>
              <w:pStyle w:val="TableContents"/>
              <w:bidi w:val="0"/>
              <w:spacing w:before="0" w:after="283"/>
              <w:ind w:left="0" w:right="0" w:hanging="720"/>
              <w:jc w:val="right"/>
              <w:rPr/>
            </w:pPr>
            <w:r>
              <w:rPr/>
              <w:t>26</w:t>
            </w:r>
          </w:p>
        </w:tc>
      </w:tr>
      <w:tr>
        <w:trPr/>
        <w:tc>
          <w:tcPr>
            <w:tcW w:w="8585" w:type="dxa"/>
            <w:tcBorders/>
            <w:vAlign w:val="center"/>
          </w:tcPr>
          <w:p>
            <w:pPr>
              <w:pStyle w:val="TableContents"/>
              <w:bidi w:val="0"/>
              <w:spacing w:before="0" w:after="283"/>
              <w:jc w:val="left"/>
              <w:rPr/>
            </w:pPr>
            <w:r>
              <w:rPr/>
              <w:t>Section 4.05.  </w:t>
            </w:r>
            <w:r>
              <w:rPr>
                <w:i/>
              </w:rPr>
              <w:t>Reports by the Company</w:t>
            </w:r>
          </w:p>
        </w:tc>
        <w:tc>
          <w:tcPr>
            <w:tcW w:w="275" w:type="dxa"/>
            <w:tcBorders/>
            <w:vAlign w:val="center"/>
          </w:tcPr>
          <w:p>
            <w:pPr>
              <w:pStyle w:val="TableContents"/>
              <w:bidi w:val="0"/>
              <w:spacing w:before="0" w:after="283"/>
              <w:jc w:val="right"/>
              <w:rPr/>
            </w:pPr>
            <w:r>
              <w:rPr/>
              <w:t>26</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w:t>
      </w:r>
    </w:p>
    <w:p>
      <w:pPr>
        <w:pStyle w:val="TextBody"/>
        <w:bidi w:val="0"/>
        <w:spacing w:before="0" w:after="0"/>
        <w:ind w:left="0" w:right="0" w:hanging="0"/>
        <w:jc w:val="left"/>
        <w:rPr>
          <w:caps w:val="false"/>
          <w:smallCaps w:val="false"/>
        </w:rPr>
      </w:pPr>
      <w:r>
        <w:rPr>
          <w:caps w:val="false"/>
          <w:smallCaps w:val="false"/>
        </w:rPr>
        <w:t> </w:t>
      </w:r>
    </w:p>
    <w:tbl>
      <w:tblPr>
        <w:tblW w:w="8389" w:type="dxa"/>
        <w:jc w:val="left"/>
        <w:tblInd w:w="0" w:type="dxa"/>
        <w:tblLayout w:type="fixed"/>
        <w:tblCellMar>
          <w:top w:w="0" w:type="dxa"/>
          <w:left w:w="0" w:type="dxa"/>
          <w:bottom w:w="0" w:type="dxa"/>
          <w:right w:w="0" w:type="dxa"/>
        </w:tblCellMar>
      </w:tblPr>
      <w:tblGrid>
        <w:gridCol w:w="8108"/>
        <w:gridCol w:w="281"/>
      </w:tblGrid>
      <w:tr>
        <w:trPr/>
        <w:tc>
          <w:tcPr>
            <w:tcW w:w="8108" w:type="dxa"/>
            <w:tcBorders/>
            <w:vAlign w:val="center"/>
          </w:tcPr>
          <w:p>
            <w:pPr>
              <w:pStyle w:val="TableContents"/>
              <w:bidi w:val="0"/>
              <w:spacing w:before="0" w:after="283"/>
              <w:ind w:left="0" w:right="0" w:hanging="720"/>
              <w:jc w:val="left"/>
              <w:rPr/>
            </w:pPr>
            <w:r>
              <w:rPr/>
              <w:t>Section 4.06.  </w:t>
            </w:r>
            <w:r>
              <w:rPr>
                <w:i/>
              </w:rPr>
              <w:t>Additional Amounts</w:t>
            </w:r>
          </w:p>
        </w:tc>
        <w:tc>
          <w:tcPr>
            <w:tcW w:w="281" w:type="dxa"/>
            <w:tcBorders/>
            <w:vAlign w:val="center"/>
          </w:tcPr>
          <w:p>
            <w:pPr>
              <w:pStyle w:val="TableContents"/>
              <w:bidi w:val="0"/>
              <w:spacing w:before="0" w:after="283"/>
              <w:jc w:val="right"/>
              <w:rPr/>
            </w:pPr>
            <w:r>
              <w:rPr/>
              <w:t>26</w:t>
            </w:r>
          </w:p>
        </w:tc>
      </w:tr>
      <w:tr>
        <w:trPr/>
        <w:tc>
          <w:tcPr>
            <w:tcW w:w="8389" w:type="dxa"/>
            <w:gridSpan w:val="2"/>
            <w:tcBorders/>
            <w:vAlign w:val="center"/>
          </w:tcPr>
          <w:p>
            <w:pPr>
              <w:pStyle w:val="TableContents"/>
              <w:bidi w:val="0"/>
              <w:spacing w:before="0" w:after="283"/>
              <w:ind w:left="0" w:right="0" w:hanging="720"/>
              <w:jc w:val="center"/>
              <w:rPr/>
            </w:pPr>
            <w:r>
              <w:rPr/>
              <w:t>Article 5</w:t>
              <w:br/>
              <w:t>SUCCESSOR CORPORATION</w:t>
            </w:r>
          </w:p>
        </w:tc>
      </w:tr>
      <w:tr>
        <w:trPr/>
        <w:tc>
          <w:tcPr>
            <w:tcW w:w="8108" w:type="dxa"/>
            <w:tcBorders/>
            <w:vAlign w:val="center"/>
          </w:tcPr>
          <w:p>
            <w:pPr>
              <w:pStyle w:val="TableContents"/>
              <w:bidi w:val="0"/>
              <w:spacing w:before="0" w:after="283"/>
              <w:jc w:val="left"/>
              <w:rPr/>
            </w:pPr>
            <w:r>
              <w:rPr/>
              <w:t>Section 5.01.  </w:t>
            </w:r>
            <w:r>
              <w:rPr>
                <w:i/>
              </w:rPr>
              <w:t>When Company May Merge, Etc</w:t>
            </w:r>
          </w:p>
        </w:tc>
        <w:tc>
          <w:tcPr>
            <w:tcW w:w="281" w:type="dxa"/>
            <w:tcBorders/>
            <w:vAlign w:val="center"/>
          </w:tcPr>
          <w:p>
            <w:pPr>
              <w:pStyle w:val="TableContents"/>
              <w:bidi w:val="0"/>
              <w:spacing w:before="0" w:after="283"/>
              <w:ind w:left="0" w:right="0" w:hanging="720"/>
              <w:jc w:val="right"/>
              <w:rPr/>
            </w:pPr>
            <w:r>
              <w:rPr/>
              <w:t>27</w:t>
            </w:r>
          </w:p>
        </w:tc>
      </w:tr>
      <w:tr>
        <w:trPr/>
        <w:tc>
          <w:tcPr>
            <w:tcW w:w="8108" w:type="dxa"/>
            <w:tcBorders/>
            <w:vAlign w:val="center"/>
          </w:tcPr>
          <w:p>
            <w:pPr>
              <w:pStyle w:val="TableContents"/>
              <w:bidi w:val="0"/>
              <w:spacing w:before="0" w:after="283"/>
              <w:jc w:val="left"/>
              <w:rPr/>
            </w:pPr>
            <w:r>
              <w:rPr/>
              <w:t>Section 5.02.  </w:t>
            </w:r>
            <w:r>
              <w:rPr>
                <w:i/>
              </w:rPr>
              <w:t>Successor Substituted</w:t>
            </w:r>
          </w:p>
        </w:tc>
        <w:tc>
          <w:tcPr>
            <w:tcW w:w="281" w:type="dxa"/>
            <w:tcBorders/>
            <w:vAlign w:val="center"/>
          </w:tcPr>
          <w:p>
            <w:pPr>
              <w:pStyle w:val="TableContents"/>
              <w:bidi w:val="0"/>
              <w:spacing w:before="0" w:after="283"/>
              <w:jc w:val="right"/>
              <w:rPr/>
            </w:pPr>
            <w:r>
              <w:rPr/>
              <w:t>27</w:t>
            </w:r>
          </w:p>
        </w:tc>
      </w:tr>
      <w:tr>
        <w:trPr/>
        <w:tc>
          <w:tcPr>
            <w:tcW w:w="8389" w:type="dxa"/>
            <w:gridSpan w:val="2"/>
            <w:tcBorders/>
            <w:vAlign w:val="center"/>
          </w:tcPr>
          <w:p>
            <w:pPr>
              <w:pStyle w:val="TableContents"/>
              <w:bidi w:val="0"/>
              <w:spacing w:before="0" w:after="283"/>
              <w:ind w:left="0" w:right="0" w:hanging="720"/>
              <w:jc w:val="center"/>
              <w:rPr/>
            </w:pPr>
            <w:r>
              <w:rPr/>
              <w:t>Article 6</w:t>
              <w:br/>
              <w:t>DEFAULT AND REMEDIES</w:t>
            </w:r>
          </w:p>
        </w:tc>
      </w:tr>
      <w:tr>
        <w:trPr/>
        <w:tc>
          <w:tcPr>
            <w:tcW w:w="8108" w:type="dxa"/>
            <w:tcBorders/>
            <w:vAlign w:val="center"/>
          </w:tcPr>
          <w:p>
            <w:pPr>
              <w:pStyle w:val="TableContents"/>
              <w:bidi w:val="0"/>
              <w:spacing w:before="0" w:after="283"/>
              <w:jc w:val="left"/>
              <w:rPr/>
            </w:pPr>
            <w:r>
              <w:rPr/>
              <w:t>Section 6.01.  </w:t>
            </w:r>
            <w:r>
              <w:rPr>
                <w:i/>
              </w:rPr>
              <w:t>Events of Default</w:t>
            </w:r>
          </w:p>
        </w:tc>
        <w:tc>
          <w:tcPr>
            <w:tcW w:w="281" w:type="dxa"/>
            <w:tcBorders/>
            <w:vAlign w:val="center"/>
          </w:tcPr>
          <w:p>
            <w:pPr>
              <w:pStyle w:val="TableContents"/>
              <w:bidi w:val="0"/>
              <w:spacing w:before="0" w:after="283"/>
              <w:ind w:left="0" w:right="0" w:hanging="720"/>
              <w:jc w:val="right"/>
              <w:rPr/>
            </w:pPr>
            <w:r>
              <w:rPr/>
              <w:t>28</w:t>
            </w:r>
          </w:p>
        </w:tc>
      </w:tr>
      <w:tr>
        <w:trPr/>
        <w:tc>
          <w:tcPr>
            <w:tcW w:w="8108" w:type="dxa"/>
            <w:tcBorders/>
            <w:vAlign w:val="center"/>
          </w:tcPr>
          <w:p>
            <w:pPr>
              <w:pStyle w:val="TableContents"/>
              <w:bidi w:val="0"/>
              <w:spacing w:before="0" w:after="283"/>
              <w:jc w:val="left"/>
              <w:rPr/>
            </w:pPr>
            <w:r>
              <w:rPr/>
              <w:t>Section 6.02.  </w:t>
            </w:r>
            <w:r>
              <w:rPr>
                <w:i/>
              </w:rPr>
              <w:t>Acceleration</w:t>
            </w:r>
          </w:p>
        </w:tc>
        <w:tc>
          <w:tcPr>
            <w:tcW w:w="281" w:type="dxa"/>
            <w:tcBorders/>
            <w:vAlign w:val="center"/>
          </w:tcPr>
          <w:p>
            <w:pPr>
              <w:pStyle w:val="TableContents"/>
              <w:bidi w:val="0"/>
              <w:spacing w:before="0" w:after="283"/>
              <w:ind w:left="0" w:right="0" w:hanging="720"/>
              <w:jc w:val="right"/>
              <w:rPr/>
            </w:pPr>
            <w:r>
              <w:rPr/>
              <w:t>28</w:t>
            </w:r>
          </w:p>
        </w:tc>
      </w:tr>
      <w:tr>
        <w:trPr/>
        <w:tc>
          <w:tcPr>
            <w:tcW w:w="8108" w:type="dxa"/>
            <w:tcBorders/>
            <w:vAlign w:val="center"/>
          </w:tcPr>
          <w:p>
            <w:pPr>
              <w:pStyle w:val="TableContents"/>
              <w:bidi w:val="0"/>
              <w:spacing w:before="0" w:after="283"/>
              <w:jc w:val="left"/>
              <w:rPr/>
            </w:pPr>
            <w:r>
              <w:rPr/>
              <w:t>Section 6.03.  </w:t>
            </w:r>
            <w:r>
              <w:rPr>
                <w:i/>
              </w:rPr>
              <w:t>Other Remedies</w:t>
            </w:r>
          </w:p>
        </w:tc>
        <w:tc>
          <w:tcPr>
            <w:tcW w:w="281" w:type="dxa"/>
            <w:tcBorders/>
            <w:vAlign w:val="center"/>
          </w:tcPr>
          <w:p>
            <w:pPr>
              <w:pStyle w:val="TableContents"/>
              <w:bidi w:val="0"/>
              <w:spacing w:before="0" w:after="283"/>
              <w:ind w:left="0" w:right="0" w:hanging="720"/>
              <w:jc w:val="right"/>
              <w:rPr/>
            </w:pPr>
            <w:r>
              <w:rPr/>
              <w:t>30</w:t>
            </w:r>
          </w:p>
        </w:tc>
      </w:tr>
      <w:tr>
        <w:trPr/>
        <w:tc>
          <w:tcPr>
            <w:tcW w:w="8108" w:type="dxa"/>
            <w:tcBorders/>
            <w:vAlign w:val="center"/>
          </w:tcPr>
          <w:p>
            <w:pPr>
              <w:pStyle w:val="TableContents"/>
              <w:bidi w:val="0"/>
              <w:spacing w:before="0" w:after="283"/>
              <w:jc w:val="left"/>
              <w:rPr/>
            </w:pPr>
            <w:r>
              <w:rPr/>
              <w:t>Section 6.04.  </w:t>
            </w:r>
            <w:r>
              <w:rPr>
                <w:i/>
              </w:rPr>
              <w:t>Waiver of Past Defaults</w:t>
            </w:r>
          </w:p>
        </w:tc>
        <w:tc>
          <w:tcPr>
            <w:tcW w:w="281" w:type="dxa"/>
            <w:tcBorders/>
            <w:vAlign w:val="center"/>
          </w:tcPr>
          <w:p>
            <w:pPr>
              <w:pStyle w:val="TableContents"/>
              <w:bidi w:val="0"/>
              <w:spacing w:before="0" w:after="283"/>
              <w:ind w:left="0" w:right="0" w:hanging="720"/>
              <w:jc w:val="right"/>
              <w:rPr/>
            </w:pPr>
            <w:r>
              <w:rPr/>
              <w:t>30</w:t>
            </w:r>
          </w:p>
        </w:tc>
      </w:tr>
      <w:tr>
        <w:trPr/>
        <w:tc>
          <w:tcPr>
            <w:tcW w:w="8108" w:type="dxa"/>
            <w:tcBorders/>
            <w:vAlign w:val="center"/>
          </w:tcPr>
          <w:p>
            <w:pPr>
              <w:pStyle w:val="TableContents"/>
              <w:bidi w:val="0"/>
              <w:spacing w:before="0" w:after="283"/>
              <w:jc w:val="left"/>
              <w:rPr/>
            </w:pPr>
            <w:r>
              <w:rPr/>
              <w:t>Section 6.05.  </w:t>
            </w:r>
            <w:r>
              <w:rPr>
                <w:i/>
              </w:rPr>
              <w:t>Control by Majority</w:t>
            </w:r>
          </w:p>
        </w:tc>
        <w:tc>
          <w:tcPr>
            <w:tcW w:w="281" w:type="dxa"/>
            <w:tcBorders/>
            <w:vAlign w:val="center"/>
          </w:tcPr>
          <w:p>
            <w:pPr>
              <w:pStyle w:val="TableContents"/>
              <w:bidi w:val="0"/>
              <w:spacing w:before="0" w:after="283"/>
              <w:ind w:left="0" w:right="0" w:hanging="720"/>
              <w:jc w:val="right"/>
              <w:rPr/>
            </w:pPr>
            <w:r>
              <w:rPr/>
              <w:t>30</w:t>
            </w:r>
          </w:p>
        </w:tc>
      </w:tr>
      <w:tr>
        <w:trPr/>
        <w:tc>
          <w:tcPr>
            <w:tcW w:w="8108" w:type="dxa"/>
            <w:tcBorders/>
            <w:vAlign w:val="center"/>
          </w:tcPr>
          <w:p>
            <w:pPr>
              <w:pStyle w:val="TableContents"/>
              <w:bidi w:val="0"/>
              <w:spacing w:before="0" w:after="283"/>
              <w:jc w:val="left"/>
              <w:rPr/>
            </w:pPr>
            <w:r>
              <w:rPr/>
              <w:t>Section 6.06.  </w:t>
            </w:r>
            <w:r>
              <w:rPr>
                <w:i/>
              </w:rPr>
              <w:t>Limitation on Suits</w:t>
            </w:r>
          </w:p>
        </w:tc>
        <w:tc>
          <w:tcPr>
            <w:tcW w:w="281" w:type="dxa"/>
            <w:tcBorders/>
            <w:vAlign w:val="center"/>
          </w:tcPr>
          <w:p>
            <w:pPr>
              <w:pStyle w:val="TableContents"/>
              <w:bidi w:val="0"/>
              <w:spacing w:before="0" w:after="283"/>
              <w:ind w:left="0" w:right="0" w:hanging="720"/>
              <w:jc w:val="right"/>
              <w:rPr/>
            </w:pPr>
            <w:r>
              <w:rPr/>
              <w:t>31</w:t>
            </w:r>
          </w:p>
        </w:tc>
      </w:tr>
      <w:tr>
        <w:trPr/>
        <w:tc>
          <w:tcPr>
            <w:tcW w:w="8108" w:type="dxa"/>
            <w:tcBorders/>
            <w:vAlign w:val="center"/>
          </w:tcPr>
          <w:p>
            <w:pPr>
              <w:pStyle w:val="TableContents"/>
              <w:bidi w:val="0"/>
              <w:spacing w:before="0" w:after="283"/>
              <w:jc w:val="left"/>
              <w:rPr/>
            </w:pPr>
            <w:r>
              <w:rPr/>
              <w:t>Section 6.07.  </w:t>
            </w:r>
            <w:r>
              <w:rPr>
                <w:i/>
              </w:rPr>
              <w:t>Rights of Holders to Receive Payment</w:t>
            </w:r>
          </w:p>
        </w:tc>
        <w:tc>
          <w:tcPr>
            <w:tcW w:w="281" w:type="dxa"/>
            <w:tcBorders/>
            <w:vAlign w:val="center"/>
          </w:tcPr>
          <w:p>
            <w:pPr>
              <w:pStyle w:val="TableContents"/>
              <w:bidi w:val="0"/>
              <w:spacing w:before="0" w:after="283"/>
              <w:ind w:left="0" w:right="0" w:hanging="720"/>
              <w:jc w:val="right"/>
              <w:rPr/>
            </w:pPr>
            <w:r>
              <w:rPr/>
              <w:t>31</w:t>
            </w:r>
          </w:p>
        </w:tc>
      </w:tr>
      <w:tr>
        <w:trPr/>
        <w:tc>
          <w:tcPr>
            <w:tcW w:w="8108" w:type="dxa"/>
            <w:tcBorders/>
            <w:vAlign w:val="center"/>
          </w:tcPr>
          <w:p>
            <w:pPr>
              <w:pStyle w:val="TableContents"/>
              <w:bidi w:val="0"/>
              <w:spacing w:before="0" w:after="283"/>
              <w:jc w:val="left"/>
              <w:rPr/>
            </w:pPr>
            <w:r>
              <w:rPr/>
              <w:t>Section 6.08.  </w:t>
            </w:r>
            <w:r>
              <w:rPr>
                <w:i/>
              </w:rPr>
              <w:t>Collection Suit by Trustee</w:t>
            </w:r>
          </w:p>
        </w:tc>
        <w:tc>
          <w:tcPr>
            <w:tcW w:w="281" w:type="dxa"/>
            <w:tcBorders/>
            <w:vAlign w:val="center"/>
          </w:tcPr>
          <w:p>
            <w:pPr>
              <w:pStyle w:val="TableContents"/>
              <w:bidi w:val="0"/>
              <w:spacing w:before="0" w:after="283"/>
              <w:ind w:left="0" w:right="0" w:hanging="720"/>
              <w:jc w:val="right"/>
              <w:rPr/>
            </w:pPr>
            <w:r>
              <w:rPr/>
              <w:t>31</w:t>
            </w:r>
          </w:p>
        </w:tc>
      </w:tr>
      <w:tr>
        <w:trPr/>
        <w:tc>
          <w:tcPr>
            <w:tcW w:w="8108" w:type="dxa"/>
            <w:tcBorders/>
            <w:vAlign w:val="center"/>
          </w:tcPr>
          <w:p>
            <w:pPr>
              <w:pStyle w:val="TableContents"/>
              <w:bidi w:val="0"/>
              <w:spacing w:before="0" w:after="283"/>
              <w:jc w:val="left"/>
              <w:rPr/>
            </w:pPr>
            <w:r>
              <w:rPr/>
              <w:t>Section 6.09.  </w:t>
            </w:r>
            <w:r>
              <w:rPr>
                <w:i/>
              </w:rPr>
              <w:t>Trustee May File Proofs of Claim</w:t>
            </w:r>
          </w:p>
        </w:tc>
        <w:tc>
          <w:tcPr>
            <w:tcW w:w="281" w:type="dxa"/>
            <w:tcBorders/>
            <w:vAlign w:val="center"/>
          </w:tcPr>
          <w:p>
            <w:pPr>
              <w:pStyle w:val="TableContents"/>
              <w:bidi w:val="0"/>
              <w:spacing w:before="0" w:after="283"/>
              <w:ind w:left="0" w:right="0" w:hanging="720"/>
              <w:jc w:val="right"/>
              <w:rPr/>
            </w:pPr>
            <w:r>
              <w:rPr/>
              <w:t>31</w:t>
            </w:r>
          </w:p>
        </w:tc>
      </w:tr>
      <w:tr>
        <w:trPr/>
        <w:tc>
          <w:tcPr>
            <w:tcW w:w="8108" w:type="dxa"/>
            <w:tcBorders/>
            <w:vAlign w:val="center"/>
          </w:tcPr>
          <w:p>
            <w:pPr>
              <w:pStyle w:val="TableContents"/>
              <w:bidi w:val="0"/>
              <w:spacing w:before="0" w:after="283"/>
              <w:jc w:val="left"/>
              <w:rPr/>
            </w:pPr>
            <w:r>
              <w:rPr/>
              <w:t>Section 6.10.  </w:t>
            </w:r>
            <w:r>
              <w:rPr>
                <w:i/>
              </w:rPr>
              <w:t>Application of Proceeds</w:t>
            </w:r>
          </w:p>
        </w:tc>
        <w:tc>
          <w:tcPr>
            <w:tcW w:w="281" w:type="dxa"/>
            <w:tcBorders/>
            <w:vAlign w:val="center"/>
          </w:tcPr>
          <w:p>
            <w:pPr>
              <w:pStyle w:val="TableContents"/>
              <w:bidi w:val="0"/>
              <w:spacing w:before="0" w:after="283"/>
              <w:ind w:left="0" w:right="0" w:hanging="720"/>
              <w:jc w:val="right"/>
              <w:rPr/>
            </w:pPr>
            <w:r>
              <w:rPr/>
              <w:t>32</w:t>
            </w:r>
          </w:p>
        </w:tc>
      </w:tr>
      <w:tr>
        <w:trPr/>
        <w:tc>
          <w:tcPr>
            <w:tcW w:w="8108" w:type="dxa"/>
            <w:tcBorders/>
            <w:vAlign w:val="center"/>
          </w:tcPr>
          <w:p>
            <w:pPr>
              <w:pStyle w:val="TableContents"/>
              <w:bidi w:val="0"/>
              <w:spacing w:before="0" w:after="283"/>
              <w:jc w:val="left"/>
              <w:rPr/>
            </w:pPr>
            <w:r>
              <w:rPr/>
              <w:t>Section 6.11.  </w:t>
            </w:r>
            <w:r>
              <w:rPr>
                <w:i/>
              </w:rPr>
              <w:t>Restoration of Rights and Remedies</w:t>
            </w:r>
          </w:p>
        </w:tc>
        <w:tc>
          <w:tcPr>
            <w:tcW w:w="281" w:type="dxa"/>
            <w:tcBorders/>
            <w:vAlign w:val="center"/>
          </w:tcPr>
          <w:p>
            <w:pPr>
              <w:pStyle w:val="TableContents"/>
              <w:bidi w:val="0"/>
              <w:spacing w:before="0" w:after="283"/>
              <w:ind w:left="0" w:right="0" w:hanging="720"/>
              <w:jc w:val="right"/>
              <w:rPr/>
            </w:pPr>
            <w:r>
              <w:rPr/>
              <w:t>33</w:t>
            </w:r>
          </w:p>
        </w:tc>
      </w:tr>
      <w:tr>
        <w:trPr/>
        <w:tc>
          <w:tcPr>
            <w:tcW w:w="8108" w:type="dxa"/>
            <w:tcBorders/>
            <w:vAlign w:val="center"/>
          </w:tcPr>
          <w:p>
            <w:pPr>
              <w:pStyle w:val="TableContents"/>
              <w:bidi w:val="0"/>
              <w:spacing w:before="0" w:after="283"/>
              <w:jc w:val="left"/>
              <w:rPr/>
            </w:pPr>
            <w:r>
              <w:rPr/>
              <w:t>Section 6.12.  </w:t>
            </w:r>
            <w:r>
              <w:rPr>
                <w:i/>
              </w:rPr>
              <w:t>Undertaking for Costs</w:t>
            </w:r>
          </w:p>
        </w:tc>
        <w:tc>
          <w:tcPr>
            <w:tcW w:w="281" w:type="dxa"/>
            <w:tcBorders/>
            <w:vAlign w:val="center"/>
          </w:tcPr>
          <w:p>
            <w:pPr>
              <w:pStyle w:val="TableContents"/>
              <w:bidi w:val="0"/>
              <w:spacing w:before="0" w:after="283"/>
              <w:ind w:left="0" w:right="0" w:hanging="720"/>
              <w:jc w:val="right"/>
              <w:rPr/>
            </w:pPr>
            <w:r>
              <w:rPr/>
              <w:t>33</w:t>
            </w:r>
          </w:p>
        </w:tc>
      </w:tr>
      <w:tr>
        <w:trPr/>
        <w:tc>
          <w:tcPr>
            <w:tcW w:w="8108" w:type="dxa"/>
            <w:tcBorders/>
            <w:vAlign w:val="center"/>
          </w:tcPr>
          <w:p>
            <w:pPr>
              <w:pStyle w:val="TableContents"/>
              <w:bidi w:val="0"/>
              <w:spacing w:before="0" w:after="283"/>
              <w:jc w:val="left"/>
              <w:rPr/>
            </w:pPr>
            <w:r>
              <w:rPr/>
              <w:t>Section 6.13.  </w:t>
            </w:r>
            <w:r>
              <w:rPr>
                <w:i/>
              </w:rPr>
              <w:t>Rights and Remedies Cumulative</w:t>
            </w:r>
          </w:p>
        </w:tc>
        <w:tc>
          <w:tcPr>
            <w:tcW w:w="281" w:type="dxa"/>
            <w:tcBorders/>
            <w:vAlign w:val="center"/>
          </w:tcPr>
          <w:p>
            <w:pPr>
              <w:pStyle w:val="TableContents"/>
              <w:bidi w:val="0"/>
              <w:spacing w:before="0" w:after="283"/>
              <w:ind w:left="0" w:right="0" w:hanging="720"/>
              <w:jc w:val="right"/>
              <w:rPr/>
            </w:pPr>
            <w:r>
              <w:rPr/>
              <w:t>33</w:t>
            </w:r>
          </w:p>
        </w:tc>
      </w:tr>
      <w:tr>
        <w:trPr/>
        <w:tc>
          <w:tcPr>
            <w:tcW w:w="8108" w:type="dxa"/>
            <w:tcBorders/>
            <w:vAlign w:val="center"/>
          </w:tcPr>
          <w:p>
            <w:pPr>
              <w:pStyle w:val="TableContents"/>
              <w:bidi w:val="0"/>
              <w:spacing w:before="0" w:after="283"/>
              <w:jc w:val="left"/>
              <w:rPr/>
            </w:pPr>
            <w:r>
              <w:rPr/>
              <w:t>Section 6.14.  </w:t>
            </w:r>
            <w:r>
              <w:rPr>
                <w:i/>
              </w:rPr>
              <w:t>Delay or Omission not Waiver</w:t>
            </w:r>
          </w:p>
        </w:tc>
        <w:tc>
          <w:tcPr>
            <w:tcW w:w="281" w:type="dxa"/>
            <w:tcBorders/>
            <w:vAlign w:val="center"/>
          </w:tcPr>
          <w:p>
            <w:pPr>
              <w:pStyle w:val="TableContents"/>
              <w:bidi w:val="0"/>
              <w:spacing w:before="0" w:after="283"/>
              <w:jc w:val="right"/>
              <w:rPr/>
            </w:pPr>
            <w:r>
              <w:rPr/>
              <w:t>33</w:t>
            </w:r>
          </w:p>
        </w:tc>
      </w:tr>
      <w:tr>
        <w:trPr/>
        <w:tc>
          <w:tcPr>
            <w:tcW w:w="8389" w:type="dxa"/>
            <w:gridSpan w:val="2"/>
            <w:tcBorders/>
            <w:vAlign w:val="center"/>
          </w:tcPr>
          <w:p>
            <w:pPr>
              <w:pStyle w:val="TableContents"/>
              <w:bidi w:val="0"/>
              <w:spacing w:before="0" w:after="283"/>
              <w:ind w:left="0" w:right="0" w:hanging="720"/>
              <w:jc w:val="center"/>
              <w:rPr/>
            </w:pPr>
            <w:r>
              <w:rPr/>
              <w:t>Article 7</w:t>
              <w:br/>
              <w:t>TRUSTEE</w:t>
            </w:r>
          </w:p>
        </w:tc>
      </w:tr>
      <w:tr>
        <w:trPr/>
        <w:tc>
          <w:tcPr>
            <w:tcW w:w="8108" w:type="dxa"/>
            <w:tcBorders/>
            <w:vAlign w:val="center"/>
          </w:tcPr>
          <w:p>
            <w:pPr>
              <w:pStyle w:val="TableContents"/>
              <w:bidi w:val="0"/>
              <w:spacing w:before="0" w:after="283"/>
              <w:jc w:val="left"/>
              <w:rPr/>
            </w:pPr>
            <w:r>
              <w:rPr/>
              <w:t>Section 7.01.  </w:t>
            </w:r>
            <w:r>
              <w:rPr>
                <w:i/>
              </w:rPr>
              <w:t>General</w:t>
            </w:r>
          </w:p>
        </w:tc>
        <w:tc>
          <w:tcPr>
            <w:tcW w:w="281" w:type="dxa"/>
            <w:tcBorders/>
            <w:vAlign w:val="center"/>
          </w:tcPr>
          <w:p>
            <w:pPr>
              <w:pStyle w:val="TableContents"/>
              <w:bidi w:val="0"/>
              <w:spacing w:before="0" w:after="283"/>
              <w:ind w:left="0" w:right="0" w:hanging="720"/>
              <w:jc w:val="right"/>
              <w:rPr/>
            </w:pPr>
            <w:r>
              <w:rPr/>
              <w:t>34</w:t>
            </w:r>
          </w:p>
        </w:tc>
      </w:tr>
      <w:tr>
        <w:trPr/>
        <w:tc>
          <w:tcPr>
            <w:tcW w:w="8108" w:type="dxa"/>
            <w:tcBorders/>
            <w:vAlign w:val="center"/>
          </w:tcPr>
          <w:p>
            <w:pPr>
              <w:pStyle w:val="TableContents"/>
              <w:bidi w:val="0"/>
              <w:spacing w:before="0" w:after="283"/>
              <w:jc w:val="left"/>
              <w:rPr/>
            </w:pPr>
            <w:r>
              <w:rPr/>
              <w:t>Section 7.02.  </w:t>
            </w:r>
            <w:r>
              <w:rPr>
                <w:i/>
              </w:rPr>
              <w:t>Certain Rights of Trustee</w:t>
            </w:r>
          </w:p>
        </w:tc>
        <w:tc>
          <w:tcPr>
            <w:tcW w:w="281" w:type="dxa"/>
            <w:tcBorders/>
            <w:vAlign w:val="center"/>
          </w:tcPr>
          <w:p>
            <w:pPr>
              <w:pStyle w:val="TableContents"/>
              <w:bidi w:val="0"/>
              <w:spacing w:before="0" w:after="283"/>
              <w:ind w:left="0" w:right="0" w:hanging="720"/>
              <w:jc w:val="right"/>
              <w:rPr/>
            </w:pPr>
            <w:r>
              <w:rPr/>
              <w:t>34</w:t>
            </w:r>
          </w:p>
        </w:tc>
      </w:tr>
      <w:tr>
        <w:trPr/>
        <w:tc>
          <w:tcPr>
            <w:tcW w:w="8108" w:type="dxa"/>
            <w:tcBorders/>
            <w:vAlign w:val="center"/>
          </w:tcPr>
          <w:p>
            <w:pPr>
              <w:pStyle w:val="TableContents"/>
              <w:bidi w:val="0"/>
              <w:spacing w:before="0" w:after="283"/>
              <w:jc w:val="left"/>
              <w:rPr/>
            </w:pPr>
            <w:r>
              <w:rPr/>
              <w:t>Section 7.03.  </w:t>
            </w:r>
            <w:r>
              <w:rPr>
                <w:i/>
              </w:rPr>
              <w:t>Individual Rights of Trustee</w:t>
            </w:r>
          </w:p>
        </w:tc>
        <w:tc>
          <w:tcPr>
            <w:tcW w:w="281" w:type="dxa"/>
            <w:tcBorders/>
            <w:vAlign w:val="center"/>
          </w:tcPr>
          <w:p>
            <w:pPr>
              <w:pStyle w:val="TableContents"/>
              <w:bidi w:val="0"/>
              <w:spacing w:before="0" w:after="283"/>
              <w:ind w:left="0" w:right="0" w:hanging="720"/>
              <w:jc w:val="right"/>
              <w:rPr/>
            </w:pPr>
            <w:r>
              <w:rPr/>
              <w:t>35</w:t>
            </w:r>
          </w:p>
        </w:tc>
      </w:tr>
      <w:tr>
        <w:trPr/>
        <w:tc>
          <w:tcPr>
            <w:tcW w:w="8108" w:type="dxa"/>
            <w:tcBorders/>
            <w:vAlign w:val="center"/>
          </w:tcPr>
          <w:p>
            <w:pPr>
              <w:pStyle w:val="TableContents"/>
              <w:bidi w:val="0"/>
              <w:spacing w:before="0" w:after="283"/>
              <w:jc w:val="left"/>
              <w:rPr/>
            </w:pPr>
            <w:r>
              <w:rPr/>
              <w:t>Section 7.04.  </w:t>
            </w:r>
            <w:r>
              <w:rPr>
                <w:i/>
              </w:rPr>
              <w:t>Trustee’s Disclaimer</w:t>
            </w:r>
          </w:p>
        </w:tc>
        <w:tc>
          <w:tcPr>
            <w:tcW w:w="281" w:type="dxa"/>
            <w:tcBorders/>
            <w:vAlign w:val="center"/>
          </w:tcPr>
          <w:p>
            <w:pPr>
              <w:pStyle w:val="TableContents"/>
              <w:bidi w:val="0"/>
              <w:spacing w:before="0" w:after="283"/>
              <w:ind w:left="0" w:right="0" w:hanging="720"/>
              <w:jc w:val="right"/>
              <w:rPr/>
            </w:pPr>
            <w:r>
              <w:rPr/>
              <w:t>36</w:t>
            </w:r>
          </w:p>
        </w:tc>
      </w:tr>
      <w:tr>
        <w:trPr/>
        <w:tc>
          <w:tcPr>
            <w:tcW w:w="8108" w:type="dxa"/>
            <w:tcBorders/>
            <w:vAlign w:val="center"/>
          </w:tcPr>
          <w:p>
            <w:pPr>
              <w:pStyle w:val="TableContents"/>
              <w:bidi w:val="0"/>
              <w:spacing w:before="0" w:after="283"/>
              <w:jc w:val="left"/>
              <w:rPr/>
            </w:pPr>
            <w:r>
              <w:rPr/>
              <w:t>Section 7.05.  </w:t>
            </w:r>
            <w:r>
              <w:rPr>
                <w:i/>
              </w:rPr>
              <w:t>Notice of Default</w:t>
            </w:r>
          </w:p>
        </w:tc>
        <w:tc>
          <w:tcPr>
            <w:tcW w:w="281" w:type="dxa"/>
            <w:tcBorders/>
            <w:vAlign w:val="center"/>
          </w:tcPr>
          <w:p>
            <w:pPr>
              <w:pStyle w:val="TableContents"/>
              <w:bidi w:val="0"/>
              <w:spacing w:before="0" w:after="283"/>
              <w:ind w:left="0" w:right="0" w:hanging="720"/>
              <w:jc w:val="right"/>
              <w:rPr/>
            </w:pPr>
            <w:r>
              <w:rPr/>
              <w:t>36</w:t>
            </w:r>
          </w:p>
        </w:tc>
      </w:tr>
      <w:tr>
        <w:trPr/>
        <w:tc>
          <w:tcPr>
            <w:tcW w:w="8108" w:type="dxa"/>
            <w:tcBorders/>
            <w:vAlign w:val="center"/>
          </w:tcPr>
          <w:p>
            <w:pPr>
              <w:pStyle w:val="TableContents"/>
              <w:bidi w:val="0"/>
              <w:spacing w:before="0" w:after="283"/>
              <w:jc w:val="left"/>
              <w:rPr/>
            </w:pPr>
            <w:r>
              <w:rPr/>
              <w:t>Section 7.06.  </w:t>
            </w:r>
            <w:r>
              <w:rPr>
                <w:i/>
              </w:rPr>
              <w:t>Reports by Trustee to Holders</w:t>
            </w:r>
          </w:p>
        </w:tc>
        <w:tc>
          <w:tcPr>
            <w:tcW w:w="281" w:type="dxa"/>
            <w:tcBorders/>
            <w:vAlign w:val="center"/>
          </w:tcPr>
          <w:p>
            <w:pPr>
              <w:pStyle w:val="TableContents"/>
              <w:bidi w:val="0"/>
              <w:spacing w:before="0" w:after="283"/>
              <w:ind w:left="0" w:right="0" w:hanging="720"/>
              <w:jc w:val="right"/>
              <w:rPr/>
            </w:pPr>
            <w:r>
              <w:rPr/>
              <w:t>36</w:t>
            </w:r>
          </w:p>
        </w:tc>
      </w:tr>
      <w:tr>
        <w:trPr/>
        <w:tc>
          <w:tcPr>
            <w:tcW w:w="8108" w:type="dxa"/>
            <w:tcBorders/>
            <w:vAlign w:val="center"/>
          </w:tcPr>
          <w:p>
            <w:pPr>
              <w:pStyle w:val="TableContents"/>
              <w:bidi w:val="0"/>
              <w:spacing w:before="0" w:after="283"/>
              <w:jc w:val="left"/>
              <w:rPr/>
            </w:pPr>
            <w:r>
              <w:rPr/>
              <w:t>Section 7.07.  </w:t>
            </w:r>
            <w:r>
              <w:rPr>
                <w:i/>
              </w:rPr>
              <w:t>Compensation and Indemnity</w:t>
            </w:r>
          </w:p>
        </w:tc>
        <w:tc>
          <w:tcPr>
            <w:tcW w:w="281" w:type="dxa"/>
            <w:tcBorders/>
            <w:vAlign w:val="center"/>
          </w:tcPr>
          <w:p>
            <w:pPr>
              <w:pStyle w:val="TableContents"/>
              <w:bidi w:val="0"/>
              <w:spacing w:before="0" w:after="283"/>
              <w:ind w:left="0" w:right="0" w:hanging="720"/>
              <w:jc w:val="right"/>
              <w:rPr/>
            </w:pPr>
            <w:r>
              <w:rPr/>
              <w:t>36</w:t>
            </w:r>
          </w:p>
        </w:tc>
      </w:tr>
      <w:tr>
        <w:trPr/>
        <w:tc>
          <w:tcPr>
            <w:tcW w:w="8108" w:type="dxa"/>
            <w:tcBorders/>
            <w:vAlign w:val="center"/>
          </w:tcPr>
          <w:p>
            <w:pPr>
              <w:pStyle w:val="TableContents"/>
              <w:bidi w:val="0"/>
              <w:spacing w:before="0" w:after="283"/>
              <w:jc w:val="left"/>
              <w:rPr/>
            </w:pPr>
            <w:r>
              <w:rPr/>
              <w:t>Section 7.08.  </w:t>
            </w:r>
            <w:r>
              <w:rPr>
                <w:i/>
              </w:rPr>
              <w:t>Replacement of Trustee</w:t>
            </w:r>
          </w:p>
        </w:tc>
        <w:tc>
          <w:tcPr>
            <w:tcW w:w="281" w:type="dxa"/>
            <w:tcBorders/>
            <w:vAlign w:val="center"/>
          </w:tcPr>
          <w:p>
            <w:pPr>
              <w:pStyle w:val="TableContents"/>
              <w:bidi w:val="0"/>
              <w:spacing w:before="0" w:after="283"/>
              <w:ind w:left="0" w:right="0" w:hanging="720"/>
              <w:jc w:val="right"/>
              <w:rPr/>
            </w:pPr>
            <w:r>
              <w:rPr/>
              <w:t>37</w:t>
            </w:r>
          </w:p>
        </w:tc>
      </w:tr>
      <w:tr>
        <w:trPr/>
        <w:tc>
          <w:tcPr>
            <w:tcW w:w="8108" w:type="dxa"/>
            <w:tcBorders/>
            <w:vAlign w:val="center"/>
          </w:tcPr>
          <w:p>
            <w:pPr>
              <w:pStyle w:val="TableContents"/>
              <w:bidi w:val="0"/>
              <w:spacing w:before="0" w:after="283"/>
              <w:jc w:val="left"/>
              <w:rPr/>
            </w:pPr>
            <w:r>
              <w:rPr/>
              <w:t>Section 7.09.  </w:t>
            </w:r>
            <w:r>
              <w:rPr>
                <w:i/>
              </w:rPr>
              <w:t>Acceptance of Appointment by Successor</w:t>
            </w:r>
          </w:p>
        </w:tc>
        <w:tc>
          <w:tcPr>
            <w:tcW w:w="281" w:type="dxa"/>
            <w:tcBorders/>
            <w:vAlign w:val="center"/>
          </w:tcPr>
          <w:p>
            <w:pPr>
              <w:pStyle w:val="TableContents"/>
              <w:bidi w:val="0"/>
              <w:spacing w:before="0" w:after="283"/>
              <w:ind w:left="0" w:right="0" w:hanging="720"/>
              <w:jc w:val="right"/>
              <w:rPr/>
            </w:pPr>
            <w:r>
              <w:rPr/>
              <w:t>38</w:t>
            </w:r>
          </w:p>
        </w:tc>
      </w:tr>
      <w:tr>
        <w:trPr/>
        <w:tc>
          <w:tcPr>
            <w:tcW w:w="8108" w:type="dxa"/>
            <w:tcBorders/>
            <w:vAlign w:val="center"/>
          </w:tcPr>
          <w:p>
            <w:pPr>
              <w:pStyle w:val="TableContents"/>
              <w:bidi w:val="0"/>
              <w:spacing w:before="0" w:after="283"/>
              <w:jc w:val="left"/>
              <w:rPr/>
            </w:pPr>
            <w:r>
              <w:rPr/>
              <w:t>Section 7.10.  </w:t>
            </w:r>
            <w:r>
              <w:rPr>
                <w:i/>
              </w:rPr>
              <w:t>Successor Trustee By Merger, Etc</w:t>
            </w:r>
          </w:p>
        </w:tc>
        <w:tc>
          <w:tcPr>
            <w:tcW w:w="281" w:type="dxa"/>
            <w:tcBorders/>
            <w:vAlign w:val="center"/>
          </w:tcPr>
          <w:p>
            <w:pPr>
              <w:pStyle w:val="TableContents"/>
              <w:bidi w:val="0"/>
              <w:spacing w:before="0" w:after="283"/>
              <w:ind w:left="0" w:right="0" w:hanging="720"/>
              <w:jc w:val="right"/>
              <w:rPr/>
            </w:pPr>
            <w:r>
              <w:rPr/>
              <w:t>39</w:t>
            </w:r>
          </w:p>
        </w:tc>
      </w:tr>
      <w:tr>
        <w:trPr/>
        <w:tc>
          <w:tcPr>
            <w:tcW w:w="8108" w:type="dxa"/>
            <w:tcBorders/>
            <w:vAlign w:val="center"/>
          </w:tcPr>
          <w:p>
            <w:pPr>
              <w:pStyle w:val="TableContents"/>
              <w:bidi w:val="0"/>
              <w:spacing w:before="0" w:after="283"/>
              <w:jc w:val="left"/>
              <w:rPr/>
            </w:pPr>
            <w:r>
              <w:rPr/>
              <w:t>Section 7.11.  </w:t>
            </w:r>
            <w:r>
              <w:rPr>
                <w:i/>
              </w:rPr>
              <w:t>Eligibility</w:t>
            </w:r>
          </w:p>
        </w:tc>
        <w:tc>
          <w:tcPr>
            <w:tcW w:w="281" w:type="dxa"/>
            <w:tcBorders/>
            <w:vAlign w:val="center"/>
          </w:tcPr>
          <w:p>
            <w:pPr>
              <w:pStyle w:val="TableContents"/>
              <w:bidi w:val="0"/>
              <w:spacing w:before="0" w:after="283"/>
              <w:ind w:left="0" w:right="0" w:hanging="720"/>
              <w:jc w:val="right"/>
              <w:rPr/>
            </w:pPr>
            <w:r>
              <w:rPr/>
              <w:t>39</w:t>
            </w:r>
          </w:p>
        </w:tc>
      </w:tr>
      <w:tr>
        <w:trPr/>
        <w:tc>
          <w:tcPr>
            <w:tcW w:w="8108" w:type="dxa"/>
            <w:tcBorders/>
            <w:vAlign w:val="center"/>
          </w:tcPr>
          <w:p>
            <w:pPr>
              <w:pStyle w:val="TableContents"/>
              <w:bidi w:val="0"/>
              <w:spacing w:before="0" w:after="283"/>
              <w:jc w:val="left"/>
              <w:rPr/>
            </w:pPr>
            <w:r>
              <w:rPr/>
              <w:t>Section 7.12.  </w:t>
            </w:r>
            <w:r>
              <w:rPr>
                <w:i/>
              </w:rPr>
              <w:t>Money Held in Trust</w:t>
            </w:r>
          </w:p>
        </w:tc>
        <w:tc>
          <w:tcPr>
            <w:tcW w:w="281" w:type="dxa"/>
            <w:tcBorders/>
            <w:vAlign w:val="center"/>
          </w:tcPr>
          <w:p>
            <w:pPr>
              <w:pStyle w:val="TableContents"/>
              <w:bidi w:val="0"/>
              <w:spacing w:before="0" w:after="283"/>
              <w:jc w:val="right"/>
              <w:rPr/>
            </w:pPr>
            <w:r>
              <w:rPr/>
              <w:t>39</w:t>
            </w:r>
          </w:p>
        </w:tc>
      </w:tr>
      <w:tr>
        <w:trPr/>
        <w:tc>
          <w:tcPr>
            <w:tcW w:w="8389" w:type="dxa"/>
            <w:gridSpan w:val="2"/>
            <w:tcBorders/>
            <w:vAlign w:val="center"/>
          </w:tcPr>
          <w:p>
            <w:pPr>
              <w:pStyle w:val="TableContents"/>
              <w:bidi w:val="0"/>
              <w:spacing w:before="0" w:after="283"/>
              <w:ind w:left="0" w:right="0" w:hanging="720"/>
              <w:jc w:val="center"/>
              <w:rPr/>
            </w:pPr>
            <w:r>
              <w:rPr/>
              <w:t>Article 8</w:t>
              <w:br/>
              <w:t>SATISFACTION AND DISCHARGE OF INDENTURE; UNCLAIMED MONEYS</w:t>
            </w:r>
          </w:p>
        </w:tc>
      </w:tr>
      <w:tr>
        <w:trPr/>
        <w:tc>
          <w:tcPr>
            <w:tcW w:w="8108" w:type="dxa"/>
            <w:tcBorders/>
            <w:vAlign w:val="center"/>
          </w:tcPr>
          <w:p>
            <w:pPr>
              <w:pStyle w:val="TableContents"/>
              <w:bidi w:val="0"/>
              <w:spacing w:before="0" w:after="283"/>
              <w:jc w:val="left"/>
              <w:rPr/>
            </w:pPr>
            <w:r>
              <w:rPr/>
              <w:t>Section 8.01.  </w:t>
            </w:r>
            <w:r>
              <w:rPr>
                <w:i/>
              </w:rPr>
              <w:t>Satisfaction and Discharge of Indenture</w:t>
            </w:r>
          </w:p>
        </w:tc>
        <w:tc>
          <w:tcPr>
            <w:tcW w:w="281" w:type="dxa"/>
            <w:tcBorders/>
            <w:vAlign w:val="center"/>
          </w:tcPr>
          <w:p>
            <w:pPr>
              <w:pStyle w:val="TableContents"/>
              <w:bidi w:val="0"/>
              <w:spacing w:before="0" w:after="283"/>
              <w:ind w:left="0" w:right="0" w:hanging="720"/>
              <w:jc w:val="right"/>
              <w:rPr/>
            </w:pPr>
            <w:r>
              <w:rPr/>
              <w:t>40</w:t>
            </w:r>
          </w:p>
        </w:tc>
      </w:tr>
      <w:tr>
        <w:trPr/>
        <w:tc>
          <w:tcPr>
            <w:tcW w:w="8108" w:type="dxa"/>
            <w:tcBorders/>
            <w:vAlign w:val="center"/>
          </w:tcPr>
          <w:p>
            <w:pPr>
              <w:pStyle w:val="TableContents"/>
              <w:bidi w:val="0"/>
              <w:spacing w:before="0" w:after="283"/>
              <w:jc w:val="left"/>
              <w:rPr/>
            </w:pPr>
            <w:r>
              <w:rPr/>
              <w:t>Section 8.02.  </w:t>
            </w:r>
            <w:r>
              <w:rPr>
                <w:i/>
              </w:rPr>
              <w:t>Application by Trustee of Funds Deposited for Payment of Securities</w:t>
            </w:r>
          </w:p>
        </w:tc>
        <w:tc>
          <w:tcPr>
            <w:tcW w:w="281" w:type="dxa"/>
            <w:tcBorders/>
            <w:vAlign w:val="center"/>
          </w:tcPr>
          <w:p>
            <w:pPr>
              <w:pStyle w:val="TableContents"/>
              <w:bidi w:val="0"/>
              <w:spacing w:before="0" w:after="283"/>
              <w:ind w:left="0" w:right="0" w:hanging="720"/>
              <w:jc w:val="right"/>
              <w:rPr/>
            </w:pPr>
            <w:r>
              <w:rPr/>
              <w:t>41</w:t>
            </w:r>
          </w:p>
        </w:tc>
      </w:tr>
      <w:tr>
        <w:trPr/>
        <w:tc>
          <w:tcPr>
            <w:tcW w:w="8108" w:type="dxa"/>
            <w:tcBorders/>
            <w:vAlign w:val="center"/>
          </w:tcPr>
          <w:p>
            <w:pPr>
              <w:pStyle w:val="TableContents"/>
              <w:bidi w:val="0"/>
              <w:spacing w:before="0" w:after="283"/>
              <w:jc w:val="left"/>
              <w:rPr/>
            </w:pPr>
            <w:r>
              <w:rPr/>
              <w:t>Section 8.03.  </w:t>
            </w:r>
            <w:r>
              <w:rPr>
                <w:i/>
              </w:rPr>
              <w:t>Repayment of Moneys Held by Paying Agent</w:t>
            </w:r>
          </w:p>
        </w:tc>
        <w:tc>
          <w:tcPr>
            <w:tcW w:w="281" w:type="dxa"/>
            <w:tcBorders/>
            <w:vAlign w:val="center"/>
          </w:tcPr>
          <w:p>
            <w:pPr>
              <w:pStyle w:val="TableContents"/>
              <w:bidi w:val="0"/>
              <w:spacing w:before="0" w:after="283"/>
              <w:jc w:val="right"/>
              <w:rPr/>
            </w:pPr>
            <w:r>
              <w:rPr/>
              <w:t>41</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30"/>
        <w:gridCol w:w="275"/>
      </w:tblGrid>
      <w:tr>
        <w:trPr/>
        <w:tc>
          <w:tcPr>
            <w:tcW w:w="9930" w:type="dxa"/>
            <w:tcBorders/>
            <w:vAlign w:val="center"/>
          </w:tcPr>
          <w:p>
            <w:pPr>
              <w:pStyle w:val="TableContents"/>
              <w:bidi w:val="0"/>
              <w:spacing w:before="0" w:after="283"/>
              <w:ind w:left="0" w:right="0" w:hanging="720"/>
              <w:jc w:val="left"/>
              <w:rPr/>
            </w:pPr>
            <w:r>
              <w:rPr/>
              <w:t>Section 8.04.  </w:t>
            </w:r>
            <w:r>
              <w:rPr>
                <w:i/>
              </w:rPr>
              <w:t>Return of Moneys Held by Trustee and Paying Agent Unclaimed for Two Years</w:t>
            </w:r>
          </w:p>
        </w:tc>
        <w:tc>
          <w:tcPr>
            <w:tcW w:w="275" w:type="dxa"/>
            <w:tcBorders/>
            <w:vAlign w:val="center"/>
          </w:tcPr>
          <w:p>
            <w:pPr>
              <w:pStyle w:val="TableContents"/>
              <w:bidi w:val="0"/>
              <w:spacing w:before="0" w:after="283"/>
              <w:ind w:left="0" w:right="0" w:hanging="720"/>
              <w:jc w:val="right"/>
              <w:rPr/>
            </w:pPr>
            <w:r>
              <w:rPr/>
              <w:t>41</w:t>
            </w:r>
          </w:p>
        </w:tc>
      </w:tr>
      <w:tr>
        <w:trPr/>
        <w:tc>
          <w:tcPr>
            <w:tcW w:w="9930" w:type="dxa"/>
            <w:tcBorders/>
            <w:vAlign w:val="center"/>
          </w:tcPr>
          <w:p>
            <w:pPr>
              <w:pStyle w:val="TableContents"/>
              <w:bidi w:val="0"/>
              <w:spacing w:before="0" w:after="283"/>
              <w:jc w:val="left"/>
              <w:rPr/>
            </w:pPr>
            <w:r>
              <w:rPr/>
              <w:t>Section 8.05.  </w:t>
            </w:r>
            <w:r>
              <w:rPr>
                <w:i/>
              </w:rPr>
              <w:t>Defeasance and Discharge of Indenture</w:t>
            </w:r>
          </w:p>
        </w:tc>
        <w:tc>
          <w:tcPr>
            <w:tcW w:w="275" w:type="dxa"/>
            <w:tcBorders/>
            <w:vAlign w:val="center"/>
          </w:tcPr>
          <w:p>
            <w:pPr>
              <w:pStyle w:val="TableContents"/>
              <w:bidi w:val="0"/>
              <w:spacing w:before="0" w:after="283"/>
              <w:ind w:left="0" w:right="0" w:hanging="720"/>
              <w:jc w:val="right"/>
              <w:rPr/>
            </w:pPr>
            <w:r>
              <w:rPr/>
              <w:t>41</w:t>
            </w:r>
          </w:p>
        </w:tc>
      </w:tr>
      <w:tr>
        <w:trPr/>
        <w:tc>
          <w:tcPr>
            <w:tcW w:w="9930" w:type="dxa"/>
            <w:tcBorders/>
            <w:vAlign w:val="center"/>
          </w:tcPr>
          <w:p>
            <w:pPr>
              <w:pStyle w:val="TableContents"/>
              <w:bidi w:val="0"/>
              <w:spacing w:before="0" w:after="283"/>
              <w:jc w:val="left"/>
              <w:rPr/>
            </w:pPr>
            <w:r>
              <w:rPr/>
              <w:t>Section 8.06.  </w:t>
            </w:r>
            <w:r>
              <w:rPr>
                <w:i/>
              </w:rPr>
              <w:t>Defeasance of Certain Obligations</w:t>
            </w:r>
          </w:p>
        </w:tc>
        <w:tc>
          <w:tcPr>
            <w:tcW w:w="275" w:type="dxa"/>
            <w:tcBorders/>
            <w:vAlign w:val="center"/>
          </w:tcPr>
          <w:p>
            <w:pPr>
              <w:pStyle w:val="TableContents"/>
              <w:bidi w:val="0"/>
              <w:spacing w:before="0" w:after="283"/>
              <w:ind w:left="0" w:right="0" w:hanging="720"/>
              <w:jc w:val="right"/>
              <w:rPr/>
            </w:pPr>
            <w:r>
              <w:rPr/>
              <w:t>42</w:t>
            </w:r>
          </w:p>
        </w:tc>
      </w:tr>
      <w:tr>
        <w:trPr/>
        <w:tc>
          <w:tcPr>
            <w:tcW w:w="9930" w:type="dxa"/>
            <w:tcBorders/>
            <w:vAlign w:val="center"/>
          </w:tcPr>
          <w:p>
            <w:pPr>
              <w:pStyle w:val="TableContents"/>
              <w:bidi w:val="0"/>
              <w:spacing w:before="0" w:after="283"/>
              <w:jc w:val="left"/>
              <w:rPr/>
            </w:pPr>
            <w:r>
              <w:rPr/>
              <w:t>Section 8.07.  </w:t>
            </w:r>
            <w:r>
              <w:rPr>
                <w:i/>
              </w:rPr>
              <w:t>Reinstatement</w:t>
            </w:r>
          </w:p>
        </w:tc>
        <w:tc>
          <w:tcPr>
            <w:tcW w:w="275" w:type="dxa"/>
            <w:tcBorders/>
            <w:vAlign w:val="center"/>
          </w:tcPr>
          <w:p>
            <w:pPr>
              <w:pStyle w:val="TableContents"/>
              <w:bidi w:val="0"/>
              <w:spacing w:before="0" w:after="283"/>
              <w:ind w:left="0" w:right="0" w:hanging="720"/>
              <w:jc w:val="right"/>
              <w:rPr/>
            </w:pPr>
            <w:r>
              <w:rPr/>
              <w:t>44</w:t>
            </w:r>
          </w:p>
        </w:tc>
      </w:tr>
      <w:tr>
        <w:trPr/>
        <w:tc>
          <w:tcPr>
            <w:tcW w:w="9930" w:type="dxa"/>
            <w:tcBorders/>
            <w:vAlign w:val="center"/>
          </w:tcPr>
          <w:p>
            <w:pPr>
              <w:pStyle w:val="TableContents"/>
              <w:bidi w:val="0"/>
              <w:spacing w:before="0" w:after="283"/>
              <w:jc w:val="left"/>
              <w:rPr/>
            </w:pPr>
            <w:r>
              <w:rPr/>
              <w:t>Section 8.08.  </w:t>
            </w:r>
            <w:r>
              <w:rPr>
                <w:i/>
              </w:rPr>
              <w:t>Indemnity</w:t>
            </w:r>
          </w:p>
        </w:tc>
        <w:tc>
          <w:tcPr>
            <w:tcW w:w="275" w:type="dxa"/>
            <w:tcBorders/>
            <w:vAlign w:val="center"/>
          </w:tcPr>
          <w:p>
            <w:pPr>
              <w:pStyle w:val="TableContents"/>
              <w:bidi w:val="0"/>
              <w:spacing w:before="0" w:after="283"/>
              <w:ind w:left="0" w:right="0" w:hanging="720"/>
              <w:jc w:val="right"/>
              <w:rPr/>
            </w:pPr>
            <w:r>
              <w:rPr/>
              <w:t>44</w:t>
            </w:r>
          </w:p>
        </w:tc>
      </w:tr>
      <w:tr>
        <w:trPr/>
        <w:tc>
          <w:tcPr>
            <w:tcW w:w="9930" w:type="dxa"/>
            <w:tcBorders/>
            <w:vAlign w:val="center"/>
          </w:tcPr>
          <w:p>
            <w:pPr>
              <w:pStyle w:val="TableContents"/>
              <w:bidi w:val="0"/>
              <w:spacing w:before="0" w:after="283"/>
              <w:jc w:val="left"/>
              <w:rPr/>
            </w:pPr>
            <w:r>
              <w:rPr/>
              <w:t>Section 8.09.  </w:t>
            </w:r>
            <w:r>
              <w:rPr>
                <w:i/>
              </w:rPr>
              <w:t>Excess Funds</w:t>
            </w:r>
          </w:p>
        </w:tc>
        <w:tc>
          <w:tcPr>
            <w:tcW w:w="275" w:type="dxa"/>
            <w:tcBorders/>
            <w:vAlign w:val="center"/>
          </w:tcPr>
          <w:p>
            <w:pPr>
              <w:pStyle w:val="TableContents"/>
              <w:bidi w:val="0"/>
              <w:spacing w:before="0" w:after="283"/>
              <w:ind w:left="0" w:right="0" w:hanging="720"/>
              <w:jc w:val="right"/>
              <w:rPr/>
            </w:pPr>
            <w:r>
              <w:rPr/>
              <w:t>44</w:t>
            </w:r>
          </w:p>
        </w:tc>
      </w:tr>
      <w:tr>
        <w:trPr/>
        <w:tc>
          <w:tcPr>
            <w:tcW w:w="9930" w:type="dxa"/>
            <w:tcBorders/>
            <w:vAlign w:val="center"/>
          </w:tcPr>
          <w:p>
            <w:pPr>
              <w:pStyle w:val="TableContents"/>
              <w:bidi w:val="0"/>
              <w:spacing w:before="0" w:after="283"/>
              <w:jc w:val="left"/>
              <w:rPr/>
            </w:pPr>
            <w:r>
              <w:rPr/>
              <w:t>Section 8.10.  </w:t>
            </w:r>
            <w:r>
              <w:rPr>
                <w:i/>
              </w:rPr>
              <w:t>Qualifying Trustee</w:t>
            </w:r>
          </w:p>
        </w:tc>
        <w:tc>
          <w:tcPr>
            <w:tcW w:w="275" w:type="dxa"/>
            <w:tcBorders/>
            <w:vAlign w:val="center"/>
          </w:tcPr>
          <w:p>
            <w:pPr>
              <w:pStyle w:val="TableContents"/>
              <w:bidi w:val="0"/>
              <w:spacing w:before="0" w:after="283"/>
              <w:jc w:val="right"/>
              <w:rPr/>
            </w:pPr>
            <w:r>
              <w:rPr/>
              <w:t>44</w:t>
            </w:r>
          </w:p>
        </w:tc>
      </w:tr>
      <w:tr>
        <w:trPr/>
        <w:tc>
          <w:tcPr>
            <w:tcW w:w="10205" w:type="dxa"/>
            <w:gridSpan w:val="2"/>
            <w:tcBorders/>
            <w:vAlign w:val="center"/>
          </w:tcPr>
          <w:p>
            <w:pPr>
              <w:pStyle w:val="TableContents"/>
              <w:bidi w:val="0"/>
              <w:jc w:val="center"/>
              <w:rPr/>
            </w:pPr>
            <w:r>
              <w:rPr/>
              <w:t>Article 9</w:t>
            </w:r>
          </w:p>
          <w:p>
            <w:pPr>
              <w:pStyle w:val="TableContents"/>
              <w:bidi w:val="0"/>
              <w:spacing w:before="0" w:after="283"/>
              <w:ind w:left="0" w:right="0" w:hanging="720"/>
              <w:jc w:val="center"/>
              <w:rPr/>
            </w:pPr>
            <w:r>
              <w:rPr/>
              <w:t>AMENDMENTS, SUPPLEMENTS AND WAIVERS</w:t>
            </w:r>
          </w:p>
        </w:tc>
      </w:tr>
      <w:tr>
        <w:trPr/>
        <w:tc>
          <w:tcPr>
            <w:tcW w:w="9930" w:type="dxa"/>
            <w:tcBorders/>
            <w:vAlign w:val="center"/>
          </w:tcPr>
          <w:p>
            <w:pPr>
              <w:pStyle w:val="TableContents"/>
              <w:bidi w:val="0"/>
              <w:spacing w:before="0" w:after="283"/>
              <w:jc w:val="left"/>
              <w:rPr/>
            </w:pPr>
            <w:r>
              <w:rPr/>
              <w:t>Section 9.01.  </w:t>
            </w:r>
            <w:r>
              <w:rPr>
                <w:i/>
              </w:rPr>
              <w:t>Without Consent of Holders</w:t>
            </w:r>
          </w:p>
        </w:tc>
        <w:tc>
          <w:tcPr>
            <w:tcW w:w="275" w:type="dxa"/>
            <w:tcBorders/>
            <w:vAlign w:val="center"/>
          </w:tcPr>
          <w:p>
            <w:pPr>
              <w:pStyle w:val="TableContents"/>
              <w:bidi w:val="0"/>
              <w:spacing w:before="0" w:after="283"/>
              <w:ind w:left="0" w:right="0" w:hanging="720"/>
              <w:jc w:val="right"/>
              <w:rPr/>
            </w:pPr>
            <w:r>
              <w:rPr/>
              <w:t>45</w:t>
            </w:r>
          </w:p>
        </w:tc>
      </w:tr>
      <w:tr>
        <w:trPr/>
        <w:tc>
          <w:tcPr>
            <w:tcW w:w="9930" w:type="dxa"/>
            <w:tcBorders/>
            <w:vAlign w:val="center"/>
          </w:tcPr>
          <w:p>
            <w:pPr>
              <w:pStyle w:val="TableContents"/>
              <w:bidi w:val="0"/>
              <w:spacing w:before="0" w:after="283"/>
              <w:jc w:val="left"/>
              <w:rPr/>
            </w:pPr>
            <w:r>
              <w:rPr/>
              <w:t>Section 9.02.  </w:t>
            </w:r>
            <w:r>
              <w:rPr>
                <w:i/>
              </w:rPr>
              <w:t>With Consent of Holders</w:t>
            </w:r>
          </w:p>
        </w:tc>
        <w:tc>
          <w:tcPr>
            <w:tcW w:w="275" w:type="dxa"/>
            <w:tcBorders/>
            <w:vAlign w:val="center"/>
          </w:tcPr>
          <w:p>
            <w:pPr>
              <w:pStyle w:val="TableContents"/>
              <w:bidi w:val="0"/>
              <w:spacing w:before="0" w:after="283"/>
              <w:ind w:left="0" w:right="0" w:hanging="720"/>
              <w:jc w:val="right"/>
              <w:rPr/>
            </w:pPr>
            <w:r>
              <w:rPr/>
              <w:t>45</w:t>
            </w:r>
          </w:p>
        </w:tc>
      </w:tr>
      <w:tr>
        <w:trPr/>
        <w:tc>
          <w:tcPr>
            <w:tcW w:w="9930" w:type="dxa"/>
            <w:tcBorders/>
            <w:vAlign w:val="center"/>
          </w:tcPr>
          <w:p>
            <w:pPr>
              <w:pStyle w:val="TableContents"/>
              <w:bidi w:val="0"/>
              <w:spacing w:before="0" w:after="283"/>
              <w:jc w:val="left"/>
              <w:rPr/>
            </w:pPr>
            <w:r>
              <w:rPr/>
              <w:t>Section 9.03.  </w:t>
            </w:r>
            <w:r>
              <w:rPr>
                <w:i/>
              </w:rPr>
              <w:t>Revocation and Effect of Consent</w:t>
            </w:r>
          </w:p>
        </w:tc>
        <w:tc>
          <w:tcPr>
            <w:tcW w:w="275" w:type="dxa"/>
            <w:tcBorders/>
            <w:vAlign w:val="center"/>
          </w:tcPr>
          <w:p>
            <w:pPr>
              <w:pStyle w:val="TableContents"/>
              <w:bidi w:val="0"/>
              <w:spacing w:before="0" w:after="283"/>
              <w:ind w:left="0" w:right="0" w:hanging="720"/>
              <w:jc w:val="right"/>
              <w:rPr/>
            </w:pPr>
            <w:r>
              <w:rPr/>
              <w:t>46</w:t>
            </w:r>
          </w:p>
        </w:tc>
      </w:tr>
      <w:tr>
        <w:trPr/>
        <w:tc>
          <w:tcPr>
            <w:tcW w:w="9930" w:type="dxa"/>
            <w:tcBorders/>
            <w:vAlign w:val="center"/>
          </w:tcPr>
          <w:p>
            <w:pPr>
              <w:pStyle w:val="TableContents"/>
              <w:bidi w:val="0"/>
              <w:spacing w:before="0" w:after="283"/>
              <w:jc w:val="left"/>
              <w:rPr/>
            </w:pPr>
            <w:r>
              <w:rPr/>
              <w:t>Section 9.04.  </w:t>
            </w:r>
            <w:r>
              <w:rPr>
                <w:i/>
              </w:rPr>
              <w:t>Notation on or Exchange of Securities</w:t>
            </w:r>
          </w:p>
        </w:tc>
        <w:tc>
          <w:tcPr>
            <w:tcW w:w="275" w:type="dxa"/>
            <w:tcBorders/>
            <w:vAlign w:val="center"/>
          </w:tcPr>
          <w:p>
            <w:pPr>
              <w:pStyle w:val="TableContents"/>
              <w:bidi w:val="0"/>
              <w:spacing w:before="0" w:after="283"/>
              <w:ind w:left="0" w:right="0" w:hanging="720"/>
              <w:jc w:val="right"/>
              <w:rPr/>
            </w:pPr>
            <w:r>
              <w:rPr/>
              <w:t>47</w:t>
            </w:r>
          </w:p>
        </w:tc>
      </w:tr>
      <w:tr>
        <w:trPr/>
        <w:tc>
          <w:tcPr>
            <w:tcW w:w="9930" w:type="dxa"/>
            <w:tcBorders/>
            <w:vAlign w:val="center"/>
          </w:tcPr>
          <w:p>
            <w:pPr>
              <w:pStyle w:val="TableContents"/>
              <w:bidi w:val="0"/>
              <w:spacing w:before="0" w:after="283"/>
              <w:jc w:val="left"/>
              <w:rPr/>
            </w:pPr>
            <w:r>
              <w:rPr/>
              <w:t>Section 9.05.  </w:t>
            </w:r>
            <w:r>
              <w:rPr>
                <w:i/>
              </w:rPr>
              <w:t>Trustee to Sign Amendments, Etc</w:t>
            </w:r>
          </w:p>
        </w:tc>
        <w:tc>
          <w:tcPr>
            <w:tcW w:w="275" w:type="dxa"/>
            <w:tcBorders/>
            <w:vAlign w:val="center"/>
          </w:tcPr>
          <w:p>
            <w:pPr>
              <w:pStyle w:val="TableContents"/>
              <w:bidi w:val="0"/>
              <w:spacing w:before="0" w:after="283"/>
              <w:ind w:left="0" w:right="0" w:hanging="720"/>
              <w:jc w:val="right"/>
              <w:rPr/>
            </w:pPr>
            <w:r>
              <w:rPr/>
              <w:t>47</w:t>
            </w:r>
          </w:p>
        </w:tc>
      </w:tr>
      <w:tr>
        <w:trPr/>
        <w:tc>
          <w:tcPr>
            <w:tcW w:w="9930" w:type="dxa"/>
            <w:tcBorders/>
            <w:vAlign w:val="center"/>
          </w:tcPr>
          <w:p>
            <w:pPr>
              <w:pStyle w:val="TableContents"/>
              <w:bidi w:val="0"/>
              <w:spacing w:before="0" w:after="283"/>
              <w:jc w:val="left"/>
              <w:rPr/>
            </w:pPr>
            <w:r>
              <w:rPr/>
              <w:t>Section 9.06.  </w:t>
            </w:r>
            <w:r>
              <w:rPr>
                <w:i/>
              </w:rPr>
              <w:t>Conformity with Trust Indenture Act</w:t>
            </w:r>
          </w:p>
        </w:tc>
        <w:tc>
          <w:tcPr>
            <w:tcW w:w="275" w:type="dxa"/>
            <w:tcBorders/>
            <w:vAlign w:val="center"/>
          </w:tcPr>
          <w:p>
            <w:pPr>
              <w:pStyle w:val="TableContents"/>
              <w:bidi w:val="0"/>
              <w:spacing w:before="0" w:after="283"/>
              <w:jc w:val="right"/>
              <w:rPr/>
            </w:pPr>
            <w:r>
              <w:rPr/>
              <w:t>47</w:t>
            </w:r>
          </w:p>
        </w:tc>
      </w:tr>
      <w:tr>
        <w:trPr/>
        <w:tc>
          <w:tcPr>
            <w:tcW w:w="10205" w:type="dxa"/>
            <w:gridSpan w:val="2"/>
            <w:tcBorders/>
            <w:vAlign w:val="center"/>
          </w:tcPr>
          <w:p>
            <w:pPr>
              <w:pStyle w:val="TableContents"/>
              <w:bidi w:val="0"/>
              <w:spacing w:before="0" w:after="283"/>
              <w:ind w:left="0" w:right="0" w:hanging="720"/>
              <w:jc w:val="center"/>
              <w:rPr/>
            </w:pPr>
            <w:r>
              <w:rPr/>
              <w:t>Article 10</w:t>
              <w:br/>
              <w:t>MISCELLANEOUS</w:t>
            </w:r>
          </w:p>
        </w:tc>
      </w:tr>
      <w:tr>
        <w:trPr/>
        <w:tc>
          <w:tcPr>
            <w:tcW w:w="9930" w:type="dxa"/>
            <w:tcBorders/>
            <w:vAlign w:val="center"/>
          </w:tcPr>
          <w:p>
            <w:pPr>
              <w:pStyle w:val="TableContents"/>
              <w:bidi w:val="0"/>
              <w:spacing w:before="0" w:after="283"/>
              <w:jc w:val="left"/>
              <w:rPr/>
            </w:pPr>
            <w:r>
              <w:rPr/>
              <w:t>Section 10.01.  </w:t>
            </w:r>
            <w:r>
              <w:rPr>
                <w:i/>
              </w:rPr>
              <w:t>Trust Indenture Act of 1939</w:t>
            </w:r>
          </w:p>
        </w:tc>
        <w:tc>
          <w:tcPr>
            <w:tcW w:w="275" w:type="dxa"/>
            <w:tcBorders/>
            <w:vAlign w:val="center"/>
          </w:tcPr>
          <w:p>
            <w:pPr>
              <w:pStyle w:val="TableContents"/>
              <w:bidi w:val="0"/>
              <w:spacing w:before="0" w:after="283"/>
              <w:ind w:left="0" w:right="0" w:hanging="720"/>
              <w:jc w:val="right"/>
              <w:rPr/>
            </w:pPr>
            <w:r>
              <w:rPr/>
              <w:t>47</w:t>
            </w:r>
          </w:p>
        </w:tc>
      </w:tr>
      <w:tr>
        <w:trPr/>
        <w:tc>
          <w:tcPr>
            <w:tcW w:w="9930" w:type="dxa"/>
            <w:tcBorders/>
            <w:vAlign w:val="center"/>
          </w:tcPr>
          <w:p>
            <w:pPr>
              <w:pStyle w:val="TableContents"/>
              <w:bidi w:val="0"/>
              <w:spacing w:before="0" w:after="283"/>
              <w:jc w:val="left"/>
              <w:rPr/>
            </w:pPr>
            <w:r>
              <w:rPr/>
              <w:t>Section 10.02.  </w:t>
            </w:r>
            <w:r>
              <w:rPr>
                <w:i/>
              </w:rPr>
              <w:t>Notices</w:t>
            </w:r>
          </w:p>
        </w:tc>
        <w:tc>
          <w:tcPr>
            <w:tcW w:w="275" w:type="dxa"/>
            <w:tcBorders/>
            <w:vAlign w:val="center"/>
          </w:tcPr>
          <w:p>
            <w:pPr>
              <w:pStyle w:val="TableContents"/>
              <w:bidi w:val="0"/>
              <w:spacing w:before="0" w:after="283"/>
              <w:ind w:left="0" w:right="0" w:hanging="720"/>
              <w:jc w:val="right"/>
              <w:rPr/>
            </w:pPr>
            <w:r>
              <w:rPr/>
              <w:t>47</w:t>
            </w:r>
          </w:p>
        </w:tc>
      </w:tr>
      <w:tr>
        <w:trPr/>
        <w:tc>
          <w:tcPr>
            <w:tcW w:w="9930" w:type="dxa"/>
            <w:tcBorders/>
            <w:vAlign w:val="center"/>
          </w:tcPr>
          <w:p>
            <w:pPr>
              <w:pStyle w:val="TableContents"/>
              <w:bidi w:val="0"/>
              <w:spacing w:before="0" w:after="283"/>
              <w:jc w:val="left"/>
              <w:rPr/>
            </w:pPr>
            <w:r>
              <w:rPr/>
              <w:t>Section 10.03.  </w:t>
            </w:r>
            <w:r>
              <w:rPr>
                <w:i/>
              </w:rPr>
              <w:t>Certificate and Opinion as to Conditions Precedent</w:t>
            </w:r>
          </w:p>
        </w:tc>
        <w:tc>
          <w:tcPr>
            <w:tcW w:w="275" w:type="dxa"/>
            <w:tcBorders/>
            <w:vAlign w:val="center"/>
          </w:tcPr>
          <w:p>
            <w:pPr>
              <w:pStyle w:val="TableContents"/>
              <w:bidi w:val="0"/>
              <w:spacing w:before="0" w:after="283"/>
              <w:ind w:left="0" w:right="0" w:hanging="720"/>
              <w:jc w:val="right"/>
              <w:rPr/>
            </w:pPr>
            <w:r>
              <w:rPr/>
              <w:t>48</w:t>
            </w:r>
          </w:p>
        </w:tc>
      </w:tr>
      <w:tr>
        <w:trPr/>
        <w:tc>
          <w:tcPr>
            <w:tcW w:w="9930" w:type="dxa"/>
            <w:tcBorders/>
            <w:vAlign w:val="center"/>
          </w:tcPr>
          <w:p>
            <w:pPr>
              <w:pStyle w:val="TableContents"/>
              <w:bidi w:val="0"/>
              <w:spacing w:before="0" w:after="283"/>
              <w:jc w:val="left"/>
              <w:rPr/>
            </w:pPr>
            <w:r>
              <w:rPr/>
              <w:t>Section 10.04.  </w:t>
            </w:r>
            <w:r>
              <w:rPr>
                <w:i/>
              </w:rPr>
              <w:t>Statements Required in Certificate or Opinion</w:t>
            </w:r>
          </w:p>
        </w:tc>
        <w:tc>
          <w:tcPr>
            <w:tcW w:w="275" w:type="dxa"/>
            <w:tcBorders/>
            <w:vAlign w:val="center"/>
          </w:tcPr>
          <w:p>
            <w:pPr>
              <w:pStyle w:val="TableContents"/>
              <w:bidi w:val="0"/>
              <w:spacing w:before="0" w:after="283"/>
              <w:ind w:left="0" w:right="0" w:hanging="720"/>
              <w:jc w:val="right"/>
              <w:rPr/>
            </w:pPr>
            <w:r>
              <w:rPr/>
              <w:t>49</w:t>
            </w:r>
          </w:p>
        </w:tc>
      </w:tr>
      <w:tr>
        <w:trPr/>
        <w:tc>
          <w:tcPr>
            <w:tcW w:w="9930" w:type="dxa"/>
            <w:tcBorders/>
            <w:vAlign w:val="center"/>
          </w:tcPr>
          <w:p>
            <w:pPr>
              <w:pStyle w:val="TableContents"/>
              <w:bidi w:val="0"/>
              <w:spacing w:before="0" w:after="283"/>
              <w:jc w:val="left"/>
              <w:rPr/>
            </w:pPr>
            <w:r>
              <w:rPr/>
              <w:t>Section 10.05.  </w:t>
            </w:r>
            <w:r>
              <w:rPr>
                <w:i/>
              </w:rPr>
              <w:t>Evidence of Ownership</w:t>
            </w:r>
          </w:p>
        </w:tc>
        <w:tc>
          <w:tcPr>
            <w:tcW w:w="275" w:type="dxa"/>
            <w:tcBorders/>
            <w:vAlign w:val="center"/>
          </w:tcPr>
          <w:p>
            <w:pPr>
              <w:pStyle w:val="TableContents"/>
              <w:bidi w:val="0"/>
              <w:spacing w:before="0" w:after="283"/>
              <w:ind w:left="0" w:right="0" w:hanging="720"/>
              <w:jc w:val="right"/>
              <w:rPr/>
            </w:pPr>
            <w:r>
              <w:rPr/>
              <w:t>49</w:t>
            </w:r>
          </w:p>
        </w:tc>
      </w:tr>
      <w:tr>
        <w:trPr/>
        <w:tc>
          <w:tcPr>
            <w:tcW w:w="9930" w:type="dxa"/>
            <w:tcBorders/>
            <w:vAlign w:val="center"/>
          </w:tcPr>
          <w:p>
            <w:pPr>
              <w:pStyle w:val="TableContents"/>
              <w:bidi w:val="0"/>
              <w:spacing w:before="0" w:after="283"/>
              <w:jc w:val="left"/>
              <w:rPr/>
            </w:pPr>
            <w:r>
              <w:rPr/>
              <w:t>Section 10.06.  </w:t>
            </w:r>
            <w:r>
              <w:rPr>
                <w:i/>
              </w:rPr>
              <w:t>Rules by Trustee, Paying Agent or Registrar</w:t>
            </w:r>
          </w:p>
        </w:tc>
        <w:tc>
          <w:tcPr>
            <w:tcW w:w="275" w:type="dxa"/>
            <w:tcBorders/>
            <w:vAlign w:val="center"/>
          </w:tcPr>
          <w:p>
            <w:pPr>
              <w:pStyle w:val="TableContents"/>
              <w:bidi w:val="0"/>
              <w:spacing w:before="0" w:after="283"/>
              <w:ind w:left="0" w:right="0" w:hanging="720"/>
              <w:jc w:val="right"/>
              <w:rPr/>
            </w:pPr>
            <w:r>
              <w:rPr/>
              <w:t>49</w:t>
            </w:r>
          </w:p>
        </w:tc>
      </w:tr>
      <w:tr>
        <w:trPr/>
        <w:tc>
          <w:tcPr>
            <w:tcW w:w="9930" w:type="dxa"/>
            <w:tcBorders/>
            <w:vAlign w:val="center"/>
          </w:tcPr>
          <w:p>
            <w:pPr>
              <w:pStyle w:val="TableContents"/>
              <w:bidi w:val="0"/>
              <w:spacing w:before="0" w:after="283"/>
              <w:jc w:val="left"/>
              <w:rPr/>
            </w:pPr>
            <w:r>
              <w:rPr/>
              <w:t>Section 10.07.  </w:t>
            </w:r>
            <w:r>
              <w:rPr>
                <w:i/>
              </w:rPr>
              <w:t>Payment Date Other Than a Business Day</w:t>
            </w:r>
          </w:p>
        </w:tc>
        <w:tc>
          <w:tcPr>
            <w:tcW w:w="275" w:type="dxa"/>
            <w:tcBorders/>
            <w:vAlign w:val="center"/>
          </w:tcPr>
          <w:p>
            <w:pPr>
              <w:pStyle w:val="TableContents"/>
              <w:bidi w:val="0"/>
              <w:spacing w:before="0" w:after="283"/>
              <w:ind w:left="0" w:right="0" w:hanging="720"/>
              <w:jc w:val="right"/>
              <w:rPr/>
            </w:pPr>
            <w:r>
              <w:rPr/>
              <w:t>49</w:t>
            </w:r>
          </w:p>
        </w:tc>
      </w:tr>
      <w:tr>
        <w:trPr/>
        <w:tc>
          <w:tcPr>
            <w:tcW w:w="9930" w:type="dxa"/>
            <w:tcBorders/>
            <w:vAlign w:val="center"/>
          </w:tcPr>
          <w:p>
            <w:pPr>
              <w:pStyle w:val="TableContents"/>
              <w:bidi w:val="0"/>
              <w:spacing w:before="0" w:after="283"/>
              <w:jc w:val="left"/>
              <w:rPr/>
            </w:pPr>
            <w:r>
              <w:rPr/>
              <w:t>Section 10.08.  </w:t>
            </w:r>
            <w:r>
              <w:rPr>
                <w:i/>
              </w:rPr>
              <w:t>Governing Law</w:t>
            </w:r>
          </w:p>
        </w:tc>
        <w:tc>
          <w:tcPr>
            <w:tcW w:w="275" w:type="dxa"/>
            <w:tcBorders/>
            <w:vAlign w:val="center"/>
          </w:tcPr>
          <w:p>
            <w:pPr>
              <w:pStyle w:val="TableContents"/>
              <w:bidi w:val="0"/>
              <w:spacing w:before="0" w:after="283"/>
              <w:ind w:left="0" w:right="0" w:hanging="720"/>
              <w:jc w:val="right"/>
              <w:rPr/>
            </w:pPr>
            <w:r>
              <w:rPr/>
              <w:t>49</w:t>
            </w:r>
          </w:p>
        </w:tc>
      </w:tr>
      <w:tr>
        <w:trPr/>
        <w:tc>
          <w:tcPr>
            <w:tcW w:w="9930" w:type="dxa"/>
            <w:tcBorders/>
            <w:vAlign w:val="center"/>
          </w:tcPr>
          <w:p>
            <w:pPr>
              <w:pStyle w:val="TableContents"/>
              <w:bidi w:val="0"/>
              <w:spacing w:before="0" w:after="283"/>
              <w:jc w:val="left"/>
              <w:rPr/>
            </w:pPr>
            <w:r>
              <w:rPr/>
              <w:t>Section 10.09.  </w:t>
            </w:r>
            <w:r>
              <w:rPr>
                <w:i/>
              </w:rPr>
              <w:t>No Adverse Interpretation of Other Agreements</w:t>
            </w:r>
          </w:p>
        </w:tc>
        <w:tc>
          <w:tcPr>
            <w:tcW w:w="275" w:type="dxa"/>
            <w:tcBorders/>
            <w:vAlign w:val="center"/>
          </w:tcPr>
          <w:p>
            <w:pPr>
              <w:pStyle w:val="TableContents"/>
              <w:bidi w:val="0"/>
              <w:spacing w:before="0" w:after="283"/>
              <w:ind w:left="0" w:right="0" w:hanging="720"/>
              <w:jc w:val="right"/>
              <w:rPr/>
            </w:pPr>
            <w:r>
              <w:rPr/>
              <w:t>49</w:t>
            </w:r>
          </w:p>
        </w:tc>
      </w:tr>
      <w:tr>
        <w:trPr/>
        <w:tc>
          <w:tcPr>
            <w:tcW w:w="9930" w:type="dxa"/>
            <w:tcBorders/>
            <w:vAlign w:val="center"/>
          </w:tcPr>
          <w:p>
            <w:pPr>
              <w:pStyle w:val="TableContents"/>
              <w:bidi w:val="0"/>
              <w:spacing w:before="0" w:after="283"/>
              <w:jc w:val="left"/>
              <w:rPr/>
            </w:pPr>
            <w:r>
              <w:rPr/>
              <w:t>Section 10.10.  </w:t>
            </w:r>
            <w:r>
              <w:rPr>
                <w:i/>
              </w:rPr>
              <w:t>Successors</w:t>
            </w:r>
          </w:p>
        </w:tc>
        <w:tc>
          <w:tcPr>
            <w:tcW w:w="275" w:type="dxa"/>
            <w:tcBorders/>
            <w:vAlign w:val="center"/>
          </w:tcPr>
          <w:p>
            <w:pPr>
              <w:pStyle w:val="TableContents"/>
              <w:bidi w:val="0"/>
              <w:spacing w:before="0" w:after="283"/>
              <w:ind w:left="0" w:right="0" w:hanging="720"/>
              <w:jc w:val="right"/>
              <w:rPr/>
            </w:pPr>
            <w:r>
              <w:rPr/>
              <w:t>50</w:t>
            </w:r>
          </w:p>
        </w:tc>
      </w:tr>
      <w:tr>
        <w:trPr/>
        <w:tc>
          <w:tcPr>
            <w:tcW w:w="9930" w:type="dxa"/>
            <w:tcBorders/>
            <w:vAlign w:val="center"/>
          </w:tcPr>
          <w:p>
            <w:pPr>
              <w:pStyle w:val="TableContents"/>
              <w:bidi w:val="0"/>
              <w:spacing w:before="0" w:after="283"/>
              <w:jc w:val="left"/>
              <w:rPr/>
            </w:pPr>
            <w:r>
              <w:rPr/>
              <w:t>Section 10.11.  </w:t>
            </w:r>
            <w:r>
              <w:rPr>
                <w:i/>
              </w:rPr>
              <w:t>Duplicate Originals</w:t>
            </w:r>
          </w:p>
        </w:tc>
        <w:tc>
          <w:tcPr>
            <w:tcW w:w="275" w:type="dxa"/>
            <w:tcBorders/>
            <w:vAlign w:val="center"/>
          </w:tcPr>
          <w:p>
            <w:pPr>
              <w:pStyle w:val="TableContents"/>
              <w:bidi w:val="0"/>
              <w:spacing w:before="0" w:after="283"/>
              <w:ind w:left="0" w:right="0" w:hanging="720"/>
              <w:jc w:val="right"/>
              <w:rPr/>
            </w:pPr>
            <w:r>
              <w:rPr/>
              <w:t>50</w:t>
            </w:r>
          </w:p>
        </w:tc>
      </w:tr>
      <w:tr>
        <w:trPr/>
        <w:tc>
          <w:tcPr>
            <w:tcW w:w="9930" w:type="dxa"/>
            <w:tcBorders/>
            <w:vAlign w:val="center"/>
          </w:tcPr>
          <w:p>
            <w:pPr>
              <w:pStyle w:val="TableContents"/>
              <w:bidi w:val="0"/>
              <w:spacing w:before="0" w:after="283"/>
              <w:jc w:val="left"/>
              <w:rPr/>
            </w:pPr>
            <w:r>
              <w:rPr/>
              <w:t>Section 10.12.  </w:t>
            </w:r>
            <w:r>
              <w:rPr>
                <w:i/>
              </w:rPr>
              <w:t>Separability</w:t>
            </w:r>
          </w:p>
        </w:tc>
        <w:tc>
          <w:tcPr>
            <w:tcW w:w="275" w:type="dxa"/>
            <w:tcBorders/>
            <w:vAlign w:val="center"/>
          </w:tcPr>
          <w:p>
            <w:pPr>
              <w:pStyle w:val="TableContents"/>
              <w:bidi w:val="0"/>
              <w:spacing w:before="0" w:after="283"/>
              <w:ind w:left="0" w:right="0" w:hanging="720"/>
              <w:jc w:val="right"/>
              <w:rPr/>
            </w:pPr>
            <w:r>
              <w:rPr/>
              <w:t>50</w:t>
            </w:r>
          </w:p>
        </w:tc>
      </w:tr>
      <w:tr>
        <w:trPr/>
        <w:tc>
          <w:tcPr>
            <w:tcW w:w="9930" w:type="dxa"/>
            <w:tcBorders/>
            <w:vAlign w:val="center"/>
          </w:tcPr>
          <w:p>
            <w:pPr>
              <w:pStyle w:val="TableContents"/>
              <w:bidi w:val="0"/>
              <w:spacing w:before="0" w:after="283"/>
              <w:jc w:val="left"/>
              <w:rPr/>
            </w:pPr>
            <w:r>
              <w:rPr/>
              <w:t>Section 10.13.  </w:t>
            </w:r>
            <w:r>
              <w:rPr>
                <w:i/>
              </w:rPr>
              <w:t>Table of Contents, Headings, Etc</w:t>
            </w:r>
          </w:p>
        </w:tc>
        <w:tc>
          <w:tcPr>
            <w:tcW w:w="275" w:type="dxa"/>
            <w:tcBorders/>
            <w:vAlign w:val="center"/>
          </w:tcPr>
          <w:p>
            <w:pPr>
              <w:pStyle w:val="TableContents"/>
              <w:bidi w:val="0"/>
              <w:spacing w:before="0" w:after="283"/>
              <w:ind w:left="0" w:right="0" w:hanging="720"/>
              <w:jc w:val="right"/>
              <w:rPr/>
            </w:pPr>
            <w:r>
              <w:rPr/>
              <w:t>50</w:t>
            </w:r>
          </w:p>
        </w:tc>
      </w:tr>
      <w:tr>
        <w:trPr/>
        <w:tc>
          <w:tcPr>
            <w:tcW w:w="9930" w:type="dxa"/>
            <w:tcBorders/>
            <w:vAlign w:val="center"/>
          </w:tcPr>
          <w:p>
            <w:pPr>
              <w:pStyle w:val="TableContents"/>
              <w:bidi w:val="0"/>
              <w:spacing w:before="0" w:after="283"/>
              <w:jc w:val="left"/>
              <w:rPr/>
            </w:pPr>
            <w:r>
              <w:rPr/>
              <w:t>Section 10.14.  </w:t>
            </w:r>
            <w:r>
              <w:rPr>
                <w:i/>
              </w:rPr>
              <w:t>Incorporators, Stockholders, Officers and Directors of Company Exempt from Individual Liability</w:t>
            </w:r>
          </w:p>
        </w:tc>
        <w:tc>
          <w:tcPr>
            <w:tcW w:w="275" w:type="dxa"/>
            <w:tcBorders/>
            <w:vAlign w:val="center"/>
          </w:tcPr>
          <w:p>
            <w:pPr>
              <w:pStyle w:val="TableContents"/>
              <w:bidi w:val="0"/>
              <w:spacing w:before="0" w:after="283"/>
              <w:ind w:left="0" w:right="0" w:hanging="720"/>
              <w:jc w:val="right"/>
              <w:rPr/>
            </w:pPr>
            <w:r>
              <w:rPr/>
              <w:t>50</w:t>
            </w:r>
          </w:p>
        </w:tc>
      </w:tr>
      <w:tr>
        <w:trPr/>
        <w:tc>
          <w:tcPr>
            <w:tcW w:w="9930" w:type="dxa"/>
            <w:tcBorders/>
            <w:vAlign w:val="center"/>
          </w:tcPr>
          <w:p>
            <w:pPr>
              <w:pStyle w:val="TableContents"/>
              <w:bidi w:val="0"/>
              <w:spacing w:before="0" w:after="283"/>
              <w:jc w:val="left"/>
              <w:rPr/>
            </w:pPr>
            <w:r>
              <w:rPr/>
              <w:t>Section 10.15.  </w:t>
            </w:r>
            <w:r>
              <w:rPr>
                <w:i/>
              </w:rPr>
              <w:t>Judgment Currency</w:t>
            </w:r>
          </w:p>
        </w:tc>
        <w:tc>
          <w:tcPr>
            <w:tcW w:w="275" w:type="dxa"/>
            <w:tcBorders/>
            <w:vAlign w:val="center"/>
          </w:tcPr>
          <w:p>
            <w:pPr>
              <w:pStyle w:val="TableContents"/>
              <w:bidi w:val="0"/>
              <w:spacing w:before="0" w:after="283"/>
              <w:ind w:left="0" w:right="0" w:hanging="720"/>
              <w:jc w:val="right"/>
              <w:rPr/>
            </w:pPr>
            <w:r>
              <w:rPr/>
              <w:t>50</w:t>
            </w:r>
          </w:p>
        </w:tc>
      </w:tr>
      <w:tr>
        <w:trPr/>
        <w:tc>
          <w:tcPr>
            <w:tcW w:w="9930" w:type="dxa"/>
            <w:tcBorders/>
            <w:vAlign w:val="center"/>
          </w:tcPr>
          <w:p>
            <w:pPr>
              <w:pStyle w:val="TableContents"/>
              <w:bidi w:val="0"/>
              <w:spacing w:before="0" w:after="283"/>
              <w:jc w:val="left"/>
              <w:rPr/>
            </w:pPr>
            <w:r>
              <w:rPr/>
              <w:t>Section 10.16.  </w:t>
            </w:r>
            <w:r>
              <w:rPr>
                <w:i/>
              </w:rPr>
              <w:t>Waiver of Jury Trial</w:t>
            </w:r>
          </w:p>
        </w:tc>
        <w:tc>
          <w:tcPr>
            <w:tcW w:w="275" w:type="dxa"/>
            <w:tcBorders/>
            <w:vAlign w:val="center"/>
          </w:tcPr>
          <w:p>
            <w:pPr>
              <w:pStyle w:val="TableContents"/>
              <w:bidi w:val="0"/>
              <w:spacing w:before="0" w:after="283"/>
              <w:ind w:left="0" w:right="0" w:hanging="720"/>
              <w:jc w:val="right"/>
              <w:rPr/>
            </w:pPr>
            <w:r>
              <w:rPr/>
              <w:t>51</w:t>
            </w:r>
          </w:p>
        </w:tc>
      </w:tr>
      <w:tr>
        <w:trPr/>
        <w:tc>
          <w:tcPr>
            <w:tcW w:w="9930" w:type="dxa"/>
            <w:tcBorders/>
            <w:vAlign w:val="center"/>
          </w:tcPr>
          <w:p>
            <w:pPr>
              <w:pStyle w:val="TableContents"/>
              <w:bidi w:val="0"/>
              <w:spacing w:before="0" w:after="283"/>
              <w:jc w:val="left"/>
              <w:rPr/>
            </w:pPr>
            <w:r>
              <w:rPr/>
              <w:t>Section 10.17.  </w:t>
            </w:r>
            <w:r>
              <w:rPr>
                <w:i/>
              </w:rPr>
              <w:t>Force Majeure</w:t>
            </w:r>
          </w:p>
        </w:tc>
        <w:tc>
          <w:tcPr>
            <w:tcW w:w="275" w:type="dxa"/>
            <w:tcBorders/>
            <w:vAlign w:val="center"/>
          </w:tcPr>
          <w:p>
            <w:pPr>
              <w:pStyle w:val="TableContents"/>
              <w:bidi w:val="0"/>
              <w:spacing w:before="0" w:after="283"/>
              <w:jc w:val="right"/>
              <w:rPr/>
            </w:pPr>
            <w:r>
              <w:rPr/>
              <w:t>51</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INDENTURE, dated as of         , 20    , between Figure Technology Solutions, Inc., a Nevada corporation, as the Company, and                               , as Trustee.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 OF 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has duly authorized the issue from time to time of its senior debentures, notes or other evidences of indebtedness to be issued in one or more series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up to such principal amount or amounts as may from time to time be authorized in accordance with the terms of this Indenture and to provide, among other things, for the authentication, delivery and administration thereof, the Company has duly authorized the execution and delivery of this Indenture;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all things necessary to make this Indenture a valid indenture and agreement according to its terms have been done;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 premises and the purchases of the Securities by the holders thereof, the Company and the Trustee mutually covenant and agree for the equal and proportionate benefit of the respective holders from time to time of the Securities or of any and all series thereof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1</w:t>
      </w:r>
      <w:r>
        <w:rPr>
          <w:rFonts w:ascii="Times New Roman;Times;Serif" w:hAnsi="Times New Roman;Times;Serif"/>
          <w:b w:val="false"/>
          <w:i w:val="false"/>
          <w:smallCaps/>
          <w:sz w:val="20"/>
        </w:rPr>
        <w:br/>
        <w:t>DEFINITIONS AND INCORPORATION BY REFERENCE</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w:t>
        <w:tab/>
      </w:r>
      <w:r>
        <w:rPr>
          <w:rFonts w:ascii="Times New Roman;Times;Serif" w:hAnsi="Times New Roman;Times;Serif"/>
          <w:b w:val="false"/>
          <w:i/>
          <w:caps w:val="false"/>
          <w:smallCaps w:val="false"/>
          <w:sz w:val="20"/>
        </w:rPr>
        <w:t>Definitions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of any Person means any other Person directly or indirectly controlling or controlled by or under direct or indirect common control with such Person.  For the purposes of this definition, “control” (including, with correlative meanings, the terms “controlling”, “controlled by” and “under common control with”) when used with respect to any Person means the possession, directly or indirectly, of the power to direct or cause the direction of the management and policies of such Person, whether through the ownership of voting securities, by contract or otherwise.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Agent</w:t>
      </w:r>
      <w:r>
        <w:rPr>
          <w:rFonts w:ascii="Times New Roman;Times;Serif" w:hAnsi="Times New Roman;Times;Serif"/>
          <w:b w:val="false"/>
          <w:i w:val="false"/>
          <w:caps w:val="false"/>
          <w:smallCaps w:val="false"/>
          <w:sz w:val="20"/>
        </w:rPr>
        <w:t>” means any Registrar, Paying Agent, transfer agent or Authenticating Agent.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Board Resolution</w:t>
      </w:r>
      <w:r>
        <w:rPr>
          <w:rFonts w:ascii="Times New Roman;Times;Serif" w:hAnsi="Times New Roman;Times;Serif"/>
          <w:b w:val="false"/>
          <w:i w:val="false"/>
          <w:caps w:val="false"/>
          <w:smallCaps w:val="false"/>
          <w:sz w:val="20"/>
        </w:rPr>
        <w:t>” means one or more resolutions of the board of directors of the Company or any authorized committee thereof, certified by the secretary or an assistant secretary to have been duly adopted and to be in full force and effect on the date of certification, and delivered to the Trustee.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other than a Saturday or Sunday, that is neither a legal holiday nor a day on which banking institutions are authorized or required by law or regulation to close in The City of New York, with respect to any Security the interest on which is based on the offered quotations in the interbank Eurodollar market for dollar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deposits in London, or with respect to Securities denominated in a specified currency other than United States dollars, in the principal financial center of the country of the specified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means the party named as such in the first paragraph of this Indenture until a successor replaces it pursuant to Article 5 of this Indenture and thereafter means the successor.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Corporate Trust Office</w:t>
      </w:r>
      <w:r>
        <w:rPr>
          <w:rFonts w:ascii="Times New Roman;Times;Serif" w:hAnsi="Times New Roman;Times;Serif"/>
          <w:b w:val="false"/>
          <w:i w:val="false"/>
          <w:caps w:val="false"/>
          <w:smallCaps w:val="false"/>
          <w:sz w:val="20"/>
        </w:rPr>
        <w:t>” means the office of the Trustee at which the corporate trust business of the Trustee shall, at any particular time, be administered, which office is, at the date of this Indenture, located at           Attention: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Default</w:t>
      </w:r>
      <w:r>
        <w:rPr>
          <w:rFonts w:ascii="Times New Roman;Times;Serif" w:hAnsi="Times New Roman;Times;Serif"/>
          <w:b w:val="false"/>
          <w:i w:val="false"/>
          <w:caps w:val="false"/>
          <w:smallCaps w:val="false"/>
          <w:sz w:val="20"/>
        </w:rPr>
        <w:t>” means any event that is, or after notice or passage of time or both would be, an Event of Default.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 means, with respect to the Securities of any series issuable or issued in the form of one or more Registered Global Securities, the Person designated as Depositary by the Company pursuant to Section 2.03 until a successor Depositary shall have become such pursuant to the applicable provisions of this Indenture, and thereafter “</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 shall mean or include each Person who is then a Depositary hereunder, and if at any time there is more than one such Person, “</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 as used with respect to the Securities of any such series shall mean the Depositary with respect to the Registered Global Securities of that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Securityholder</w:t>
      </w:r>
      <w:r>
        <w:rPr>
          <w:rFonts w:ascii="Times New Roman;Times;Serif" w:hAnsi="Times New Roman;Times;Serif"/>
          <w:b w:val="false"/>
          <w:i w:val="false"/>
          <w:caps w:val="false"/>
          <w:smallCaps w:val="false"/>
          <w:sz w:val="20"/>
        </w:rPr>
        <w:t>” means the registered holder of any Security.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IFRS</w:t>
      </w:r>
      <w:r>
        <w:rPr>
          <w:rFonts w:ascii="Times New Roman;Times;Serif" w:hAnsi="Times New Roman;Times;Serif"/>
          <w:b w:val="false"/>
          <w:i w:val="false"/>
          <w:caps w:val="false"/>
          <w:smallCaps w:val="false"/>
          <w:sz w:val="20"/>
        </w:rPr>
        <w:t>” means International Financial Reporting Standards as issued by the International Accounting Standards Board, as in effect as of the date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means this Indenture as originally executed and delivered or as it may be amended or supplemented from time to time by one or more indentures supplemental to this Indenture entered into pursuant to the applicable provisions of this Indenture and shall include the forms and terms of the Securities of each series established as contemplated pursuant to Sections 2.01 and 2.03.</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Officer</w:t>
      </w:r>
      <w:r>
        <w:rPr>
          <w:rFonts w:ascii="Times New Roman;Times;Serif" w:hAnsi="Times New Roman;Times;Serif"/>
          <w:b w:val="false"/>
          <w:i w:val="false"/>
          <w:caps w:val="false"/>
          <w:smallCaps w:val="false"/>
          <w:sz w:val="20"/>
        </w:rPr>
        <w:t>” means, with respect to the Company, the chairman of the board of directors, the president or chief executive officer, any executive vice president, any senior vice president, any vice president, the chief financial officer, the treasurer or any assistant treasurer, or the secretary or any assistant secretary.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Officers’ Certificate</w:t>
      </w:r>
      <w:r>
        <w:rPr>
          <w:rFonts w:ascii="Times New Roman;Times;Serif" w:hAnsi="Times New Roman;Times;Serif"/>
          <w:b w:val="false"/>
          <w:i w:val="false"/>
          <w:caps w:val="false"/>
          <w:smallCaps w:val="false"/>
          <w:sz w:val="20"/>
        </w:rPr>
        <w:t>” means a certificate signed in the name of the Company (i) by the chairman of the board of directors, the president or chief executive officer, an executive vice president, a senior vice president or a vice president, and (ii) by the chief financial officer, the treasurer or any assistant treasurer, or the secretary or any assistant secretary, and delivered to the Trustee.  Each such certificate shall comply with Section 314 of the Trust Indenture Act, if applicable, and include (except as otherwise expressly provided in this Indenture) the statements provided in Section 10.04, if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Opinion of Counsel</w:t>
      </w:r>
      <w:r>
        <w:rPr>
          <w:rFonts w:ascii="Times New Roman;Times;Serif" w:hAnsi="Times New Roman;Times;Serif"/>
          <w:b w:val="false"/>
          <w:i w:val="false"/>
          <w:caps w:val="false"/>
          <w:smallCaps w:val="false"/>
          <w:sz w:val="20"/>
        </w:rPr>
        <w:t>” means a written opinion signed by legal counsel, who may be an employee of or counsel to the Company, satisfactory to the Trustee.  Each such opinion shall comply with Section 314 of the Trust Indenture Act, if applicable, and include the statements provided in Section 10.04, if and to the extent required thereby.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Original Issue Date</w:t>
      </w:r>
      <w:r>
        <w:rPr>
          <w:rFonts w:ascii="Times New Roman;Times;Serif" w:hAnsi="Times New Roman;Times;Serif"/>
          <w:b w:val="false"/>
          <w:i w:val="false"/>
          <w:caps w:val="false"/>
          <w:smallCaps w:val="false"/>
          <w:sz w:val="20"/>
        </w:rPr>
        <w:t>” of any Security (or portion thereof) means the earlier of (a) the date of authentication of such Security or (b) the date of any Security (or portion thereof) for which such Security was issued (directly or indirectly) on registration of transfer, exchange or substitution.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Original Issue Discount Security</w:t>
      </w:r>
      <w:r>
        <w:rPr>
          <w:rFonts w:ascii="Times New Roman;Times;Serif" w:hAnsi="Times New Roman;Times;Serif"/>
          <w:b w:val="false"/>
          <w:i w:val="false"/>
          <w:caps w:val="false"/>
          <w:smallCaps w:val="false"/>
          <w:sz w:val="20"/>
        </w:rPr>
        <w:t>” means any Security that provides for an amount less than the principal amount thereof to be due and payable upon a declaration of acceleration of the maturity thereof pursuant to Section 6.02.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Periodic Offering</w:t>
      </w:r>
      <w:r>
        <w:rPr>
          <w:rFonts w:ascii="Times New Roman;Times;Serif" w:hAnsi="Times New Roman;Times;Serif"/>
          <w:b w:val="false"/>
          <w:i w:val="false"/>
          <w:caps w:val="false"/>
          <w:smallCaps w:val="false"/>
          <w:sz w:val="20"/>
        </w:rPr>
        <w:t>” means an offering of Securities of a series from time to time, the specific terms of which Securities, including, without limitation, the rate or rates of interest, if any, thereon, the stated maturity or maturities thereof and the redemption provisions, if any, with respect thereto, are to be determined by the Company or its agents upon the issuance of such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a corporation, a partnership, a limited liability company, an association, a trust or any other entity or organization, including a government or political subdivision or an agency or instrumentality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Principal</w:t>
      </w:r>
      <w:r>
        <w:rPr>
          <w:rFonts w:ascii="Times New Roman;Times;Serif" w:hAnsi="Times New Roman;Times;Serif"/>
          <w:b w:val="false"/>
          <w:i w:val="false"/>
          <w:caps w:val="false"/>
          <w:smallCaps w:val="false"/>
          <w:sz w:val="20"/>
        </w:rPr>
        <w:t>” of a Security means the principal amount of, and, unless the context indicates otherwise, includes any premium payable on, the Security.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Registered Global Security</w:t>
      </w:r>
      <w:r>
        <w:rPr>
          <w:rFonts w:ascii="Times New Roman;Times;Serif" w:hAnsi="Times New Roman;Times;Serif"/>
          <w:b w:val="false"/>
          <w:i w:val="false"/>
          <w:caps w:val="false"/>
          <w:smallCaps w:val="false"/>
          <w:sz w:val="20"/>
        </w:rPr>
        <w:t>” means a Security evidencing all or a part of a series of Securities, issued to the Depositary for such series in accordance with Section 2.02, and bearing the legend prescribed in Section 2.02.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Responsible Officer</w:t>
      </w:r>
      <w:r>
        <w:rPr>
          <w:rFonts w:ascii="Times New Roman;Times;Serif" w:hAnsi="Times New Roman;Times;Serif"/>
          <w:b w:val="false"/>
          <w:i w:val="false"/>
          <w:caps w:val="false"/>
          <w:smallCaps w:val="false"/>
          <w:sz w:val="20"/>
        </w:rPr>
        <w:t>” when used with respect to the Trustee, shall mean an officer of the Trustee in the Corporate Trust Office, having direct responsibility for the administration of this Indenture, and also, with respect to a particular matter, any other officer to whom such matter is referred because of such officer’s knowledge of and familiarity with the particular subject.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means any of the securities, as defined in the first paragraph of the recitals hereof, that are authenticated and delivered under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with respect to any Person, any corporation, association or other business entity of which a majority of the capital stock or other ownership interests having ordinary voting power to elect a majority of the board of directors or other persons performing similar functions are at the time directly or indirectly owned by such Person.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means the party named as such in the first paragraph of this Indenture until a successor replaces it in accordance with the provisions of Article 7 and thereafter shall mean or include each Person who is then a Trustee hereunder, and if at any time there is more than one such Person, “Trustee” as used with respect to the Securities of any series shall mean the Trustee with respect to Securities of that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Trust Indenture Act</w:t>
      </w:r>
      <w:r>
        <w:rPr>
          <w:rFonts w:ascii="Times New Roman;Times;Serif" w:hAnsi="Times New Roman;Times;Serif"/>
          <w:b w:val="false"/>
          <w:i w:val="false"/>
          <w:caps w:val="false"/>
          <w:smallCaps w:val="false"/>
          <w:sz w:val="20"/>
        </w:rPr>
        <w:t>” means the Trust Indenture Act of 1939, as amended (15 U.S. Code §§ 77aaa-77bbbb), as it may be amended from time to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U.S. Government Obligations</w:t>
      </w:r>
      <w:r>
        <w:rPr>
          <w:rFonts w:ascii="Times New Roman;Times;Serif" w:hAnsi="Times New Roman;Times;Serif"/>
          <w:b w:val="false"/>
          <w:i w:val="false"/>
          <w:caps w:val="false"/>
          <w:smallCaps w:val="false"/>
          <w:sz w:val="20"/>
        </w:rPr>
        <w:t>” means securities that are (i) direct obligations of the United States of America for the payment of which its full faith and credit is pledged or (ii) obligations of an agency or instrumentality of the United States of America the payment of which is unconditionally guaranteed as a full faith and credit obligation by the United States of America,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Yield to Maturity</w:t>
      </w:r>
      <w:r>
        <w:rPr>
          <w:rFonts w:ascii="Times New Roman;Times;Serif" w:hAnsi="Times New Roman;Times;Serif"/>
          <w:b w:val="false"/>
          <w:i w:val="false"/>
          <w:caps w:val="false"/>
          <w:smallCaps w:val="false"/>
          <w:sz w:val="20"/>
        </w:rPr>
        <w:t>” means, as the context may require, the yield to maturity (i) on a series of Securities or (ii) if the Securities of a series are issuable from time to time, on a Security of such series, calculated at the time of issuance of such series in the case of clause (i) or at the time of issuance of such Security of such series in the case of clause (ii), or, if applicable, at the most recent redetermination of interest on such series or on such Security, and calculated in accordance with the constant interest method or such other accepted financial practice as is specified in the terms of such Security.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w:t>
        <w:tab/>
      </w:r>
      <w:r>
        <w:rPr>
          <w:rFonts w:ascii="Times New Roman;Times;Serif" w:hAnsi="Times New Roman;Times;Serif"/>
          <w:b w:val="false"/>
          <w:i/>
          <w:caps w:val="false"/>
          <w:smallCaps w:val="false"/>
          <w:sz w:val="20"/>
        </w:rPr>
        <w:t>Other Definitions.  </w:t>
      </w:r>
      <w:r>
        <w:rPr>
          <w:rFonts w:ascii="Times New Roman;Times;Serif" w:hAnsi="Times New Roman;Times;Serif"/>
          <w:b w:val="false"/>
          <w:i w:val="false"/>
          <w:caps w:val="false"/>
          <w:smallCaps w:val="false"/>
          <w:sz w:val="20"/>
        </w:rPr>
        <w:t>Each of the following terms is defined in the section set forth opposite such term:</w:t>
      </w:r>
    </w:p>
    <w:p>
      <w:pPr>
        <w:pStyle w:val="TextBody"/>
        <w:bidi w:val="0"/>
        <w:spacing w:before="0" w:after="0"/>
        <w:ind w:left="0" w:right="0" w:hanging="0"/>
        <w:jc w:val="left"/>
        <w:rPr>
          <w:caps w:val="false"/>
          <w:smallCaps w:val="false"/>
        </w:rPr>
      </w:pPr>
      <w:r>
        <w:rPr>
          <w:caps w:val="false"/>
          <w:smallCaps w:val="false"/>
        </w:rPr>
        <w:t> </w:t>
      </w:r>
    </w:p>
    <w:tbl>
      <w:tblPr>
        <w:tblW w:w="3985" w:type="dxa"/>
        <w:jc w:val="left"/>
        <w:tblInd w:w="0" w:type="dxa"/>
        <w:tblLayout w:type="fixed"/>
        <w:tblCellMar>
          <w:top w:w="0" w:type="dxa"/>
          <w:left w:w="0" w:type="dxa"/>
          <w:bottom w:w="0" w:type="dxa"/>
          <w:right w:w="0" w:type="dxa"/>
        </w:tblCellMar>
      </w:tblPr>
      <w:tblGrid>
        <w:gridCol w:w="3155"/>
        <w:gridCol w:w="830"/>
      </w:tblGrid>
      <w:tr>
        <w:trPr/>
        <w:tc>
          <w:tcPr>
            <w:tcW w:w="315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 </w:t>
            </w:r>
          </w:p>
        </w:tc>
        <w:tc>
          <w:tcPr>
            <w:tcW w:w="830" w:type="dxa"/>
            <w:tcBorders/>
            <w:vAlign w:val="center"/>
          </w:tcPr>
          <w:p>
            <w:pPr>
              <w:pStyle w:val="TableContents"/>
              <w:pBdr>
                <w:bottom w:val="single" w:sz="4" w:space="1" w:color="000000"/>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w:t>
            </w:r>
          </w:p>
        </w:tc>
      </w:tr>
      <w:tr>
        <w:trPr/>
        <w:tc>
          <w:tcPr>
            <w:tcW w:w="3155" w:type="dxa"/>
            <w:tcBorders/>
            <w:vAlign w:val="center"/>
          </w:tcPr>
          <w:p>
            <w:pPr>
              <w:pStyle w:val="TableContents"/>
              <w:bidi w:val="0"/>
              <w:spacing w:before="0" w:after="283"/>
              <w:jc w:val="left"/>
              <w:rPr/>
            </w:pPr>
            <w:r>
              <w:rPr/>
              <w:t>Authenticating Agent</w:t>
            </w:r>
          </w:p>
        </w:tc>
        <w:tc>
          <w:tcPr>
            <w:tcW w:w="830" w:type="dxa"/>
            <w:tcBorders/>
            <w:vAlign w:val="center"/>
          </w:tcPr>
          <w:p>
            <w:pPr>
              <w:pStyle w:val="TableContents"/>
              <w:bidi w:val="0"/>
              <w:spacing w:before="0" w:after="283"/>
              <w:jc w:val="center"/>
              <w:rPr/>
            </w:pPr>
            <w:r>
              <w:rPr/>
              <w:t>2.02</w:t>
            </w:r>
          </w:p>
        </w:tc>
      </w:tr>
      <w:tr>
        <w:trPr/>
        <w:tc>
          <w:tcPr>
            <w:tcW w:w="3155" w:type="dxa"/>
            <w:tcBorders/>
            <w:vAlign w:val="center"/>
          </w:tcPr>
          <w:p>
            <w:pPr>
              <w:pStyle w:val="TableContents"/>
              <w:bidi w:val="0"/>
              <w:spacing w:before="0" w:after="283"/>
              <w:jc w:val="left"/>
              <w:rPr/>
            </w:pPr>
            <w:r>
              <w:rPr/>
              <w:t>Cash Transaction</w:t>
            </w:r>
          </w:p>
        </w:tc>
        <w:tc>
          <w:tcPr>
            <w:tcW w:w="830" w:type="dxa"/>
            <w:tcBorders/>
            <w:vAlign w:val="center"/>
          </w:tcPr>
          <w:p>
            <w:pPr>
              <w:pStyle w:val="TableContents"/>
              <w:bidi w:val="0"/>
              <w:spacing w:before="0" w:after="283"/>
              <w:jc w:val="center"/>
              <w:rPr/>
            </w:pPr>
            <w:r>
              <w:rPr/>
              <w:t>7.03</w:t>
            </w:r>
          </w:p>
        </w:tc>
      </w:tr>
      <w:tr>
        <w:trPr/>
        <w:tc>
          <w:tcPr>
            <w:tcW w:w="3155" w:type="dxa"/>
            <w:tcBorders/>
            <w:vAlign w:val="center"/>
          </w:tcPr>
          <w:p>
            <w:pPr>
              <w:pStyle w:val="TableContents"/>
              <w:bidi w:val="0"/>
              <w:spacing w:before="0" w:after="283"/>
              <w:jc w:val="left"/>
              <w:rPr/>
            </w:pPr>
            <w:r>
              <w:rPr/>
              <w:t>Dollars</w:t>
            </w:r>
          </w:p>
        </w:tc>
        <w:tc>
          <w:tcPr>
            <w:tcW w:w="830" w:type="dxa"/>
            <w:tcBorders/>
            <w:vAlign w:val="center"/>
          </w:tcPr>
          <w:p>
            <w:pPr>
              <w:pStyle w:val="TableContents"/>
              <w:bidi w:val="0"/>
              <w:spacing w:before="0" w:after="283"/>
              <w:jc w:val="center"/>
              <w:rPr/>
            </w:pPr>
            <w:r>
              <w:rPr/>
              <w:t>4.02</w:t>
            </w:r>
          </w:p>
        </w:tc>
      </w:tr>
      <w:tr>
        <w:trPr/>
        <w:tc>
          <w:tcPr>
            <w:tcW w:w="3155" w:type="dxa"/>
            <w:tcBorders/>
            <w:vAlign w:val="center"/>
          </w:tcPr>
          <w:p>
            <w:pPr>
              <w:pStyle w:val="TableContents"/>
              <w:bidi w:val="0"/>
              <w:spacing w:before="0" w:after="283"/>
              <w:jc w:val="left"/>
              <w:rPr/>
            </w:pPr>
            <w:r>
              <w:rPr/>
              <w:t>Event of Default</w:t>
            </w:r>
          </w:p>
        </w:tc>
        <w:tc>
          <w:tcPr>
            <w:tcW w:w="830" w:type="dxa"/>
            <w:tcBorders/>
            <w:vAlign w:val="center"/>
          </w:tcPr>
          <w:p>
            <w:pPr>
              <w:pStyle w:val="TableContents"/>
              <w:bidi w:val="0"/>
              <w:spacing w:before="0" w:after="283"/>
              <w:jc w:val="center"/>
              <w:rPr/>
            </w:pPr>
            <w:r>
              <w:rPr/>
              <w:t>6.01</w:t>
            </w:r>
          </w:p>
        </w:tc>
      </w:tr>
      <w:tr>
        <w:trPr/>
        <w:tc>
          <w:tcPr>
            <w:tcW w:w="3155" w:type="dxa"/>
            <w:tcBorders/>
            <w:vAlign w:val="center"/>
          </w:tcPr>
          <w:p>
            <w:pPr>
              <w:pStyle w:val="TableContents"/>
              <w:bidi w:val="0"/>
              <w:spacing w:before="0" w:after="283"/>
              <w:jc w:val="left"/>
              <w:rPr/>
            </w:pPr>
            <w:r>
              <w:rPr/>
              <w:t>Judgment Currency</w:t>
            </w:r>
          </w:p>
        </w:tc>
        <w:tc>
          <w:tcPr>
            <w:tcW w:w="830" w:type="dxa"/>
            <w:tcBorders/>
            <w:vAlign w:val="center"/>
          </w:tcPr>
          <w:p>
            <w:pPr>
              <w:pStyle w:val="TableContents"/>
              <w:bidi w:val="0"/>
              <w:spacing w:before="0" w:after="283"/>
              <w:jc w:val="center"/>
              <w:rPr/>
            </w:pPr>
            <w:r>
              <w:rPr/>
              <w:t>10.15(a)</w:t>
            </w:r>
          </w:p>
        </w:tc>
      </w:tr>
      <w:tr>
        <w:trPr/>
        <w:tc>
          <w:tcPr>
            <w:tcW w:w="3155" w:type="dxa"/>
            <w:tcBorders/>
            <w:vAlign w:val="center"/>
          </w:tcPr>
          <w:p>
            <w:pPr>
              <w:pStyle w:val="TableContents"/>
              <w:bidi w:val="0"/>
              <w:spacing w:before="0" w:after="283"/>
              <w:jc w:val="left"/>
              <w:rPr/>
            </w:pPr>
            <w:r>
              <w:rPr/>
              <w:t>mandatory sinking fund payment</w:t>
            </w:r>
          </w:p>
        </w:tc>
        <w:tc>
          <w:tcPr>
            <w:tcW w:w="830" w:type="dxa"/>
            <w:tcBorders/>
            <w:vAlign w:val="center"/>
          </w:tcPr>
          <w:p>
            <w:pPr>
              <w:pStyle w:val="TableContents"/>
              <w:bidi w:val="0"/>
              <w:spacing w:before="0" w:after="283"/>
              <w:jc w:val="center"/>
              <w:rPr/>
            </w:pPr>
            <w:r>
              <w:rPr/>
              <w:t>3.05</w:t>
            </w:r>
          </w:p>
        </w:tc>
      </w:tr>
      <w:tr>
        <w:trPr/>
        <w:tc>
          <w:tcPr>
            <w:tcW w:w="3155" w:type="dxa"/>
            <w:tcBorders/>
            <w:vAlign w:val="center"/>
          </w:tcPr>
          <w:p>
            <w:pPr>
              <w:pStyle w:val="TableContents"/>
              <w:bidi w:val="0"/>
              <w:spacing w:before="0" w:after="283"/>
              <w:jc w:val="left"/>
              <w:rPr/>
            </w:pPr>
            <w:r>
              <w:rPr/>
              <w:t>optional sinking fund payment</w:t>
            </w:r>
          </w:p>
        </w:tc>
        <w:tc>
          <w:tcPr>
            <w:tcW w:w="830" w:type="dxa"/>
            <w:tcBorders/>
            <w:vAlign w:val="center"/>
          </w:tcPr>
          <w:p>
            <w:pPr>
              <w:pStyle w:val="TableContents"/>
              <w:bidi w:val="0"/>
              <w:spacing w:before="0" w:after="283"/>
              <w:jc w:val="center"/>
              <w:rPr/>
            </w:pPr>
            <w:r>
              <w:rPr/>
              <w:t>3.05</w:t>
            </w:r>
          </w:p>
        </w:tc>
      </w:tr>
      <w:tr>
        <w:trPr/>
        <w:tc>
          <w:tcPr>
            <w:tcW w:w="3155" w:type="dxa"/>
            <w:tcBorders/>
            <w:vAlign w:val="center"/>
          </w:tcPr>
          <w:p>
            <w:pPr>
              <w:pStyle w:val="TableContents"/>
              <w:bidi w:val="0"/>
              <w:spacing w:before="0" w:after="283"/>
              <w:jc w:val="left"/>
              <w:rPr/>
            </w:pPr>
            <w:r>
              <w:rPr/>
              <w:t>Paying Agent</w:t>
            </w:r>
          </w:p>
        </w:tc>
        <w:tc>
          <w:tcPr>
            <w:tcW w:w="830" w:type="dxa"/>
            <w:tcBorders/>
            <w:vAlign w:val="center"/>
          </w:tcPr>
          <w:p>
            <w:pPr>
              <w:pStyle w:val="TableContents"/>
              <w:bidi w:val="0"/>
              <w:spacing w:before="0" w:after="283"/>
              <w:jc w:val="center"/>
              <w:rPr/>
            </w:pPr>
            <w:r>
              <w:rPr/>
              <w:t>2.05</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2540"/>
        <w:gridCol w:w="830"/>
      </w:tblGrid>
      <w:tr>
        <w:trPr/>
        <w:tc>
          <w:tcPr>
            <w:tcW w:w="2540" w:type="dxa"/>
            <w:tcBorders/>
            <w:vAlign w:val="center"/>
          </w:tcPr>
          <w:p>
            <w:pPr>
              <w:pStyle w:val="TableContents"/>
              <w:bidi w:val="0"/>
              <w:spacing w:before="0" w:after="283"/>
              <w:jc w:val="left"/>
              <w:rPr/>
            </w:pPr>
            <w:r>
              <w:rPr/>
              <w:t>record date</w:t>
            </w:r>
          </w:p>
        </w:tc>
        <w:tc>
          <w:tcPr>
            <w:tcW w:w="830" w:type="dxa"/>
            <w:tcBorders/>
            <w:vAlign w:val="center"/>
          </w:tcPr>
          <w:p>
            <w:pPr>
              <w:pStyle w:val="TableContents"/>
              <w:bidi w:val="0"/>
              <w:spacing w:before="0" w:after="283"/>
              <w:jc w:val="center"/>
              <w:rPr/>
            </w:pPr>
            <w:r>
              <w:rPr/>
              <w:t>2.04</w:t>
            </w:r>
          </w:p>
        </w:tc>
      </w:tr>
      <w:tr>
        <w:trPr/>
        <w:tc>
          <w:tcPr>
            <w:tcW w:w="2540" w:type="dxa"/>
            <w:tcBorders/>
            <w:vAlign w:val="center"/>
          </w:tcPr>
          <w:p>
            <w:pPr>
              <w:pStyle w:val="TableContents"/>
              <w:bidi w:val="0"/>
              <w:spacing w:before="0" w:after="283"/>
              <w:jc w:val="left"/>
              <w:rPr/>
            </w:pPr>
            <w:r>
              <w:rPr/>
              <w:t>Registrar</w:t>
            </w:r>
          </w:p>
        </w:tc>
        <w:tc>
          <w:tcPr>
            <w:tcW w:w="830" w:type="dxa"/>
            <w:tcBorders/>
            <w:vAlign w:val="center"/>
          </w:tcPr>
          <w:p>
            <w:pPr>
              <w:pStyle w:val="TableContents"/>
              <w:bidi w:val="0"/>
              <w:spacing w:before="0" w:after="283"/>
              <w:jc w:val="center"/>
              <w:rPr/>
            </w:pPr>
            <w:r>
              <w:rPr/>
              <w:t>2.05</w:t>
            </w:r>
          </w:p>
        </w:tc>
      </w:tr>
      <w:tr>
        <w:trPr/>
        <w:tc>
          <w:tcPr>
            <w:tcW w:w="2540" w:type="dxa"/>
            <w:tcBorders/>
            <w:vAlign w:val="center"/>
          </w:tcPr>
          <w:p>
            <w:pPr>
              <w:pStyle w:val="TableContents"/>
              <w:bidi w:val="0"/>
              <w:spacing w:before="0" w:after="283"/>
              <w:jc w:val="left"/>
              <w:rPr/>
            </w:pPr>
            <w:r>
              <w:rPr/>
              <w:t>Required Currency</w:t>
            </w:r>
          </w:p>
        </w:tc>
        <w:tc>
          <w:tcPr>
            <w:tcW w:w="830" w:type="dxa"/>
            <w:tcBorders/>
            <w:vAlign w:val="center"/>
          </w:tcPr>
          <w:p>
            <w:pPr>
              <w:pStyle w:val="TableContents"/>
              <w:bidi w:val="0"/>
              <w:spacing w:before="0" w:after="283"/>
              <w:jc w:val="center"/>
              <w:rPr/>
            </w:pPr>
            <w:r>
              <w:rPr/>
              <w:t>10.15(a)</w:t>
            </w:r>
          </w:p>
        </w:tc>
      </w:tr>
      <w:tr>
        <w:trPr/>
        <w:tc>
          <w:tcPr>
            <w:tcW w:w="2540" w:type="dxa"/>
            <w:tcBorders/>
            <w:vAlign w:val="center"/>
          </w:tcPr>
          <w:p>
            <w:pPr>
              <w:pStyle w:val="TableContents"/>
              <w:bidi w:val="0"/>
              <w:spacing w:before="0" w:after="283"/>
              <w:jc w:val="left"/>
              <w:rPr/>
            </w:pPr>
            <w:r>
              <w:rPr/>
              <w:t>Security Register</w:t>
            </w:r>
          </w:p>
        </w:tc>
        <w:tc>
          <w:tcPr>
            <w:tcW w:w="830" w:type="dxa"/>
            <w:tcBorders/>
            <w:vAlign w:val="center"/>
          </w:tcPr>
          <w:p>
            <w:pPr>
              <w:pStyle w:val="TableContents"/>
              <w:bidi w:val="0"/>
              <w:spacing w:before="0" w:after="283"/>
              <w:jc w:val="center"/>
              <w:rPr/>
            </w:pPr>
            <w:r>
              <w:rPr/>
              <w:t>2.05</w:t>
            </w:r>
          </w:p>
        </w:tc>
      </w:tr>
      <w:tr>
        <w:trPr/>
        <w:tc>
          <w:tcPr>
            <w:tcW w:w="2540" w:type="dxa"/>
            <w:tcBorders/>
            <w:vAlign w:val="center"/>
          </w:tcPr>
          <w:p>
            <w:pPr>
              <w:pStyle w:val="TableContents"/>
              <w:bidi w:val="0"/>
              <w:spacing w:before="0" w:after="283"/>
              <w:jc w:val="left"/>
              <w:rPr/>
            </w:pPr>
            <w:r>
              <w:rPr/>
              <w:t>self-liquidating paper</w:t>
            </w:r>
          </w:p>
        </w:tc>
        <w:tc>
          <w:tcPr>
            <w:tcW w:w="830" w:type="dxa"/>
            <w:tcBorders/>
            <w:vAlign w:val="center"/>
          </w:tcPr>
          <w:p>
            <w:pPr>
              <w:pStyle w:val="TableContents"/>
              <w:bidi w:val="0"/>
              <w:spacing w:before="0" w:after="283"/>
              <w:jc w:val="center"/>
              <w:rPr/>
            </w:pPr>
            <w:r>
              <w:rPr/>
              <w:t>7.03</w:t>
            </w:r>
          </w:p>
        </w:tc>
      </w:tr>
      <w:tr>
        <w:trPr/>
        <w:tc>
          <w:tcPr>
            <w:tcW w:w="2540" w:type="dxa"/>
            <w:tcBorders/>
            <w:vAlign w:val="center"/>
          </w:tcPr>
          <w:p>
            <w:pPr>
              <w:pStyle w:val="TableContents"/>
              <w:bidi w:val="0"/>
              <w:spacing w:before="0" w:after="283"/>
              <w:jc w:val="left"/>
              <w:rPr/>
            </w:pPr>
            <w:r>
              <w:rPr/>
              <w:t>sinking fund payment date</w:t>
            </w:r>
          </w:p>
        </w:tc>
        <w:tc>
          <w:tcPr>
            <w:tcW w:w="830" w:type="dxa"/>
            <w:tcBorders/>
            <w:vAlign w:val="center"/>
          </w:tcPr>
          <w:p>
            <w:pPr>
              <w:pStyle w:val="TableContents"/>
              <w:bidi w:val="0"/>
              <w:spacing w:before="0" w:after="283"/>
              <w:jc w:val="center"/>
              <w:rPr/>
            </w:pPr>
            <w:r>
              <w:rPr/>
              <w:t>3.05</w:t>
            </w:r>
          </w:p>
        </w:tc>
      </w:tr>
      <w:tr>
        <w:trPr/>
        <w:tc>
          <w:tcPr>
            <w:tcW w:w="2540" w:type="dxa"/>
            <w:tcBorders/>
            <w:vAlign w:val="center"/>
          </w:tcPr>
          <w:p>
            <w:pPr>
              <w:pStyle w:val="TableContents"/>
              <w:bidi w:val="0"/>
              <w:spacing w:before="0" w:after="283"/>
              <w:jc w:val="left"/>
              <w:rPr/>
            </w:pPr>
            <w:r>
              <w:rPr/>
              <w:t>Surviving Entity</w:t>
            </w:r>
          </w:p>
        </w:tc>
        <w:tc>
          <w:tcPr>
            <w:tcW w:w="830" w:type="dxa"/>
            <w:tcBorders/>
            <w:vAlign w:val="center"/>
          </w:tcPr>
          <w:p>
            <w:pPr>
              <w:pStyle w:val="TableContents"/>
              <w:bidi w:val="0"/>
              <w:spacing w:before="0" w:after="283"/>
              <w:jc w:val="center"/>
              <w:rPr/>
            </w:pPr>
            <w:r>
              <w:rPr/>
              <w:t>5.01(a)</w:t>
            </w:r>
          </w:p>
        </w:tc>
      </w:tr>
      <w:tr>
        <w:trPr/>
        <w:tc>
          <w:tcPr>
            <w:tcW w:w="2540" w:type="dxa"/>
            <w:tcBorders/>
            <w:vAlign w:val="center"/>
          </w:tcPr>
          <w:p>
            <w:pPr>
              <w:pStyle w:val="TableContents"/>
              <w:bidi w:val="0"/>
              <w:spacing w:before="0" w:after="283"/>
              <w:jc w:val="left"/>
              <w:rPr/>
            </w:pPr>
            <w:r>
              <w:rPr/>
              <w:t>tranche</w:t>
            </w:r>
          </w:p>
        </w:tc>
        <w:tc>
          <w:tcPr>
            <w:tcW w:w="830" w:type="dxa"/>
            <w:tcBorders/>
            <w:vAlign w:val="center"/>
          </w:tcPr>
          <w:p>
            <w:pPr>
              <w:pStyle w:val="TableContents"/>
              <w:bidi w:val="0"/>
              <w:spacing w:before="0" w:after="283"/>
              <w:jc w:val="center"/>
              <w:rPr/>
            </w:pPr>
            <w:r>
              <w:rPr/>
              <w:t>2.14</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1.03.</w:t>
        <w:tab/>
      </w:r>
      <w:r>
        <w:rPr>
          <w:rFonts w:ascii="Times New Roman;Times;Serif" w:hAnsi="Times New Roman;Times;Serif"/>
          <w:b w:val="false"/>
          <w:i/>
          <w:caps w:val="false"/>
          <w:smallCaps w:val="false"/>
          <w:sz w:val="20"/>
        </w:rPr>
        <w:t>Incorporation by Reference of Trust Indenture Act.  </w:t>
      </w:r>
      <w:r>
        <w:rPr>
          <w:rFonts w:ascii="Times New Roman;Times;Serif" w:hAnsi="Times New Roman;Times;Serif"/>
          <w:b w:val="false"/>
          <w:i w:val="false"/>
          <w:caps w:val="false"/>
          <w:smallCaps w:val="false"/>
          <w:sz w:val="20"/>
        </w:rPr>
        <w:t>Whenever this Indenture refers to a provision of the Trust Indenture Act, the provision is incorporated by reference in and made a part of this Indenture.  The following terms used in this Indenture that are defined by the Trust Indenture Act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indenture securities</w:t>
      </w:r>
      <w:r>
        <w:rPr>
          <w:rFonts w:ascii="Times New Roman;Times;Serif" w:hAnsi="Times New Roman;Times;Serif"/>
          <w:b w:val="false"/>
          <w:i w:val="false"/>
          <w:caps w:val="false"/>
          <w:smallCaps w:val="false"/>
          <w:sz w:val="20"/>
        </w:rPr>
        <w:t>” means the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indenture security holder</w:t>
      </w:r>
      <w:r>
        <w:rPr>
          <w:rFonts w:ascii="Times New Roman;Times;Serif" w:hAnsi="Times New Roman;Times;Serif"/>
          <w:b w:val="false"/>
          <w:i w:val="false"/>
          <w:caps w:val="false"/>
          <w:smallCaps w:val="false"/>
          <w:sz w:val="20"/>
        </w:rPr>
        <w:t>” means a Holder or a Securityholder;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indenture to be qualified</w:t>
      </w:r>
      <w:r>
        <w:rPr>
          <w:rFonts w:ascii="Times New Roman;Times;Serif" w:hAnsi="Times New Roman;Times;Serif"/>
          <w:b w:val="false"/>
          <w:i w:val="false"/>
          <w:caps w:val="false"/>
          <w:smallCaps w:val="false"/>
          <w:sz w:val="20"/>
        </w:rPr>
        <w:t>” means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indenture trustee</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institutional trustee</w:t>
      </w:r>
      <w:r>
        <w:rPr>
          <w:rFonts w:ascii="Times New Roman;Times;Serif" w:hAnsi="Times New Roman;Times;Serif"/>
          <w:b w:val="false"/>
          <w:i w:val="false"/>
          <w:caps w:val="false"/>
          <w:smallCaps w:val="false"/>
          <w:sz w:val="20"/>
        </w:rPr>
        <w:t>” means the Trustee;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obligor</w:t>
      </w:r>
      <w:r>
        <w:rPr>
          <w:rFonts w:ascii="Times New Roman;Times;Serif" w:hAnsi="Times New Roman;Times;Serif"/>
          <w:b w:val="false"/>
          <w:i w:val="false"/>
          <w:caps w:val="false"/>
          <w:smallCaps w:val="false"/>
          <w:sz w:val="20"/>
        </w:rPr>
        <w:t>” on the indenture securities means the Company or any other obligor on the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terms used in this Indenture that are defined by the Trust Indenture Act, defined by reference in the Trust Indenture Act to another statute or defined by a rule of the Commission and not otherwise defined herein have the meanings assigned to them therein.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1.04.</w:t>
        <w:tab/>
      </w:r>
      <w:r>
        <w:rPr>
          <w:rFonts w:ascii="Times New Roman;Times;Serif" w:hAnsi="Times New Roman;Times;Serif"/>
          <w:b w:val="false"/>
          <w:i/>
          <w:caps w:val="false"/>
          <w:smallCaps w:val="false"/>
          <w:sz w:val="20"/>
        </w:rPr>
        <w:t>Rules of Construction.  </w:t>
      </w:r>
      <w:r>
        <w:rPr>
          <w:rFonts w:ascii="Times New Roman;Times;Serif" w:hAnsi="Times New Roman;Times;Serif"/>
          <w:b w:val="false"/>
          <w:i w:val="false"/>
          <w:caps w:val="false"/>
          <w:smallCaps w:val="false"/>
          <w:sz w:val="20"/>
        </w:rPr>
        <w:t>Unless the context otherwise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 accounting term not otherwise defined has the meaning assigned to it in accordance with IFRS;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words in the singular include the plural, and words in the plural include the singular;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“herein,” “hereof” and other words of similar import refer to this Indenture as a whole and not to any particular Article, Section or other subdivision;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references to Sections or Articles refer to Sections or Articles of this Indenture unless otherwise indicated;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use of masculine, feminine or neuter pronouns should not be deemed a limitation, and the use of any such pronouns should be construed to include, where appropriate, the other pronouns.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2</w:t>
      </w:r>
      <w:r>
        <w:rPr>
          <w:rFonts w:ascii="Times New Roman;Times;Serif" w:hAnsi="Times New Roman;Times;Serif"/>
          <w:b w:val="false"/>
          <w:i w:val="false"/>
          <w:smallCaps/>
          <w:sz w:val="20"/>
        </w:rPr>
        <w:br/>
        <w:t>THE SECURITIES</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w:t>
        <w:tab/>
      </w:r>
      <w:r>
        <w:rPr>
          <w:rFonts w:ascii="Times New Roman;Times;Serif" w:hAnsi="Times New Roman;Times;Serif"/>
          <w:b w:val="false"/>
          <w:i/>
          <w:caps w:val="false"/>
          <w:smallCaps w:val="false"/>
          <w:sz w:val="20"/>
        </w:rPr>
        <w:t>Form and Dating.  </w:t>
      </w:r>
      <w:r>
        <w:rPr>
          <w:rFonts w:ascii="Times New Roman;Times;Serif" w:hAnsi="Times New Roman;Times;Serif"/>
          <w:b w:val="false"/>
          <w:i w:val="false"/>
          <w:caps w:val="false"/>
          <w:smallCaps w:val="false"/>
          <w:sz w:val="20"/>
        </w:rPr>
        <w:t>The Securities of each series shall be substantially in such form or forms (not inconsistent with this Indenture) as shall be established by or pursuant to one or more Board Resolutions or in one or more indentures supplemental hereto, in each case with such appropriate insertions, omissions, substitutions and other variations as are required or permitted by this Indenture and may have imprinted or otherwise reproduced thereon such legend or legends or endorsements, not inconsistent with the provisions of this Indenture, as may be required to comply with any law, or with any rules of any securities exchange or usage, all as may be determined by the officers executing such Securities as evidenced by their execution of the Securities.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w:t>
        <w:tab/>
      </w:r>
      <w:r>
        <w:rPr>
          <w:rFonts w:ascii="Times New Roman;Times;Serif" w:hAnsi="Times New Roman;Times;Serif"/>
          <w:b w:val="false"/>
          <w:i/>
          <w:caps w:val="false"/>
          <w:smallCaps w:val="false"/>
          <w:sz w:val="20"/>
        </w:rPr>
        <w:t>Execution And Authentication.  </w:t>
      </w:r>
      <w:r>
        <w:rPr>
          <w:rFonts w:ascii="Times New Roman;Times;Serif" w:hAnsi="Times New Roman;Times;Serif"/>
          <w:b w:val="false"/>
          <w:i w:val="false"/>
          <w:caps w:val="false"/>
          <w:smallCaps w:val="false"/>
          <w:sz w:val="20"/>
        </w:rPr>
        <w:t>Two Officers shall execute the Securities for the Company by facsimile or manual signature in the name and on behalf of the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Officer whose signature is on a Security no longer holds that office at the time the Security is authenticated, the Security shall nevertheless be valid.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at the expense of the Company, may appoint an authenticating agent (the “</w:t>
      </w:r>
      <w:r>
        <w:rPr>
          <w:rFonts w:ascii="Times New Roman;Times;Serif" w:hAnsi="Times New Roman;Times;Serif"/>
          <w:b/>
          <w:i w:val="false"/>
          <w:caps w:val="false"/>
          <w:smallCaps w:val="false"/>
          <w:sz w:val="20"/>
        </w:rPr>
        <w:t>Authenticating Agent</w:t>
      </w:r>
      <w:r>
        <w:rPr>
          <w:rFonts w:ascii="Times New Roman;Times;Serif" w:hAnsi="Times New Roman;Times;Serif"/>
          <w:b w:val="false"/>
          <w:i w:val="false"/>
          <w:caps w:val="false"/>
          <w:smallCaps w:val="false"/>
          <w:sz w:val="20"/>
        </w:rPr>
        <w:t>”) to authenticate Securities.  The Authenticating Agent may authenticate Securities whenever the Trustee may do so.  Each reference in this Indenture to authentication by the Trustee includes authentication by such Authenticating Agent.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Security shall not be valid until the Trustee or Authenticating Agent manually signs the certificate of authentication on the Security.  The signature shall be conclusive evidence that the Security has been authenticated under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and from time to time after the execution and delivery of this Indenture, the Company may deliver Securities of any series executed by the Company to the Trustee for authentication together with the applicable documents referred to below in this Section, and the Trustee shall thereupon authenticate and deliver such Securities to or upon the written order of the Company.  In authenticating any Securities of a series, the Trustee shall be entitled to receive prior to the authentication of any Securities of such series, and (subject to Article 7) shall be fully protected in relying upon, unless and until such documents have been superseded or revoked: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Board Resolution and/or executed supplemental indenture referred to in Sections 2.01 and 2.03 by or pursuant to which the forms and terms of the Securities of that series were established;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 Officers’ Certificate setting forth the form or forms and terms of the Securities, stating that the form or forms and terms of the Securities of such series have been, or, in the case of a Periodic Offering, will be when established in accordance with such procedures as shall be referred to therein, established in compliance with this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 Opinion of Counsel substantially to the effect that the form or forms and terms of the Securities of such series have been, or, in the case of a Periodic Offering, will be when established in accordance with such procedures as shall be referred to therein, established in compliance with this Indenture and that the supplemental indenture, to the extent applicable, and Securities have been duly authorized and, if executed and authenticated in accordance with the provisions of the Indenture and delivered to and duly paid for by the purchasers thereof on the date of such opinion, would be entitled to the benefits of the Indenture and would be valid and binding obligations of the Company, enforceable against the Company in accordance with their respective terms, subject to bankruptcy, insolvency, reorganization, receivership, moratorium and other similar laws affecting creditors’ rights generally, general principles of equity, and covering such other matters as shall be specified therein and as shall be reasonably requested by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not be required to authenticate such Securities if the issue of such Securities pursuant to this Indenture will affect the Trustee’s own rights, duties or immunities under the Securities and this Indenture or otherwise in a manner which is not reasonably acceptable to the Trustee.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provisions of Sections 2.01 and 2.02, if, in connection with a Periodic Offering, all Securities of a series are not to be originally issued at one time, it shall not be necessary to deliver the Board Resolution otherwise required pursuant to Section 2.01 or the written order, Officers’ Certificate and Opinion of Counsel otherwise required pursuant to Section 2.02 at or prior to the authentication of each Security of such series if such documents are delivered at or prior to the authentication upon original issuance of the first Security of such series to be issued.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Securities of a series offered in a Periodic Offering, the Trustee may rely, as to the authorization by the Company of any of such Securities, the forms and terms thereof and the legality, validity, binding effect and enforceability thereof, upon the Opinion of Counsel and the other documents delivered pursuant to Sections 2.01 and 2.02, as applicable, in connection with the first authentication of Securities of such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shall establish pursuant to Section 2.03 that the Securities of a series or a portion thereof are to be issued in the form of one or more Registered Global Securities, then the Company shall execute and the Trustee shall authenticate and deliver one or more Registered Global Securities that (i) shall represent and shall be denominated in an amount equal to the aggregate principal amount of all of the Securities of such series issued in such form and not yet cancelled, (ii) shall be registered in the name of the Depositary for such Registered Global Security or Securities or the nominee of such Depositary, (iii) shall be delivered by the Trustee to such Depositary or its custodian or pursuant to such Depositary’s instructions and (iv) shall (unless provided otherwise in the form of such Security) bear a legend substantially to the following effect:  “Unless and until it is exchanged in whole or in part for Securities in definitive registered form, this Security may not be transferred except as a whole by the Depositary to the nominee of the Depositary or by a nominee of the Depositary to the Depositary or another nominee of the Depositary or by the Depositary or any such nominee to a successor Depositary or a nominee of such successor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w:t>
        <w:tab/>
      </w:r>
      <w:r>
        <w:rPr>
          <w:rFonts w:ascii="Times New Roman;Times;Serif" w:hAnsi="Times New Roman;Times;Serif"/>
          <w:b w:val="false"/>
          <w:i/>
          <w:caps w:val="false"/>
          <w:smallCaps w:val="false"/>
          <w:sz w:val="20"/>
        </w:rPr>
        <w:t>Amount Unlimited; Issuable in Series.  </w:t>
      </w:r>
      <w:r>
        <w:rPr>
          <w:rFonts w:ascii="Times New Roman;Times;Serif" w:hAnsi="Times New Roman;Times;Serif"/>
          <w:b w:val="false"/>
          <w:i w:val="false"/>
          <w:caps w:val="false"/>
          <w:smallCaps w:val="false"/>
          <w:sz w:val="20"/>
        </w:rPr>
        <w:t>The aggregate principal amount of Securities which may be authenticated and delivered under this Indenture is unlimited.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Securities may be issued in one or more series and each such series shall rank equally and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all other unsecured and unsubordinated debt of the Company.  There shall be established in or pursuant to Board Resolution or one or more indentures supplemental hereto, prior to the initial issuance of Securities of any series, subject to the last sentence of this Section 2.03,</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designation of the Securities of the series, which shall distinguish the Securities of the series from the Securities of all other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limit upon the aggregate principal amount of the Securities of the series that may be authenticated and delivered under this Indenture and any limitation on the ability of the Company to increase such aggregate principal amount after the initial issuance of the Securities of that series (except for Securities authenticated and delivered upon registration of transfer of, or in exchange for, or in lieu of, or upon redemption of, other Securities of the series pursuant hereto);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date or dates on which the principal of the Securities of the series is payable (which date or dates may be fixed or extendible);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rate or rates (which may be fixed or variable) per annum at which the Securities of the series shall bear interest, if any, the date or dates from which such interest shall accrue, on which such interest shall be payable and on which a record shall be taken for the determination of Holders to whom interest is payable and/or the method by which such rate or rates or date or dates shall be determined;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other than as provided in Section 4.02, the place or places where the principal of and any interest on Securities of the series shall be payable, any Securities of the series may be surrendered for exchange, notices, demands to or upon the Company in respect of the Securities of the series and this Indenture may be served;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right, if any, of the Company to redeem Securities of the series, in whole or in part, at its option and the period or periods within which, the price or prices at which and any terms and conditions upon which Securities of the series may be so redeemed, pursuant to any sinking fund or otherwise;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obligation, if any, of the Company to redeem, purchase or repay Securities of the series pursuant to any mandatory redemption, sinking fund or analogous provisions or at the option of a Holder thereof and the price or prices at which and the period or periods within which and any of the terms and conditions upon which Securities of the series shall be redeemed, purchased or repaid, in whole or in part, pursuant to such obligation;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if other than denominations of $2,000 and any higher integral multiple of $1,000, the denominations in which Securities of the series shall be issuable;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other than the principal amount thereof, the portion of the principal amount of Securities of the series which shall be payable upon declaration of acceleration of the maturity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if other than the coin or currency in which the Securities of the series are denominated, the coin or currency in which payment of the principal of or interest on the Securities of the series shall be payable or if the amount of payments of principal of and/or interest on the Securities of the series may be determined with reference to an index based on a coin or currency other than that in which the Securities of the series are denominated, the manner in which such amounts shall be determined;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if other than the currency of the United States of America, the currency or currencies, including composite currencies, in which payment of the Principal of and interest on the Securities of the series shall be payable, and the manner in which any such currencies shall be valued against other currencies in which any other Securities shall be payable;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whether the Securities of the series or any portion thereof will be issuable as Global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whether the Securities of the series may be exchangeable for and/or convertible into the common stock of the Company or any other security;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whether and under what circumstances the Company will pay additional amounts on the Securities of the series held by a person who is not a U.S. person in respect of any tax, assessment or governmental charge withheld or deducted and, if so, whether the Company will have the option to redeem such Securities rather than pay such additional amounts;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if the Securities of the series are to be issuable in definitive form (whether upon original issue or upon exchange of a temporary Security of such series) only upon receipt of certain certificates or other documents or satisfaction of other conditions, the form and terms of such certificates, documents or conditions;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any trustees, depositaries, authenticating or paying agents, transfer agents or the registrar or any other agents with respect to the Securities of the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provisions, if any, for the defeasance of the Securities of the series (including provisions permitting defeasance of less than all Securities of the series), which provisions may be in addition to, in substitution for, or in modification of (or any combination of the foregoing) the provisions of Article 8;</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if the Securities of the series are issuable in whole or in part as one or more Registered Global Securities, the identity of the Depositary or common Depositary for such Registered Global Security or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any other Events of Default or covenants with respect to the Securities of the series;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any other terms of the Securities of the series (which terms shall not be inconsistent with the provisions of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of any one series shall be substantially identical, except as to date and denomination, except in the case of any Periodic Offering and except as may otherwise be provided by or pursuant to the Board Resolution referred to above or as set forth in any such indenture supplemental hereto.  All Securities of any one series need not be issued at the same time and may be issued from time to time, consistent with the terms of this Indenture, if so provided by or pursuant to such Board Resolution or in any such indenture supplemental hereto and any forms and terms of Securities to be issued from time to time may be completed and established from time to time prior to the issuance thereof by procedures described in such Board Resolution or supplemental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expressly provided with respect to a series of Securities, the aggregate principal amount of a series of Securities may be increased and additional Securities of such series may be issued up to the maximum aggregate principal amount authorized with respect to such series as increased.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2.04.</w:t>
        <w:tab/>
      </w:r>
      <w:r>
        <w:rPr>
          <w:rFonts w:ascii="Times New Roman;Times;Serif" w:hAnsi="Times New Roman;Times;Serif"/>
          <w:b w:val="false"/>
          <w:i/>
          <w:caps w:val="false"/>
          <w:smallCaps w:val="false"/>
          <w:sz w:val="20"/>
        </w:rPr>
        <w:t>Denomination and Date of Securities; Payments of Interest.  </w:t>
      </w:r>
      <w:r>
        <w:rPr>
          <w:rFonts w:ascii="Times New Roman;Times;Serif" w:hAnsi="Times New Roman;Times;Serif"/>
          <w:b w:val="false"/>
          <w:i w:val="false"/>
          <w:caps w:val="false"/>
          <w:smallCaps w:val="false"/>
          <w:sz w:val="20"/>
        </w:rPr>
        <w:t>The Securities of each series shall be issuable in denominations established as contemplated by Section 2.03 or, if not so established with respect to Securities of any series, in denominations of $2,000 and any higher integral multiple of $1,000.  The Securities of each series shall be numbered, lettered or otherwise distinguished in such manner or in accordance with such plan as the Officers of the Company executing the same may determine, as evidenced by their execution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with respect to a series of Securities, each Security shall be dated the date of its authentication.  The Securities of each series shall bear interest, if any, from the date, and such interest and shall be payable on the dates, established as contemplated by Section 2.03.</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person in whose name any Security of any series is registered at the close of business on any record date applicable to a particular series with respect to any interest payment date for such series shall be entitled to receive the interest, if any, payable on such interest payment date notwithstanding any transfer or exchange of such Security subsequent to the record date and prior to such interest payment date, except if and to the extent the Company shall default in the payment of the interest due on such interest payment date for such series, in which case the provisions of Section 2.13 shall apply.  The term “</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as used with respect to any interest payment date (except a date for payment of defaulted interest) for the Securities of any series shall mean the date specified as such in the terms of the Securities of such series established as contemplated by Section 2.03, or, if no such date is so established, the fifteenth day next preceding such interest payment date, whether or not such record date is a Business Day.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2.05.</w:t>
        <w:tab/>
      </w:r>
      <w:r>
        <w:rPr>
          <w:rFonts w:ascii="Times New Roman;Times;Serif" w:hAnsi="Times New Roman;Times;Serif"/>
          <w:b w:val="false"/>
          <w:i/>
          <w:caps w:val="false"/>
          <w:smallCaps w:val="false"/>
          <w:sz w:val="20"/>
        </w:rPr>
        <w:t>Registrar and Paying Agent; Agents Generally.  </w:t>
      </w:r>
      <w:r>
        <w:rPr>
          <w:rFonts w:ascii="Times New Roman;Times;Serif" w:hAnsi="Times New Roman;Times;Serif"/>
          <w:b w:val="false"/>
          <w:i w:val="false"/>
          <w:caps w:val="false"/>
          <w:smallCaps w:val="false"/>
          <w:sz w:val="20"/>
        </w:rPr>
        <w:t>The Company shall maintain an office or agency where Securities may be presented for registration, registration of transfer or for exchange (the “</w:t>
      </w:r>
      <w:r>
        <w:rPr>
          <w:rFonts w:ascii="Times New Roman;Times;Serif" w:hAnsi="Times New Roman;Times;Serif"/>
          <w:b/>
          <w:i w:val="false"/>
          <w:caps w:val="false"/>
          <w:smallCaps w:val="false"/>
          <w:sz w:val="20"/>
        </w:rPr>
        <w:t>Registrar</w:t>
      </w:r>
      <w:r>
        <w:rPr>
          <w:rFonts w:ascii="Times New Roman;Times;Serif" w:hAnsi="Times New Roman;Times;Serif"/>
          <w:b w:val="false"/>
          <w:i w:val="false"/>
          <w:caps w:val="false"/>
          <w:smallCaps w:val="false"/>
          <w:sz w:val="20"/>
        </w:rPr>
        <w:t>”) and an office or agency where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may be presented for payment (the “</w:t>
      </w:r>
      <w:r>
        <w:rPr>
          <w:rFonts w:ascii="Times New Roman;Times;Serif" w:hAnsi="Times New Roman;Times;Serif"/>
          <w:b/>
          <w:i w:val="false"/>
          <w:caps w:val="false"/>
          <w:smallCaps w:val="false"/>
          <w:sz w:val="20"/>
        </w:rPr>
        <w:t>Paying Agent</w:t>
      </w:r>
      <w:r>
        <w:rPr>
          <w:rFonts w:ascii="Times New Roman;Times;Serif" w:hAnsi="Times New Roman;Times;Serif"/>
          <w:b w:val="false"/>
          <w:i w:val="false"/>
          <w:caps w:val="false"/>
          <w:smallCaps w:val="false"/>
          <w:sz w:val="20"/>
        </w:rPr>
        <w:t>”), which shall be in the Borough of Manhattan, The City of New York.  The Company shall cause the Registrar to keep a register of the Securities and of their registration, transfer and exchange (the “</w:t>
      </w:r>
      <w:r>
        <w:rPr>
          <w:rFonts w:ascii="Times New Roman;Times;Serif" w:hAnsi="Times New Roman;Times;Serif"/>
          <w:b/>
          <w:i w:val="false"/>
          <w:caps w:val="false"/>
          <w:smallCaps w:val="false"/>
          <w:sz w:val="20"/>
        </w:rPr>
        <w:t>Security Register</w:t>
      </w:r>
      <w:r>
        <w:rPr>
          <w:rFonts w:ascii="Times New Roman;Times;Serif" w:hAnsi="Times New Roman;Times;Serif"/>
          <w:b w:val="false"/>
          <w:i w:val="false"/>
          <w:caps w:val="false"/>
          <w:smallCaps w:val="false"/>
          <w:sz w:val="20"/>
        </w:rPr>
        <w:t>”).  The Company may have one or more additional Paying Agents or transfer agents with respect to any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shall enter into an appropriate agency agreement with any Agent not a party to this Indenture.  The agreement shall implement the provisions of this Indenture and the Trust Indenture Act that relate to such Agent.  The Company shall give prompt written notice to the Trustee of the name and address of any Agent and any change in the name or address of an Agent.  If the Company fails to maintain a Registrar or Paying Agent, the Trustee shall act as such.  The Company may remove any Agent upon written notice to such Agent and the Trustee;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such removal shall become effective until (i) the acceptance of an appointment by a successor Agent to such Agent as evidenced by an appropriate agency agreement entered into by the Company and such successor Agent and delivered to the Trustee or (ii) notification to the Trustee that the Trustee shall serve as such Agent until the appointment of a successor Agent in accordance with clause (i) of this proviso.  The Company or any affiliate of the Company may act as Paying Agent or Registrar;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neither the Company nor an affiliate of the Company shall act as Paying Agent in connection with the defeasance of the Securities or the discharge of this Indenture under Article 8.</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initially appoints the Trustee as Registrar, Paying Agent and Authenticating Agent.  If, at any time, the Trustee is not the Registrar, the Registrar shall make available to the Trustee ten days prior to each interest payment date and at such other times as the Trustee may reasonably request the names and addresses of the Holders as they appear in the Security Register.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2.06.</w:t>
        <w:tab/>
      </w:r>
      <w:r>
        <w:rPr>
          <w:rFonts w:ascii="Times New Roman;Times;Serif" w:hAnsi="Times New Roman;Times;Serif"/>
          <w:b w:val="false"/>
          <w:i/>
          <w:caps w:val="false"/>
          <w:smallCaps w:val="false"/>
          <w:sz w:val="20"/>
        </w:rPr>
        <w:t>Paying Agent to Hold Money in Trust.  </w:t>
      </w:r>
      <w:r>
        <w:rPr>
          <w:rFonts w:ascii="Times New Roman;Times;Serif" w:hAnsi="Times New Roman;Times;Serif"/>
          <w:b w:val="false"/>
          <w:i w:val="false"/>
          <w:caps w:val="false"/>
          <w:smallCaps w:val="false"/>
          <w:sz w:val="20"/>
        </w:rPr>
        <w:t xml:space="preserve">Not later than 10:00 a.m. New York City time on each due date of any Principal or interest on any Securities, the Company shall deposit with the Paying Agent money in immediately available funds sufficient to pay such Principal or interest.  The Company shall require each Paying Agent other than the Trustee to agree in writing that such Paying Agent shall hold in trust for the benefit of the Holders of such Securities or the Trustee all money held by the Paying Agent for the payment of Principal of and interest on such Securities and shall promptly notify the Trustee of any default by the Company in making any such payment.  The Company at any time may require a Paying Agent to pay all money held by it to the Trustee and account for any funds disbursed, and the Trustee may at any time during the continuance of any payment default, upon written request to a Paying Agent, require such Paying Agent to pay all money held by it to the Trustee and to account for any funds disbursed.  Upon doing so, the Paying Agent shall have no further liability for the money so paid over to the Trustee.  If the Company or any affiliate of the Company acts as Paying Agent, it will, on or before each due date of any Principal of or interest on any Securities, segregate and hold in a separate trust fund for the benefit of the Holders thereof a sum of money sufficient to pay such Principal or interest so becoming due until such sum of money shall be paid to such Holders or otherwise disposed of as provided in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and will promptly notify the Trustee in writing of its action or failure to act as required by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2.07.</w:t>
        <w:tab/>
      </w:r>
      <w:r>
        <w:rPr>
          <w:rFonts w:ascii="Times New Roman;Times;Serif" w:hAnsi="Times New Roman;Times;Serif"/>
          <w:b w:val="false"/>
          <w:i/>
          <w:caps w:val="false"/>
          <w:smallCaps w:val="false"/>
          <w:sz w:val="20"/>
        </w:rPr>
        <w:t>Transfer and Exchange.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option of the Holder thereof, Securities of any series (other than a Registered Global Security, except as set forth below) may be exchanged for a Security or Securities of such series and tenor having authorized denominations and an equal aggregate principal amount, upon surrender of such Securities to be exchanged at the agency of the Company that shall be maintained for such purpose in accordance with Section 2.05 and upon payment, if the Company shall so require, of the charges hereinafter provided.  Whenever any Securities are so surrendered for exchange, the Company shall execute, and the Trustee shall authenticate and deliver, the Securities which the Holder making the exchange is entitled to receive.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surrender for registration of transfer of any Security of a series at the agency of the Company that shall be maintained for that purpose in accordance with Section 2.05 and upon payment, if the Company shall so require, of the charges hereinafter provided, the Company shall execute, and the Trustee shall authenticate and deliver, in the name of the designated transferee or transferees, one or more new Securities of the same series, of any authorized denominations and of like tenor and aggregate principal amount.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presented for registration of transfer, exchange, redemption or payment shall be duly endorsed by, or be accompanied by a written instrument or instruments of transfer in form satisfactory to the Company and the Trustee duly executed by, the holder or his attorney duly authorized in writing.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require payment of a sum sufficient to cover any tax or other governmental charge that may be imposed in connection with any exchange or registration of transfer of Securities.  No service charge shall be made for any such transaction.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of this Section 2.07, unless and until it is exchanged in whole or in part for Securities in definitive registered form, a Registered Global Security representing all or a portion of the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at any time the Depositary for any Registered Global Securities of any series notifies the Company that it is unwilling or unable to continue as Depositary for such Registered Global Securities or if at any time the Depositary for such Registered Global Securities shall no longer be eligible under applicable law, the Company shall appoint a successor Depositary eligible under applicable law with respect to such Registered Global Securities.  If a successor Depositary eligible under applicable law for such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Global Securities is not appointed by the Company within 90 days after the Company receives such notice or becomes aware of such ineligibility, the Company will execute, and the Trustee, upon receipt of the Company’s order for the authentication and delivery of definitive Securities of such series and tenor, will authenticate and deliver certificated Securities of such series and tenor, in any authorized denominations, in an aggregate principal amount equal to the principal amount of such Registered Global Securities, in exchange for such Registered Global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at any time and in its sole discretion and subject to the procedures of the Depositary determine that any Registered Global Securities of any series shall no longer be maintained in global form.  In such event the Company will execute, and the Trustee, upon receipt of the Company’s order for the authentication and delivery of definitive Securities of such series and tenor, will authenticate and deliver, certificated Securities of such series and tenor in any authorized denominations, in an aggregate principal amount equal to the principal amount of such Registered Global Securities, in exchange for such Registered Global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time the Securities of any series are not in the form of Registered Global Securities pursuant to the preceding two paragraphs, the Company agrees to supply the Trustee with a reasonable supply of certificated Securities without the legend required by Section 2.02 and the Trustee agrees to hold such Securities in safekeeping until authenticated and delivered pursuant to the terms of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established by the Company pursuant to Section 2.03 with respect to any Registered Global Security, the Depositary for such Registered Global Security may surrender such Registered Global Security in exchange in whole or in part for Securities of the same series and tenor in definitive registered form on such terms as are acceptable to the Company and such Depositary.  Thereupon, the Company shall execute, and the Trustee shall authenticate and deliver, without service charge,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Person specified by such Depositary new certificated Securities of the same series and tenor, of any authorized denominations as requested by such Person, in an aggregate principal amount equal to and in exchange for such Person’s beneficial interest in the Registered Global Security;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such Depositary a new Registered Global Security in a denomination equal to the difference, if any, between the principal amount of the surrendered Registered Global Security and the aggregate principal amount of certificated Securities authenticated and delivered pursuant to clause (a) above.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Certificated Securities issued in exchange for a Registered Global Security pursuant to this Section 2.07 shall be registered in such names and in such authorized denominations as the Depositary for such Registered Global Security, pursuant to instructions from its direct or indirect participants or otherwise, shall instruct the Trustee or an agent of the Company or the Trustee.  The Trustee or such agent shall deliver such Securities to or as directed by the Persons in whose names such Securities are so registered.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issued upon any transfer or exchange of Securities shall be valid obligations of the Company, evidencing the same debt, and entitled to the same benefits under this Indenture, as the Securities surrendered upon such transfer or exchange.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Registrar shall not be required (i) to issue, authenticate, register the transfer of or exchange Securities of any series for a period of 15 days before a selection of such Securities to be redeemed or (ii) to register the transfer of or exchange any Security selected for redemption in whole or in part.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2.08.</w:t>
        <w:tab/>
      </w:r>
      <w:r>
        <w:rPr>
          <w:rFonts w:ascii="Times New Roman;Times;Serif" w:hAnsi="Times New Roman;Times;Serif"/>
          <w:b w:val="false"/>
          <w:i/>
          <w:caps w:val="false"/>
          <w:smallCaps w:val="false"/>
          <w:sz w:val="20"/>
        </w:rPr>
        <w:t>Replacement Securities.  </w:t>
      </w:r>
      <w:r>
        <w:rPr>
          <w:rFonts w:ascii="Times New Roman;Times;Serif" w:hAnsi="Times New Roman;Times;Serif"/>
          <w:b w:val="false"/>
          <w:i w:val="false"/>
          <w:caps w:val="false"/>
          <w:smallCaps w:val="false"/>
          <w:sz w:val="20"/>
        </w:rPr>
        <w:t>If any mutilated Security is surrendered to the Trustee, the Company shall execute and the Trustee shall authenticate and deliver, in exchange for such mutilated Security, a new Security of the same series and of like tenor and principal amount and bearing a number not contemporaneously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shall be delivered to the Company and the Trustee (i) evidence to their satisfaction of the destruction, loss or theft of any Security and (ii) such security or indemnity as may be required by them to save each of them and any agent of any of them harmless, then, in the absence of notice to the Company or the Trustee that such Security has been acquired by a bona fide purchaser, the Company shall execute and the Trustee shall authenticate and deliver, in lieu of any such destroyed, lost or stolen Security, a new Security of the same series and of like tenor and principal amount and bearing a number not contemporaneously outstanding.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such mutilated, destroyed, lost or stolen Security has become or is about to become due and payable, the Company in its discretion may, instead of issuing a new Security, pay such Security (without surrender thereof except in the case of a mutilated Security) if the applicant for such payment shall furnish to the Company and the Trustee such security or indemnity as may be required by them to save each of them and any agent of any of them harmless, and in the case of destruction, loss or theft, evidence satisfactory to the Company and the Trustee and any agent of them of the destruction, loss or theft of such Security and the ownership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issuance of any new Security under this Section, the Company may require payment of a sum sufficient to cover any tax or other governmental charge that may be imposed in relation thereto and any other expenses (including the fees and expenses of the Trustee) connected therewith.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new Security of any series issued pursuant to this Section in lieu of any destroyed, lost or stolen Security or in exchange for any mutilated Security shall constitute an original additional contractual obligation of the Company, whether or not the mutilated, destroyed, lost or stolen Security shall be at any time enforceable by anyone, and any such new Security shall be entitled to all the benefits of this Indenture equally and proportionately with any and all other Securities of that series duly issued 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Section are exclusive and shall preclude (to the extent lawful) any other rights and remedies with respect to the replacement or payment of mutilated, destroyed, lost or stolen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2.09.</w:t>
        <w:tab/>
      </w:r>
      <w:r>
        <w:rPr>
          <w:rFonts w:ascii="Times New Roman;Times;Serif" w:hAnsi="Times New Roman;Times;Serif"/>
          <w:b w:val="false"/>
          <w:i/>
          <w:caps w:val="false"/>
          <w:smallCaps w:val="false"/>
          <w:sz w:val="20"/>
        </w:rPr>
        <w:t>Outstanding Securities.  </w:t>
      </w:r>
      <w:r>
        <w:rPr>
          <w:rFonts w:ascii="Times New Roman;Times;Serif" w:hAnsi="Times New Roman;Times;Serif"/>
          <w:b w:val="false"/>
          <w:i w:val="false"/>
          <w:caps w:val="false"/>
          <w:smallCaps w:val="false"/>
          <w:sz w:val="20"/>
        </w:rPr>
        <w:t>Securities outstanding at any time are all Securities that have been authenticated by the Trustee except for those cancelled by it, those delivered to it for cancellation, those described in this Section as not outstanding and those that have been defeased pursuant to Section 8.05.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Security is replaced pursuant to Section 2.08, it ceases to be outstanding unless and until the Trustee and the Company receive proof satisfactory to them that the replaced Security is held by a holder in due course.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Paying Agent (other than the Company or an affiliate of the Company) holds on the maturity date or any redemption date or date for repurchase of the Securities money sufficient to pay Securities payable or to be redeemed or repurchased on that date, then on and after that date such Securities cease to be outstanding and interest on them shall cease to accrue.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Security does not cease to be outstanding because the Company or one of its affiliates holds such Security,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in determining whether the Holders of the requisite principal amount of the outstanding Securities have given any request, demand,  authorization, direction, notice, consent or waiver hereunder, Securities owned by the Company or any affiliate of the Company shall be disregarded and deemed not to be outstanding, except that, in determining whether the Trustee shall be protected in relying upon any such request, demand, authorization, direction, notice, consent or waiver, only Securities as to which a Responsible Officer of the Trustee has received written notice to be so owned shall be so disregarded.  Any Securities so owned which are pledged by the Company, or by any affiliate of the Company, as security for loans or other obligations, otherwise than to another such affiliate of the Company, shall be deemed to be outstanding, if the pledgee is entitled pursuant to the terms of its pledge agreement and is free to exercise in its or his discretion the right to vote such securities, uncontrolled by the Company or by any such affiliate.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2.10.</w:t>
        <w:tab/>
      </w:r>
      <w:r>
        <w:rPr>
          <w:rFonts w:ascii="Times New Roman;Times;Serif" w:hAnsi="Times New Roman;Times;Serif"/>
          <w:b w:val="false"/>
          <w:i/>
          <w:caps w:val="false"/>
          <w:smallCaps w:val="false"/>
          <w:sz w:val="20"/>
        </w:rPr>
        <w:t>Temporary Securities.  </w:t>
      </w:r>
      <w:r>
        <w:rPr>
          <w:rFonts w:ascii="Times New Roman;Times;Serif" w:hAnsi="Times New Roman;Times;Serif"/>
          <w:b w:val="false"/>
          <w:i w:val="false"/>
          <w:caps w:val="false"/>
          <w:smallCaps w:val="false"/>
          <w:sz w:val="20"/>
        </w:rPr>
        <w:t>Until definitive Securities of any series are ready for delivery, the Company may prepare and the Trustee shall authenticate temporary Securities of such series.  Temporary Securities of any series shall be substantially in the form of definitive Securities of such series but may have insertions, substitutions, omissions and other variations determined to be appropriate by the Officers executing the temporary Securities, as evidenced by their execution of such temporary Securities.  If temporary Securities of any series are issued, the Company will cause definitive Securities of such series to be prepared without unreasonable delay.  After the preparation of definitive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of any series, the temporary Securities of such series shall be exchangeable for definitive Securities of such series and tenor upon surrender of such temporary Securities at the office or agency of the Company  designated for such purpose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4.02, without charge to the Holder.  Upon surrender for cancellation of any one or more temporary Securities of any series the Company shall execute and the Trustee shall authenticate and deliver in exchange therefor a like principal amount of definitive Securities of such series and tenor and authorized denominations.  Until so exchanged, the temporary Securities of any series shall be entitled to the same benefits under this Indenture as definitive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2.11.</w:t>
        <w:tab/>
      </w:r>
      <w:r>
        <w:rPr>
          <w:rFonts w:ascii="Times New Roman;Times;Serif" w:hAnsi="Times New Roman;Times;Serif"/>
          <w:b w:val="false"/>
          <w:i/>
          <w:caps w:val="false"/>
          <w:smallCaps w:val="false"/>
          <w:sz w:val="20"/>
        </w:rPr>
        <w:t>Cancellation.  </w:t>
      </w:r>
      <w:r>
        <w:rPr>
          <w:rFonts w:ascii="Times New Roman;Times;Serif" w:hAnsi="Times New Roman;Times;Serif"/>
          <w:b w:val="false"/>
          <w:i w:val="false"/>
          <w:caps w:val="false"/>
          <w:smallCaps w:val="false"/>
          <w:sz w:val="20"/>
        </w:rPr>
        <w:t>The Company at any time may deliver to the Trustee for cancellation any Securities previously authenticated and delivered hereunder which the Company may have acquired in any manner whatsoever, and may deliver to the Trustee for cancellation any Securities previously authenticated hereunder which the Company has not issued and sold.  The Registrar, any transfer agent and the Paying Agent shall forward to the Trustee any Securities surrendered to them for transfer, exchange or payment.  The Trustee shall cancel and dispose of in accordance with its customary procedures all Securities surrendered for transfer, exchange, payment or cancellation and shall deliver a certificate of disposition to the Company.  The Company may not issue new Securities to replace Securities it has paid in full or delivered to the Trustee for cancellation.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2.12.</w:t>
        <w:tab/>
      </w:r>
      <w:r>
        <w:rPr>
          <w:rFonts w:ascii="Times New Roman;Times;Serif" w:hAnsi="Times New Roman;Times;Serif"/>
          <w:b w:val="false"/>
          <w:i/>
          <w:caps w:val="false"/>
          <w:smallCaps w:val="false"/>
          <w:sz w:val="20"/>
        </w:rPr>
        <w:t>CUSIP Numbers.  </w:t>
      </w:r>
      <w:r>
        <w:rPr>
          <w:rFonts w:ascii="Times New Roman;Times;Serif" w:hAnsi="Times New Roman;Times;Serif"/>
          <w:b w:val="false"/>
          <w:i w:val="false"/>
          <w:caps w:val="false"/>
          <w:smallCaps w:val="false"/>
          <w:sz w:val="20"/>
        </w:rPr>
        <w:t>The Company in issuing the Securities may use “CUSIP,” “ISIN” and/or “CINS” numbers (if then generally in use), and the Trustee shall use CUSIP numbers, ISIN numbers or CINS numbers, as the case may be, in notices of redemption or exchange as a convenience to Holders and no representation shall be made as to the correctness of such  numbers either as printed on the Securities or as contained  in any notice of redemption or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2.13.</w:t>
        <w:tab/>
      </w:r>
      <w:r>
        <w:rPr>
          <w:rFonts w:ascii="Times New Roman;Times;Serif" w:hAnsi="Times New Roman;Times;Serif"/>
          <w:b w:val="false"/>
          <w:i/>
          <w:caps w:val="false"/>
          <w:smallCaps w:val="false"/>
          <w:sz w:val="20"/>
        </w:rPr>
        <w:t>Defaulted Interest.  </w:t>
      </w:r>
      <w:r>
        <w:rPr>
          <w:rFonts w:ascii="Times New Roman;Times;Serif" w:hAnsi="Times New Roman;Times;Serif"/>
          <w:b w:val="false"/>
          <w:i w:val="false"/>
          <w:caps w:val="false"/>
          <w:smallCaps w:val="false"/>
          <w:sz w:val="20"/>
        </w:rPr>
        <w:t>If the Company defaults in a payment of interest on the Securities, it shall pay, or shall deposit with the Paying Agent money in immediately available funds sufficient to pay, the defaulted interest plus (to the extent lawful) any interest payable on the defaulted interest (as may be specified in the terms thereof, established pursuant to Section 2.03) to the Persons who are Holders on a subsequent special record date, which shall mean the 15th day next preceding the date fixed by the Company for the payment of defaulted interest, whether or not such day is a Business Day.  At least 15 days before such special record date, the Company shall mail to each Holder of such Securities and to the Trustee a notice that states the special record date, the payment date and the amount of defaulted interest to be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2.14.</w:t>
        <w:tab/>
      </w:r>
      <w:r>
        <w:rPr>
          <w:rFonts w:ascii="Times New Roman;Times;Serif" w:hAnsi="Times New Roman;Times;Serif"/>
          <w:b w:val="false"/>
          <w:i/>
          <w:caps w:val="false"/>
          <w:smallCaps w:val="false"/>
          <w:sz w:val="20"/>
        </w:rPr>
        <w:t>Series May Include Tranches.  </w:t>
      </w:r>
      <w:r>
        <w:rPr>
          <w:rFonts w:ascii="Times New Roman;Times;Serif" w:hAnsi="Times New Roman;Times;Serif"/>
          <w:b w:val="false"/>
          <w:i w:val="false"/>
          <w:caps w:val="false"/>
          <w:smallCaps w:val="false"/>
          <w:sz w:val="20"/>
        </w:rPr>
        <w:t>A series of Securities may include one or more tranches (each a “</w:t>
      </w:r>
      <w:r>
        <w:rPr>
          <w:rFonts w:ascii="Times New Roman;Times;Serif" w:hAnsi="Times New Roman;Times;Serif"/>
          <w:b/>
          <w:i w:val="false"/>
          <w:caps w:val="false"/>
          <w:smallCaps w:val="false"/>
          <w:sz w:val="20"/>
        </w:rPr>
        <w:t>tranche</w:t>
      </w:r>
      <w:r>
        <w:rPr>
          <w:rFonts w:ascii="Times New Roman;Times;Serif" w:hAnsi="Times New Roman;Times;Serif"/>
          <w:b w:val="false"/>
          <w:i w:val="false"/>
          <w:caps w:val="false"/>
          <w:smallCaps w:val="false"/>
          <w:sz w:val="20"/>
        </w:rPr>
        <w:t>”) of Securities, including Securities issued in a Periodic Offering.  The Securities of different tranches may have one or more different terms, including authentication dates and public offering prices, but all the Securities within each such tranche shall have identical terms, including authentication date and public offering price.  Notwithstanding any other provision of this Indenture, with respect to Sections 2.02 (other than the fourth, sixth and seventh paragraphs thereof) through 2.04, 2.07, 2.08, 2.10, 3.01 through 3.05, 4.02, 6.01 through 6.14, 8.01 through 8.07, 9.02 and 10.07, if any series of Securities includes more than one tranche, all provisions of such sections applicable to any series of Securities shall be deemed equally applicable to 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tranche of any series of Securities in the same manner as though originally designated a series unless otherwise provided with respect to such series or tranche pursuant to Section 2.03.  In particular, and without limiting the scope of the next preceding sentence, any of the provisions of such sections which provide for or permit action to be taken with respect to a series of Securities shall also be deemed to provide for and permit such action to be taken instead only with respect to Securities of one or more tranches within that series (and such provisions shall be deemed satisfied thereby), even if no comparable action is taken with respect to Securities in the remaining tranches of that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3</w:t>
      </w:r>
      <w:r>
        <w:rPr>
          <w:rFonts w:ascii="Times New Roman;Times;Serif" w:hAnsi="Times New Roman;Times;Serif"/>
          <w:b w:val="false"/>
          <w:i w:val="false"/>
          <w:smallCaps/>
          <w:sz w:val="20"/>
        </w:rPr>
        <w:br/>
        <w:t>REDEMPTION</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w:t>
        <w:tab/>
      </w:r>
      <w:r>
        <w:rPr>
          <w:rFonts w:ascii="Times New Roman;Times;Serif" w:hAnsi="Times New Roman;Times;Serif"/>
          <w:b w:val="false"/>
          <w:i/>
          <w:caps w:val="false"/>
          <w:smallCaps w:val="false"/>
          <w:sz w:val="20"/>
        </w:rPr>
        <w:t>Applicability of Article.  </w:t>
      </w:r>
      <w:r>
        <w:rPr>
          <w:rFonts w:ascii="Times New Roman;Times;Serif" w:hAnsi="Times New Roman;Times;Serif"/>
          <w:b w:val="false"/>
          <w:i w:val="false"/>
          <w:caps w:val="false"/>
          <w:smallCaps w:val="false"/>
          <w:sz w:val="20"/>
        </w:rPr>
        <w:t>The provisions of this Article shall be applicable to the Securities of any series which are redeemable before their maturity or to any sinking fund for the retirement of Securities of a series except as otherwise specified as contemplated by Section 2.03 for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3.02.</w:t>
        <w:tab/>
      </w:r>
      <w:r>
        <w:rPr>
          <w:rFonts w:ascii="Times New Roman;Times;Serif" w:hAnsi="Times New Roman;Times;Serif"/>
          <w:b w:val="false"/>
          <w:i/>
          <w:caps w:val="false"/>
          <w:smallCaps w:val="false"/>
          <w:sz w:val="20"/>
        </w:rPr>
        <w:t>Notice of Redemption; Partial Redemptions.  </w:t>
      </w:r>
      <w:r>
        <w:rPr>
          <w:rFonts w:ascii="Times New Roman;Times;Serif" w:hAnsi="Times New Roman;Times;Serif"/>
          <w:b w:val="false"/>
          <w:i w:val="false"/>
          <w:caps w:val="false"/>
          <w:smallCaps w:val="false"/>
          <w:sz w:val="20"/>
        </w:rPr>
        <w:t>Notice of redemption to the Holders of Securities of any series to be redeemed as a whole or in part at the option of the Company shall be given by mailing notice of such redemption by first class mail, postage prepaid, at least 30 days and not more than 60 days prior to the date fixed for redemption to such Holders of Securities of such series at their last addresses as they shall appear upon the Security Register.  Any notice which is mailed or published in the manner herein provided shall be conclusively presumed to have been duly given, whether or not the Holder receives the notice.  Failure to give notice by mail, or any defect in the notice to the Holder of any Security of a series designated for redemption as a whole or in part shall not affect the validity of the proceedings for the redemption of any other Security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of redemption to each such Holder shall specify the principal amount of each Security of such series held by such Holder to be redeemed, the CUSIP numbers of the Securities to be redeemed, the date fixed for redemption, the redemption price, or if not then ascertainable, the manner of calculation thereof, the place or places of payment, that payment will be made upon presentation and surrender of such Securities, that such redemption is pursuant to the mandatory or optional sinking fund, or both, if such be the case, that interest accrued to the date fixed for redemption will be paid as specified in such notice and that on and after said date interest thereon or on the portions thereof to be redeemed will cease to accrue.  In case any Security of a series is to be redeemed in part only, the notice of redemption shall state the portion of the principal amount thereof to be redeemed and shall state that on and after the date fixed for redemption, upon surrender of such Security, a new Security or Securities of such series and tenor in principal amount equal to the unredeemed portion thereof will be issued.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of redemption of Securities of any series to be redeemed at the option of the Company shall be given by the Company or, at the Company’s request, by the Trustee in the name and at the expense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before 10:00 a.m. New York City time on the redemption date specified in the notice of redemption given as provided in this Section, the Company will deposit with the Trustee or with one or more Paying Agents (or, if the Company is acting as its own Paying Agent, set aside, segregate and hold in trust as provided in Section 2.06) an amount of money sufficient to redeem on the redemption date all the Securities of such series so called for redemption at the appropriate redemption price, together with accrued interest to the date fixed for redemption.  If all of the outstanding Securities of a series are to be redeemed, the Company will deliver to the Trustee at least 10 days prior to the last date on which notice of redemption may be given to Holders pursuant to the first paragraph of this Section 3.02 (or such shorter period as shall be acceptable to the Trustee) an Officers’ Certificate stating that all such Securities are to be redeemed.  If less than all the outstanding Securities of a series are to be redeemed, the Company will deliver to the Trustee at least 15 days prior to the last date on which notice of redemption may be given to Holders pursuant to the first paragraph of this Section 3.02 (or such shorter period as shall be acceptable to the Trustee) an Officers’ Certificate stating the aggregate principal amount of such Securities to be redeemed.  In the case of any redemption of Securities (a) prior to the expiration of any restriction on such redemption provided in the terms of such Securities or elsewhere in this Indenture, or (b) pursuant to an election of the Company which is subject to a condition specified in the terms of such Securities or elsewhere in this Indenture, the Company shall deliver to the Trustee, prior to the giving of any notice of redemption to Holders pursuant to this Section,  an Officers’ Certificate evidencing compliance with such restriction or condition.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less than all the Securities of a series are to be redeemed, the Trustee shall select, pro rata, by lot or in such manner as it shall deem appropriate and fair, Securities of such series to be redeemed in whole or in part.  Securities may be redeemed in part in principal amounts equal to authorized denominations for Securities of such series.  The Trustee shall promptly notify the Company in writing of the Securities of such series selected for redemption and, in the case of any Securities of such series selected for partial redemption, the principal amount thereof to be redeemed.  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3.03.</w:t>
        <w:tab/>
      </w:r>
      <w:r>
        <w:rPr>
          <w:rFonts w:ascii="Times New Roman;Times;Serif" w:hAnsi="Times New Roman;Times;Serif"/>
          <w:b w:val="false"/>
          <w:i/>
          <w:caps w:val="false"/>
          <w:smallCaps w:val="false"/>
          <w:sz w:val="20"/>
        </w:rPr>
        <w:t>Payment Of Securities Called For Redemption.  </w:t>
      </w:r>
      <w:r>
        <w:rPr>
          <w:rFonts w:ascii="Times New Roman;Times;Serif" w:hAnsi="Times New Roman;Times;Serif"/>
          <w:b w:val="false"/>
          <w:i w:val="false"/>
          <w:caps w:val="false"/>
          <w:smallCaps w:val="false"/>
          <w:sz w:val="20"/>
        </w:rPr>
        <w:t>If notice of redemption has been given as above provided, the Securities or portions of Securities specified in such notice shall become due and payable on the date and at the place stated in such notice at the applicable redemption price, together with interest accrued to the date fixed for redemption, and on and after such date (unless the Company shall default in the payment of such Securities at the redemption price, together with interest accrued to such date) interest on the Securities or portions of Securities so called for redemption shall cease to accrue, and, except as provided in Sections 7.12 and 8.02, such Securities shall cease from and after the date fixed for redemption to be entitled to any benefit under this Indenture, and the Holders thereof shall have no right in respect of such Securities except the right to receive the redemption price thereof and unpaid interest to the date fixed for redemption.  On presentation and surrender of such Securities at a place of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specified in said notice, said Securities or the specified portions thereof shall be paid and redeemed by the Company at the applicable redemption price, together with interest accrued thereon to the date fixed for redemption;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payment of interest becoming due on or prior to the date fixed for redemption shall be payable to the Holders registered as such on the relevant record date subject to the terms and provisions of Sections 2.04 and 2.13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Security called for redemption shall not be so paid upon surrender thereof for redemption, the principal shall, until paid or duly provided for, bear interest from the date fixed for redemption at the rate of interest or Yield to Maturity (in the case of an Original Issue Discount Security) borne by such Security.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presentation of any Security of any series redeemed in part only, the Company shall execute and the Trustee shall authenticate and deliver to or on the order of the Holder thereof, at the expense of the Company, a new Security or Securities of such series and tenor, of authorized denominations, in principal amount equal to the unredeemed portion of the Security so presented.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3.04.</w:t>
        <w:tab/>
      </w:r>
      <w:r>
        <w:rPr>
          <w:rFonts w:ascii="Times New Roman;Times;Serif" w:hAnsi="Times New Roman;Times;Serif"/>
          <w:b w:val="false"/>
          <w:i/>
          <w:caps w:val="false"/>
          <w:smallCaps w:val="false"/>
          <w:sz w:val="20"/>
        </w:rPr>
        <w:t>Exclusion of Certain Securities from Eligibility for Selection for Redemption.  </w:t>
      </w:r>
      <w:r>
        <w:rPr>
          <w:rFonts w:ascii="Times New Roman;Times;Serif" w:hAnsi="Times New Roman;Times;Serif"/>
          <w:b w:val="false"/>
          <w:i w:val="false"/>
          <w:caps w:val="false"/>
          <w:smallCaps w:val="false"/>
          <w:sz w:val="20"/>
        </w:rPr>
        <w:t>Unless otherwise provided with respect to any series of Securities, Securities shall be excluded from eligibility for selection for redemption if they are identified by registration and certificate number in a written statement signed by an authorized officer of the Company and delivered to the Trustee at least 40 days prior to the last date on which notice of redemption may be given as being owned of record and beneficially by, and not pledged or hypothecated by, either (a) the Company or (b) an entity specifically identified in such written statement as directly or indirectly controlling or controlled by or under direct or indirect common control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3.05.</w:t>
        <w:tab/>
      </w:r>
      <w:r>
        <w:rPr>
          <w:rFonts w:ascii="Times New Roman;Times;Serif" w:hAnsi="Times New Roman;Times;Serif"/>
          <w:b w:val="false"/>
          <w:i/>
          <w:caps w:val="false"/>
          <w:smallCaps w:val="false"/>
          <w:sz w:val="20"/>
        </w:rPr>
        <w:t>Mandatory and Optional Sinking Funds.  </w:t>
      </w:r>
      <w:r>
        <w:rPr>
          <w:rFonts w:ascii="Times New Roman;Times;Serif" w:hAnsi="Times New Roman;Times;Serif"/>
          <w:b w:val="false"/>
          <w:i w:val="false"/>
          <w:caps w:val="false"/>
          <w:smallCaps w:val="false"/>
          <w:sz w:val="20"/>
        </w:rPr>
        <w:t>The minimum amount of any sinking fund payment provided for by the terms of Securities of any series is herein referred to as a “</w:t>
      </w:r>
      <w:r>
        <w:rPr>
          <w:rFonts w:ascii="Times New Roman;Times;Serif" w:hAnsi="Times New Roman;Times;Serif"/>
          <w:b/>
          <w:i w:val="false"/>
          <w:caps w:val="false"/>
          <w:smallCaps w:val="false"/>
          <w:sz w:val="20"/>
        </w:rPr>
        <w:t>mandatory sinking fund payment</w:t>
      </w:r>
      <w:r>
        <w:rPr>
          <w:rFonts w:ascii="Times New Roman;Times;Serif" w:hAnsi="Times New Roman;Times;Serif"/>
          <w:b w:val="false"/>
          <w:i w:val="false"/>
          <w:caps w:val="false"/>
          <w:smallCaps w:val="false"/>
          <w:sz w:val="20"/>
        </w:rPr>
        <w:t>”, and any payment in excess of such minimum amount provided for by the terms of the Securities of any series is herein referred to as an “</w:t>
      </w:r>
      <w:r>
        <w:rPr>
          <w:rFonts w:ascii="Times New Roman;Times;Serif" w:hAnsi="Times New Roman;Times;Serif"/>
          <w:b/>
          <w:i w:val="false"/>
          <w:caps w:val="false"/>
          <w:smallCaps w:val="false"/>
          <w:sz w:val="20"/>
        </w:rPr>
        <w:t>optional sinking fund payment</w:t>
      </w:r>
      <w:r>
        <w:rPr>
          <w:rFonts w:ascii="Times New Roman;Times;Serif" w:hAnsi="Times New Roman;Times;Serif"/>
          <w:b w:val="false"/>
          <w:i w:val="false"/>
          <w:caps w:val="false"/>
          <w:smallCaps w:val="false"/>
          <w:sz w:val="20"/>
        </w:rPr>
        <w:t>”.  The date on which a sinking fund payment is to be made is herein referred to as the “</w:t>
      </w:r>
      <w:r>
        <w:rPr>
          <w:rFonts w:ascii="Times New Roman;Times;Serif" w:hAnsi="Times New Roman;Times;Serif"/>
          <w:b/>
          <w:i w:val="false"/>
          <w:caps w:val="false"/>
          <w:smallCaps w:val="false"/>
          <w:sz w:val="20"/>
        </w:rPr>
        <w:t>sinking fund payment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lieu of making all or any part of any mandatory sinking fund payment with respect to any series of Securities in cash, the Company may at its option (a) deliver to the Trustee Securities of such series theretofore purchased or otherwise acquired (except through a mandatory sinking fund payment) by the Company or receive credit for Securities of such series (not previously so credited) theretofore purchased or otherwise acquired (except as aforesaid) by the Company and delivered to the Trustee for cancellation pursuant to Section 2.11, (b) receive credit for optional sinking fund payments (not previously so credited) made pursuant to this Section, or (c) receive credit for Securities of such series (not previously so credited) redeemed by the Company at the option of the Company pursuant to the terms of such Securities or through any optional sinking fund payment.  Securities so delivered or credited shall be received or credited by the Trustee at the sinking fund redemption price specified in such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before the sixtieth day next preceding each sinking fund payment date for any series, or such shorter period as shall be acceptable to the Trustee, the Company will deliver to the Trustee an Officers’ Certificate (a) specifying the portion of the mandatory sinking fund payment to be satisfied by payment of cash and the portion to be satisfied by credit of specified Securities of such series and the basis for such credit, (b) stating that none of the specified Securities of such series has theretofore been so credited, (c) stating that no defaults in the payment of interest or Events of Default with respect to such series have occurred (which have not been waived or cured) and are continuing and (d) stating whether or not the Company intends to exercise its right to make an optional sinking fund payment with respect to such series and, if so, specifying the amount of such optional sinking fund payment which the Company intends to pay on or before the next succeeding sinking fund payment date.  Any Securities of such series to be credited and required to be delivered to the Trustee in order for the Company to be entitled to credit therefor as aforesaid which have not theretofore been delivered to the Trustee shall be delivered for cancellation pursuant to Section 2.11 to the Trustee with such Officers’ Certificate (or reasonably promptly thereafter if acceptable to the Trustee).  Such Officers’ Certificate shall be irrevocable and upon its receipt by the Trustee the Company shall become unconditionally obligated to make all the cash payments or delivery of Securities therein referred to, if any, on or before the next succeeding sinking fund payment date.  Failure of the Company, on or before any such sixtieth day, to deliver such Officer’s Certificate and Securities specified in this paragraph, if any, shall not constitute a default but shall constitute, on and as of such date, the irrevocable election of the Company (i) that the mandatory sinking fund payment for such series due on the next succeeding sinking fund payment date shall be paid entirely in cash without the option to deliver or credit Securities of such series in respect thereof and (ii) that the Company will make no optional sinking fund payment with respect to such series as provided in this Section.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sinking fund payment or payments (mandatory or optional or both) to be made in cash on the next succeeding sinking fund payment date plus any unused balance of any preceding sinking fund payments made in cash shall exceed $50,000 (or a lesser sum if the Company shall so request with respect to the Securities of any series), such cash shall be applied on the next succeeding sinking fund payment date to the redemption of Securities of such series at the sinking fund redemption price thereof together with accrued interest thereon to the date fixed for redemption.  If such amount shall be $50,000 (or such lesser sum) or less and the Company makes no such request then it shall be carried over until a sum in excess of $50,000 (or such lesser sum) is available.  The Trustee shall select, in the manner provided in Section 3.02, for redemption on such sinking fund payment date a sufficient principal amount of Securities of such series to absorb said cash, as nearly as may be, and shall (if requested in writing by the Company) inform the Company of the serial numbers of the Securities of such series (or portions thereof) so selected.  Securities shall be excluded from eligibility for redemption under this Section if they are identified by registration and certificate number in an Officers’ Certificate delivered to the Trustee at least 60 days prior to the sinking fund payment date as being owned of record and beneficially by, and not pledged or hypothecated by either (a) the Company or (b) an entity specifically identified in such Officers’ Certificate as directly or indirectly controlling or controlled by or under direct or indirect common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control with the Company.  The Trustee, in the name and at the expense of the Company (or the Company, if it shall so request the Trustee in writing) shall cause notice of redemption of the Securities of such series to be given in substantially the manner provided in Section 3.02 (and with the effect provided in Section 3.03) for the redemption of Securities of such series in part at the option of the Company.  The amount of any sinking fund payments not so applied or allocated to the redemption of Securities of such series shall be added to the next cash sinking fund payment for such series and, together with such payment, shall be applied in accordance with the provisions of this Section.  Any and all sinking fund moneys held on the stated maturity date of the Securities of any particular series (or earlier, if such maturity is accelerated), which are not held for the payment or redemption of particular Securities of such series shall be applied, together with other moneys, if necessary, sufficient for the purpose, to the payment of the Principal of, and interest on, the Securities of such series at maturity.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before 10:00 a.m. New York City time on each sinking fund payment date, the Company shall pay to the Trustee in cash or shall otherwise provide for the payment of all interest accrued to the date fixed for redemption on Securities to be redeemed on the next following sinking fund payment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not redeem or cause to be redeemed any Securities of a series with sinking fund moneys or mail any notice of redemption of Securities of such series by operation of the sinking fund during the continuance of a Default in payment of interest on such Securities or of any Event of Default except that, where the mailing of notice of redemption of any Securities shall theretofore have been made, the Trustee shall redeem or cause to be redeemed such Securities, provided that it shall have received from the Company a sum sufficient for such redemption.  Except as aforesaid, any moneys in the sinking fund for such series at the time when any such Default or Event of Default shall occur, and any moneys thereafter paid into the sinking fund, shall, during the continuance of such Default or Event of Default, be deemed to have been collected under Article 6 and held for the payment of all such Securities.  In case such Event of Default shall have been waived as provided in Section 6.04 or the Default cured on or before the sixtieth day preceding the sinking fund payment date in any year, such moneys shall thereafter be applied on the next succeeding sinking fund payment date in accordance with this Section to the redemption of such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4</w:t>
      </w:r>
      <w:r>
        <w:rPr>
          <w:rFonts w:ascii="Times New Roman;Times;Serif" w:hAnsi="Times New Roman;Times;Serif"/>
          <w:b w:val="false"/>
          <w:i w:val="false"/>
          <w:smallCaps/>
          <w:sz w:val="20"/>
        </w:rPr>
        <w:br/>
        <w:t>COVENANTS</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4.01.</w:t>
        <w:tab/>
      </w:r>
      <w:r>
        <w:rPr>
          <w:rFonts w:ascii="Times New Roman;Times;Serif" w:hAnsi="Times New Roman;Times;Serif"/>
          <w:b w:val="false"/>
          <w:i/>
          <w:caps w:val="false"/>
          <w:smallCaps w:val="false"/>
          <w:sz w:val="20"/>
        </w:rPr>
        <w:t>Payment of Securities.  </w:t>
      </w:r>
      <w:r>
        <w:rPr>
          <w:rFonts w:ascii="Times New Roman;Times;Serif" w:hAnsi="Times New Roman;Times;Serif"/>
          <w:b w:val="false"/>
          <w:i w:val="false"/>
          <w:caps w:val="false"/>
          <w:smallCaps w:val="false"/>
          <w:sz w:val="20"/>
        </w:rPr>
        <w:t>The Company shall pay the Principal of and interest on the Securities on the dates and in the manner provided in the Securities and this Indenture.  The interest on Securities (together with any additional amounts payable pursuant to the terms of such Securities) shall be payable only to the Holders thereof (subject to Section 2.04) and at the option of the Company may be paid by mailing checks for such interest payable to or upon the written order of such Holders at their last addresses as they appear on the Security Register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provisions of this Indenture and the Securities of any series to the contrary, if the Company and a Holder of any Security so agree, payments of interest on, and any portion of the Principal of, such Holder’s Security (other than interest payable at maturity or on any redemption or repayment date or the final payment of Principal on such Security) shall be made by the Paying Agent, upon receipt from the Company of immediately available funds by 11:00 A.M., New York City time (or such other time as may be agreed to between the Company and the Paying Agent), directly to the Holder of such Security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  The Trustee shall be entitled to rely on the last instruction delivered by the Holder pursuant to this Section 4.01 unless a new instruction is delivered 15 days prior to a payment date.  The Company will indemnify and hold each of the Trustee and any Paying Agent harmless against any loss, liability or expense (including attorneys’ fees) resulting from any act or omission to act on the part of the Company or any such Holder in connection with any such agreement or from making any payment in accordance with any such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pay interest on overdue Principal, and interest on overdue installments of interest, to the extent lawful, at the rate per annum specified in the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4.02.</w:t>
        <w:tab/>
      </w:r>
      <w:r>
        <w:rPr>
          <w:rFonts w:ascii="Times New Roman;Times;Serif" w:hAnsi="Times New Roman;Times;Serif"/>
          <w:b w:val="false"/>
          <w:i/>
          <w:caps w:val="false"/>
          <w:smallCaps w:val="false"/>
          <w:sz w:val="20"/>
        </w:rPr>
        <w:t>Maintenance of Office or Agency.  </w:t>
      </w:r>
      <w:r>
        <w:rPr>
          <w:rFonts w:ascii="Times New Roman;Times;Serif" w:hAnsi="Times New Roman;Times;Serif"/>
          <w:b w:val="false"/>
          <w:i w:val="false"/>
          <w:caps w:val="false"/>
          <w:smallCaps w:val="false"/>
          <w:sz w:val="20"/>
        </w:rPr>
        <w:t>The Company will maintain in the United States of America, an office or agency where Securities may be surrendered for registration of transfer or exchange or for presentation for payment and where notices and demands to or upon the Company in respect of the Securities and this Indenture may be served.  The Company hereby initially designates the      , located in            , as such office or agency of the Company.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address of the Trustee set forth in Section 10.02.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also from time to time designate one or more other offices or agencies where the Securities of any series may be presented or surrendered for any or all such purposes and may from time to time rescind such designations; provided that no such designation or rescission shall in any manner relieve the Company of its obligation to maintain an office or agency in the United States of America for such purposes.  The Company will give prompt written notice to the Trustee of any such designation or rescission and of any change in the location of any such other office or agency.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4.03.</w:t>
        <w:tab/>
      </w:r>
      <w:r>
        <w:rPr>
          <w:rFonts w:ascii="Times New Roman;Times;Serif" w:hAnsi="Times New Roman;Times;Serif"/>
          <w:b w:val="false"/>
          <w:i/>
          <w:caps w:val="false"/>
          <w:smallCaps w:val="false"/>
          <w:sz w:val="20"/>
        </w:rPr>
        <w:t>Securityholders’ Lists.  </w:t>
      </w:r>
      <w:r>
        <w:rPr>
          <w:rFonts w:ascii="Times New Roman;Times;Serif" w:hAnsi="Times New Roman;Times;Serif"/>
          <w:b w:val="false"/>
          <w:i w:val="false"/>
          <w:caps w:val="false"/>
          <w:smallCaps w:val="false"/>
          <w:sz w:val="20"/>
        </w:rPr>
        <w:t>The Company will furnish or cause to be furnished to the Trustee a list in such form as the Trustee may reasonably require of the names and addresses of the holders of the Securities pursuant to Section 312 of the Trust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 of 1939 (a) semi-annually not more than 15 days after each record date for the payment of semi-annual interest on the Securities, as hereinabove specified, as of such record date, and (b) at such other times as the Trustee may request in writing, within thirty days after receipt by the Company of any such request as of a date not more than 15 days prior to the time such information is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4.04.</w:t>
        <w:tab/>
      </w:r>
      <w:r>
        <w:rPr>
          <w:rFonts w:ascii="Times New Roman;Times;Serif" w:hAnsi="Times New Roman;Times;Serif"/>
          <w:b w:val="false"/>
          <w:i/>
          <w:caps w:val="false"/>
          <w:smallCaps w:val="false"/>
          <w:sz w:val="20"/>
        </w:rPr>
        <w:t>Certificate to Trustee.  </w:t>
      </w:r>
      <w:r>
        <w:rPr>
          <w:rFonts w:ascii="Times New Roman;Times;Serif" w:hAnsi="Times New Roman;Times;Serif"/>
          <w:b w:val="false"/>
          <w:i w:val="false"/>
          <w:caps w:val="false"/>
          <w:smallCaps w:val="false"/>
          <w:sz w:val="20"/>
        </w:rPr>
        <w:t>The Company will furnish to the Trustee annually, on or before a date not more than four months after the end of its fiscal year (which, on the date hereof, is a calendar year), a brief certificate (which need not contain the statements required by Section 10.04) from its principal executive, financial or accounting officer as to his or her knowledge of the compliance of the Company with all conditions and covenants under this Indenture (such compliance to be determined without regard to any period of grace or requirement of notice provided under this Indenture) which certificate shall comply with the requirements of the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4.05.</w:t>
        <w:tab/>
      </w:r>
      <w:r>
        <w:rPr>
          <w:rFonts w:ascii="Times New Roman;Times;Serif" w:hAnsi="Times New Roman;Times;Serif"/>
          <w:b w:val="false"/>
          <w:i/>
          <w:caps w:val="false"/>
          <w:smallCaps w:val="false"/>
          <w:sz w:val="20"/>
        </w:rPr>
        <w:t>Reports by the Company.  </w:t>
      </w:r>
      <w:r>
        <w:rPr>
          <w:rFonts w:ascii="Times New Roman;Times;Serif" w:hAnsi="Times New Roman;Times;Serif"/>
          <w:b w:val="false"/>
          <w:i w:val="false"/>
          <w:caps w:val="false"/>
          <w:smallCaps w:val="false"/>
          <w:sz w:val="20"/>
        </w:rPr>
        <w:t>The Company covenants to file with the Trustee, within 15 days after the Company files the same with the Commission, copies of the annual reports and of the information, documents, and other reports which the Company may be required to file with the Commission pursuant to Section 13 or Section 15(d)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4.06.</w:t>
        <w:tab/>
      </w:r>
      <w:r>
        <w:rPr>
          <w:rFonts w:ascii="Times New Roman;Times;Serif" w:hAnsi="Times New Roman;Times;Serif"/>
          <w:b w:val="false"/>
          <w:i/>
          <w:caps w:val="false"/>
          <w:smallCaps w:val="false"/>
          <w:sz w:val="20"/>
        </w:rPr>
        <w:t>Additional Amounts.  </w:t>
      </w:r>
      <w:r>
        <w:rPr>
          <w:rFonts w:ascii="Times New Roman;Times;Serif" w:hAnsi="Times New Roman;Times;Serif"/>
          <w:b w:val="false"/>
          <w:i w:val="false"/>
          <w:caps w:val="false"/>
          <w:smallCaps w:val="false"/>
          <w:sz w:val="20"/>
        </w:rPr>
        <w:t>If the Securities of a series provide for the payment of additional amounts, at least 10 days prior to the first interest payment date with respect to that series of Securities and at least 10 days prior to each date of payment of Principal of or interest on the Securities of that series if there has been a change with respect to the matters set forth in the below-mentioned Officers’ Certificate, the Company shall furnish to the Trustee and the principal paying agent, if other than the Trustee, an Officers’ Certificate instructing the Trustee and such paying agent whether such payment of Principal of or interest on the Securities of that series shall be made to Holders of the Securities of that series without withholding or deduction for or on account of any tax, assessment or other governmental charge described in the Securities of that series. If any such withholding or deduction shall be required, then such Officers’ Certificate shall specify by country the amount, if any, required to be withheld or deducted on such payments to such Holders and shall certify the fact that additional amounts will be payable and the amounts so payable to each Holder, and the Company shall pay to the Trustee or such paying agent the additional amounts required to be paid by this Section. The Company covenants to indemnify the Trustee and any paying agent for, and to hold them harmless against, any loss, liability or expense reasonably incurred without negligence or bad faith on their part arising out of or in connection with actions taken or omitted by any of them in reliance on any Officers’ Certificate furnished pursuant to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in this Indenture there is mentioned, in any context, the payment of the Principal of or interest or any other amounts on, or in respect of, any Security of any series, such mention shall be deemed to include mention of the payment of additional amounts provided by the terms of such series established hereby or pursuant hereto to the extent that, in such context, additional amounts are, were or would be payable in respect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thereof pursuant to such terms, and express mention of the payment of additional amounts (if applicable) in any provision hereof shall not be construed as excluding the payment of additional amounts in those provisions hereof where such express mention is not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5</w:t>
      </w:r>
      <w:r>
        <w:rPr>
          <w:rFonts w:ascii="Times New Roman;Times;Serif" w:hAnsi="Times New Roman;Times;Serif"/>
          <w:b w:val="false"/>
          <w:i w:val="false"/>
          <w:smallCaps/>
          <w:sz w:val="20"/>
        </w:rPr>
        <w:br/>
        <w:t>SUCCESSOR CORPORATION</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5.01.</w:t>
        <w:tab/>
      </w:r>
      <w:r>
        <w:rPr>
          <w:rFonts w:ascii="Times New Roman;Times;Serif" w:hAnsi="Times New Roman;Times;Serif"/>
          <w:b w:val="false"/>
          <w:i/>
          <w:caps w:val="false"/>
          <w:smallCaps w:val="false"/>
          <w:sz w:val="20"/>
        </w:rPr>
        <w:t>When Company May Merge, Etc.  </w:t>
      </w:r>
      <w:r>
        <w:rPr>
          <w:rFonts w:ascii="Times New Roman;Times;Serif" w:hAnsi="Times New Roman;Times;Serif"/>
          <w:b w:val="false"/>
          <w:i w:val="false"/>
          <w:caps w:val="false"/>
          <w:smallCaps w:val="false"/>
          <w:sz w:val="20"/>
        </w:rPr>
        <w:t>Unless otherwise provided pursuant to ‎Section 2.03 in connection with the establishment of a series, the Company shall not consolidate or combine with, merge with or into, directly or indirectly, or sell, assign, convey, transfer, lease or otherwise dispose of all or substantially all of its property and assets to any Person or Persons in a single transaction or through a series of transactions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be the continuing Person or, if the Company is not the continuing Person, the resulting, surviving or transferee Person (the “</w:t>
      </w:r>
      <w:r>
        <w:rPr>
          <w:rFonts w:ascii="Times New Roman;Times;Serif" w:hAnsi="Times New Roman;Times;Serif"/>
          <w:b/>
          <w:i w:val="false"/>
          <w:caps w:val="false"/>
          <w:smallCaps w:val="false"/>
          <w:sz w:val="20"/>
        </w:rPr>
        <w:t>Surviving Entity</w:t>
      </w:r>
      <w:r>
        <w:rPr>
          <w:rFonts w:ascii="Times New Roman;Times;Serif" w:hAnsi="Times New Roman;Times;Serif"/>
          <w:b w:val="false"/>
          <w:i w:val="false"/>
          <w:caps w:val="false"/>
          <w:smallCaps w:val="false"/>
          <w:sz w:val="20"/>
        </w:rPr>
        <w:t>”) is a company organized and existing under the laws of any member state of the European Union or the United States of America or any State or territory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Surviving Entity shall expressly assume all of the Company’s obligations under the Securities and this Indenture, and shall, if required by law to effectuate the assumption, execute supplemental indentures which shall be delivered to the Trustee and shall be in form and substance reasonably satisfactory to the Trustee;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immediately after giving effect to such transaction or series of transactions on a pro forma basis, no Default has occurred and is continuing;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or the Surviving Entity shall have delivered to the Trustee an Officers’ Certificate and Opinion of Counsel stating that (x) the transaction or series of transactions and such supplemental indenture, if any, complies with this ‎Section 5.01, (y) such supplemental indenture (if any) constitutes the legal, valid and binding obligation of the Company and such Surviving Entity enforceable against such Surviving Entity in accordance with its terms, subject to customary exceptions and (z) all conditions precedent in this Indenture relating to the transaction or series of transactions have been satisfied.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5.02.</w:t>
        <w:tab/>
      </w:r>
      <w:r>
        <w:rPr>
          <w:rFonts w:ascii="Times New Roman;Times;Serif" w:hAnsi="Times New Roman;Times;Serif"/>
          <w:b w:val="false"/>
          <w:i/>
          <w:caps w:val="false"/>
          <w:smallCaps w:val="false"/>
          <w:sz w:val="20"/>
        </w:rPr>
        <w:t>Successor Substituted.  </w:t>
      </w:r>
      <w:r>
        <w:rPr>
          <w:rFonts w:ascii="Times New Roman;Times;Serif" w:hAnsi="Times New Roman;Times;Serif"/>
          <w:b w:val="false"/>
          <w:i w:val="false"/>
          <w:caps w:val="false"/>
          <w:smallCaps w:val="false"/>
          <w:sz w:val="20"/>
        </w:rPr>
        <w:t>Upon any consolidation, combination or merger, or any sale, assignment, conveyance, transfer, lease or other disposition of all or substantially all of the property and assets of the Company in accordance with ‎Section 5.01 of this Indenture, the Surviving Entity shall succeed to, and be substituted for, and may exercise every right and power of, the Company under this Indenture with the same effect as if such Surviving Entity had been named as the Company herein and thereafter the predecessor Person, except in the case of (x) a lease or (y) any sale, assignment, conveyance, transfer, lease or other disposition to one or more Subsidiaries of the Company, shall be discharged from all obligations and covenants under this Indenture and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6</w:t>
      </w:r>
      <w:r>
        <w:rPr>
          <w:rFonts w:ascii="Times New Roman;Times;Serif" w:hAnsi="Times New Roman;Times;Serif"/>
          <w:b w:val="false"/>
          <w:i w:val="false"/>
          <w:smallCaps/>
          <w:sz w:val="20"/>
        </w:rPr>
        <w:br/>
        <w:t>DEFAULT AND REMEDIES</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w:t>
        <w:tab/>
      </w:r>
      <w:r>
        <w:rPr>
          <w:rFonts w:ascii="Times New Roman;Times;Serif" w:hAnsi="Times New Roman;Times;Serif"/>
          <w:b w:val="false"/>
          <w:i/>
          <w:caps w:val="false"/>
          <w:smallCaps w:val="false"/>
          <w:sz w:val="20"/>
        </w:rPr>
        <w:t>Events of Default.  </w:t>
      </w:r>
      <w:r>
        <w:rPr>
          <w:rFonts w:ascii="Times New Roman;Times;Serif" w:hAnsi="Times New Roman;Times;Serif"/>
          <w:b w:val="false"/>
          <w:i w:val="false"/>
          <w:caps w:val="false"/>
          <w:smallCaps w:val="false"/>
          <w:sz w:val="20"/>
        </w:rPr>
        <w:t>An “</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shall occur with respect to the Securities of any series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defaults in the payment of the Principal of any Security of such series when the same becomes due and payable at maturity, upon acceleration, redemption or mandatory repurchase, including as a sinking fund installment, or otherwise;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defaults in the payment of interest on any Security of such series when the same becomes due and payable, and such default continues for a period of 30 days;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defaults in the performance of or breaches any other covenant or agreement of the Company in this Indenture with respect to any Security of such series or in the Securities of such series (other than a covenant or agreement in respect of which noncompliance by the Company would otherwise be an Event of Default) and such default or breach continues for a period of 90 consecutive days or more after written notice to the Company by the Trustee or to the Company and the Trustee by the Holders of 25% or more in aggregate principal amount of the Securities of all series affected thereby specifying such default or breach and requiring it to be remedied and stating that such notice is a “Notice of Default” 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court having jurisdiction in the premises shall enter a decree or order for relief in respect of the Company in an involuntary case under any applicable bankruptcy, insolvency or other similar law now or hereafter in effect, or appointing a receiver, liquidator, assignee, custodian, trustee, sequestrator (or similar official) of the Company or for any substantial part of its property or ordering the winding up or liquidation of its affairs, and such decree or order shall remain unstayed and in effect for a period of 60 consecutive days;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(i) commences a voluntary case under any applicable bankruptcy, insolvency or other similar law now or hereafter in effect, or consents to the entry of an order for relief in an involuntary case under any such law, (ii) consents to the appointment of or taking possession by a receiver, liquidator, assignee, custodian, trustee, sequestrator or similar official of the Company or for all or substantially all of the property and assets of the Company or (iii) effects any general assignment for the benefit of creditors; or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other Event of Default established pursuant to Section 2.03 with respect to the Securities of such series occurs.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w:t>
        <w:tab/>
      </w:r>
      <w:r>
        <w:rPr>
          <w:rFonts w:ascii="Times New Roman;Times;Serif" w:hAnsi="Times New Roman;Times;Serif"/>
          <w:b w:val="false"/>
          <w:i/>
          <w:caps w:val="false"/>
          <w:smallCaps w:val="false"/>
          <w:sz w:val="20"/>
        </w:rPr>
        <w:t>Acceleration.  </w:t>
      </w:r>
      <w:r>
        <w:rPr>
          <w:rFonts w:ascii="Times New Roman;Times;Serif" w:hAnsi="Times New Roman;Times;Serif"/>
          <w:b w:val="false"/>
          <w:i w:val="false"/>
          <w:caps w:val="false"/>
          <w:smallCaps w:val="false"/>
          <w:sz w:val="20"/>
        </w:rPr>
        <w:t>i) If an Event of Default other than as described in clauses (d) or (e) of Section 6.01 with respect to the Securities of any series then outstanding occurs and is continuing, then, and in each and every such case, except for any series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the principal of which shall have already become due and payable, either the Trustee or the Holders of not less than 25% in aggregate principal amount of the Securities of all such series then outstanding hereunder in respect of which an Event of Default has occurred (all such series voting together as a single class) by notice in writing to the Company (and to the Trustee if given by Securityholders), may declare the entire principal (or, if the Securities of any such series are Original Issue Discount Securities, such portion of the principal amount as may be specified in the terms of such series established pursuant to Section 2.03) of all Securities of the affected series, and the interest accrued thereon, if any, to be due and payable immediately, and upon any such declaration the same shall become immediately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an Event of Default described in clause (d) or (e) of Section 6.01 occurs and is continuing, then the principal amount (or, if any Securities are Original Issue Discount Securities, such portion of the principal as may be specified in the terms thereof established pursuant to Section 2.03) of all the Securities then outstanding and interest accrued thereon, if any, shall be and become immediately due and payable, without any notice or other action by any Holder or the Trustee, to the full extent permitted by applicable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provisions, however, are subject to the condition that if, at any time after the principal (or, if the Securities are Original Issue Discount Securities, such portion of the principal as may be specified in the terms thereof established pursuant to Section 2.03) of the Securities of any series (or of all the Securities, as the case may be) shall have been so declared or become due and payable, and before any judgment or decree for the payment of the moneys due shall have been obtained or entered as hereinafter provided, the Company shall pay or shall deposit with the Trustee a sum sufficient to pay all matured installments of interest upon all the Securities of each such series (or of all the Securities, as the case may be) and the principal of any and all Securities of each such series (or of all the Securities, as the case may be) which shall have become due otherwise than by acceleration (with interest upon such principal and, to the extent that payment of such interest is enforceable under applicable law, on overdue installments of interest, at the same rate as the rate of interest or Yield to Maturity (in the case of Original Issue Discount Securities) specified in the Securities of each such series to the date of such payment or deposit) and such amount as shall be sufficient to cover all amounts owing the Trustee under Section 7.07, and if any and all Events of Default under the Indenture, other than the non-payment of the principal of Securities which shall have become due by acceleration, shall have been cured, waived or otherwise remedied as provided herein, then and in every such case the Holders of a majority in aggregate principal amount of all the then outstanding Securities of all such series that have been accelerated (voting as a single class), by written notice to the Company and to the Trustee, may waive all defaults with respect to all such series (or with respect to all the Securities, as the case may be) and rescind and annul such declaration and its consequences, but no such waiver or rescission and annulment shall extend to or shall affect any subsequent default or shall impair any right consequent thereon.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purposes under this Indenture, if a portion of the principal of any Original Issue Discount Securities shall have been accelerated and declared or become due and payable pursuant to the provisions hereof, then, from and after such declaration, unless such declaration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6.03.</w:t>
        <w:tab/>
      </w:r>
      <w:r>
        <w:rPr>
          <w:rFonts w:ascii="Times New Roman;Times;Serif" w:hAnsi="Times New Roman;Times;Serif"/>
          <w:b w:val="false"/>
          <w:i/>
          <w:caps w:val="false"/>
          <w:smallCaps w:val="false"/>
          <w:sz w:val="20"/>
        </w:rPr>
        <w:t>Other Remedies.  </w:t>
      </w:r>
      <w:r>
        <w:rPr>
          <w:rFonts w:ascii="Times New Roman;Times;Serif" w:hAnsi="Times New Roman;Times;Serif"/>
          <w:b w:val="false"/>
          <w:i w:val="false"/>
          <w:caps w:val="false"/>
          <w:smallCaps w:val="false"/>
          <w:sz w:val="20"/>
        </w:rPr>
        <w:t>If a payment default or an Event of Default with respect to the Securities of any series occurs and is continuing, the Trustee may pursue, in its own name or as trustee of an express trust, any available remedy by proceeding at law or in equity to collect the payment of Principal of and interest on the Securities of such series or to enforce the performance of any provision of the Securities of such series or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maintain a proceeding even if it does not possess any of the Securities or does not produce any of them in the proceeding.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6.04.</w:t>
        <w:tab/>
      </w:r>
      <w:r>
        <w:rPr>
          <w:rFonts w:ascii="Times New Roman;Times;Serif" w:hAnsi="Times New Roman;Times;Serif"/>
          <w:b w:val="false"/>
          <w:i/>
          <w:caps w:val="false"/>
          <w:smallCaps w:val="false"/>
          <w:sz w:val="20"/>
        </w:rPr>
        <w:t>Waiver of Past Defaults.  </w:t>
      </w:r>
      <w:r>
        <w:rPr>
          <w:rFonts w:ascii="Times New Roman;Times;Serif" w:hAnsi="Times New Roman;Times;Serif"/>
          <w:b w:val="false"/>
          <w:i w:val="false"/>
          <w:caps w:val="false"/>
          <w:smallCaps w:val="false"/>
          <w:sz w:val="20"/>
        </w:rPr>
        <w:t>Subject to Sections 6.02, 6.07 and 9.02, the Holders of at least a majority in principal amount (or, if the Securities are Original Issue Discount Securities, such portion of the principal as is then accelerable under Section 6.02) of the outstanding Securities of all series affected (voting as a single class), by notice to the Trustee, may waive an existing Default or Event of Default with respect to the Securities of such series and its consequences, except a Default in the payment of Principal of or interest on any Security as specified in clauses (a) or (b) of Section 6.01 or in respect of a covenant or provision of this Indenture which cannot be modified or amended without the consent of the Holder of each outstanding Security affected.  Upon any such waiver, such Default shall cease to exist, and any Event of Default with respect to the Securities of such series arising therefrom shall be deemed to have been cured, for every purpose of this Indenture; but no such waiver shall extend to any subsequent or other Default or Event of Default or impair any right consequent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6.05.</w:t>
        <w:tab/>
      </w:r>
      <w:r>
        <w:rPr>
          <w:rFonts w:ascii="Times New Roman;Times;Serif" w:hAnsi="Times New Roman;Times;Serif"/>
          <w:b w:val="false"/>
          <w:i/>
          <w:caps w:val="false"/>
          <w:smallCaps w:val="false"/>
          <w:sz w:val="20"/>
        </w:rPr>
        <w:t>Control by Majority.  </w:t>
      </w:r>
      <w:r>
        <w:rPr>
          <w:rFonts w:ascii="Times New Roman;Times;Serif" w:hAnsi="Times New Roman;Times;Serif"/>
          <w:b w:val="false"/>
          <w:i w:val="false"/>
          <w:caps w:val="false"/>
          <w:smallCaps w:val="false"/>
          <w:sz w:val="20"/>
        </w:rPr>
        <w:t>Subject to Sections 7.01 and 7.02(e), the Holders of at least a majority in aggregate principal amount (or, if any Securities are Original Issue Discount Securities, such portion of the principal as is then accelerable under Section 6.02) of the outstanding Securities of all series affected (voting as a single class) may direct the time, method and place of conducting any proceeding for any remedy available to the Trustee or exercising any trust or power conferred on the Trustee with respect to the Securities of such series by this Indenture; provided, that the Trustee may refuse to follow any direction that conflicts with law or this Indenture, that may involve the Trustee in personal liability or that the Trustee determines in good faith may be unduly prejudicial to the rights of Holders not joining in the giving of such direction; and provided further, that the Trustee may take any other action it deems proper that is not inconsistent with any directions received from Holders of Securities pursuant to this Section 6.05.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6.06.</w:t>
        <w:tab/>
      </w:r>
      <w:r>
        <w:rPr>
          <w:rFonts w:ascii="Times New Roman;Times;Serif" w:hAnsi="Times New Roman;Times;Serif"/>
          <w:b w:val="false"/>
          <w:i/>
          <w:caps w:val="false"/>
          <w:smallCaps w:val="false"/>
          <w:sz w:val="20"/>
        </w:rPr>
        <w:t>Limitation on Suits.  </w:t>
      </w:r>
      <w:r>
        <w:rPr>
          <w:rFonts w:ascii="Times New Roman;Times;Serif" w:hAnsi="Times New Roman;Times;Serif"/>
          <w:b w:val="false"/>
          <w:i w:val="false"/>
          <w:caps w:val="false"/>
          <w:smallCaps w:val="false"/>
          <w:sz w:val="20"/>
        </w:rPr>
        <w:t>No Holder of any Security of any series may institute any proceeding, judicial or otherwise, with respect to this Indenture or the Securities of such series, or for the appointment of a receiver or trustee, or for any other remedy hereunder,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Holder has previously given to the Trustee written notice of a continuing Event of Default with respect to the Securities of such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Holders of at least 25% in aggregate principal amount of outstanding Securities of all such series affected shall have made written request to the Trustee to institute proceedings in respect of such Event of Default in its own name as Trustee 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such Holder or Holders have offered to the Trustee indemnity or security reasonably satisfactory to the Trustee against any costs, liabilities or expenses to be incurred in compliance with such request;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for 60 days after its receipt of such notice, request and offer of indemnity has failed to institute any such proceeding;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during such 60-day period, the Holders of a majority in aggregate principal amount of the outstanding Securities of all such affected series have not given the Trustee a direction that is inconsistent with such written request.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may not use this Indenture to prejudice the rights of another Holder or to obtain a preference or priority over such other Holder.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6.07.</w:t>
        <w:tab/>
      </w:r>
      <w:r>
        <w:rPr>
          <w:rFonts w:ascii="Times New Roman;Times;Serif" w:hAnsi="Times New Roman;Times;Serif"/>
          <w:b w:val="false"/>
          <w:i/>
          <w:caps w:val="false"/>
          <w:smallCaps w:val="false"/>
          <w:sz w:val="20"/>
        </w:rPr>
        <w:t>Rights of Holders to Receive Payment.  </w:t>
      </w:r>
      <w:r>
        <w:rPr>
          <w:rFonts w:ascii="Times New Roman;Times;Serif" w:hAnsi="Times New Roman;Times;Serif"/>
          <w:b w:val="false"/>
          <w:i w:val="false"/>
          <w:caps w:val="false"/>
          <w:smallCaps w:val="false"/>
          <w:sz w:val="20"/>
        </w:rPr>
        <w:t>Notwithstanding any other provision of this Indenture, the right of any Holder of a Security to receive payment of Principal of or interest, if any, on such Holder’s Security on or after the respective due dates expressed on such Security, or to bring suit for the enforcement of any such payment on or after such respective dates, shall not be impaired or affected without the consent of such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6.08.</w:t>
        <w:tab/>
      </w:r>
      <w:r>
        <w:rPr>
          <w:rFonts w:ascii="Times New Roman;Times;Serif" w:hAnsi="Times New Roman;Times;Serif"/>
          <w:b w:val="false"/>
          <w:i/>
          <w:caps w:val="false"/>
          <w:smallCaps w:val="false"/>
          <w:sz w:val="20"/>
        </w:rPr>
        <w:t>Collection Suit by Trustee.  </w:t>
      </w:r>
      <w:r>
        <w:rPr>
          <w:rFonts w:ascii="Times New Roman;Times;Serif" w:hAnsi="Times New Roman;Times;Serif"/>
          <w:b w:val="false"/>
          <w:i w:val="false"/>
          <w:caps w:val="false"/>
          <w:smallCaps w:val="false"/>
          <w:sz w:val="20"/>
        </w:rPr>
        <w:t>If an Event of Default with respect to the Securities of any series in payment of Principal or interest specified in clause (a) or (b) of Section 6.01  occurs and is continuing, the Trustee may recover judgment in its own name and as trustee of an express trust against the Company for the whole amount (or such portion thereof as specified in the terms established pursuant to Section 2.03 of Original Issue Discount Securities) of Principal of, and accrued interest remaining unpaid on, together with interest on overdue Principal of, and, to the extent that payment of such interest is lawful, interest on overdue installments of interest on, the Securities of such series, in each case at the rate or Yield to Maturity (in the case of Original Issue Discount Securities) specified in such Securities, and such further amount as shall be sufficient to cover all amounts owing the Trustee under Section 7.07.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6.09.</w:t>
        <w:tab/>
      </w:r>
      <w:r>
        <w:rPr>
          <w:rFonts w:ascii="Times New Roman;Times;Serif" w:hAnsi="Times New Roman;Times;Serif"/>
          <w:b w:val="false"/>
          <w:i/>
          <w:caps w:val="false"/>
          <w:smallCaps w:val="false"/>
          <w:sz w:val="20"/>
        </w:rPr>
        <w:t>Trustee May File Proofs of Claim.  </w:t>
      </w:r>
      <w:r>
        <w:rPr>
          <w:rFonts w:ascii="Times New Roman;Times;Serif" w:hAnsi="Times New Roman;Times;Serif"/>
          <w:b w:val="false"/>
          <w:i w:val="false"/>
          <w:caps w:val="false"/>
          <w:smallCaps w:val="false"/>
          <w:sz w:val="20"/>
        </w:rPr>
        <w:t>The Trustee may file such proofs of claim and other papers or documents as may be necessary or advisable in order to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claims of the Trustee (including any claim for amounts due the Trustee under Section 7.07) and the Holders allowed in any judicial proceedings relative to the Company (or any other obligor on the Securities), its creditors or its property and shall be entitled and empowered to collect and receive any moneys, securities or other property payable or deliverable upon conversion or exchange of the Securities or upon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to it under Section 7.07.  Nothing herein contained shall be deemed to empower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6.10.</w:t>
        <w:tab/>
      </w:r>
      <w:r>
        <w:rPr>
          <w:rFonts w:ascii="Times New Roman;Times;Serif" w:hAnsi="Times New Roman;Times;Serif"/>
          <w:b w:val="false"/>
          <w:i/>
          <w:caps w:val="false"/>
          <w:smallCaps w:val="false"/>
          <w:sz w:val="20"/>
        </w:rPr>
        <w:t>Application of Proceeds.  </w:t>
      </w:r>
      <w:r>
        <w:rPr>
          <w:rFonts w:ascii="Times New Roman;Times;Serif" w:hAnsi="Times New Roman;Times;Serif"/>
          <w:b w:val="false"/>
          <w:i w:val="false"/>
          <w:caps w:val="false"/>
          <w:smallCaps w:val="false"/>
          <w:sz w:val="20"/>
        </w:rPr>
        <w:t>Any moneys collected by the Trustee pursuant to this Article in respect of the Securities of any series shall be applied in the following order at the date or dates fixed by the Trustee and, in case of the distribution of such moneys on account of Principal or interest, upon presentation of the several Securities in respect of which moneys have been collected and noting thereon the payment, or issuing Securities of such series and tenor in reduced principal amounts in exchange for the presented Securities of such series and tenor if only partially paid, or upon surrender thereof if fully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To the payment of all amounts due the Trustee under Section 7.07 applicable to the Securities of such series in respect of which moneys have been collected;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In case the principal of the Securities of such series in respect of which moneys have been collected shall not have become and be then due and payable, to the payment of interest on the Securities of such series in default in the order of the maturity of the installments of such interest, with interest (to the extent that such interest has been collected by the Trustee) upon the overdue installments of interest at the same rate as the rate of interest or Yield to Maturity (in the case of Original Issue Discount Securities) specified in such Securities, such payments to be made ratably to the persons entitled thereto, without discrimination or preference;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In case the principal of the Securities of such series in respect of which moneys have been collected shall have become and shall be then due and payable, to the payment of the whole amount then owing and unpaid upon all the Securities of such series for Principal and interest, with interest upon the overdue Principal, and (to the extent that such interest has been collected by the Trustee) upon overdue installments of interest at the same rate as the rate of interest or Yield to Maturity (in the case of Original Issue Discount Securities) specified in the Securities of such series; and in case such moneys shall be insufficient to pay in full the whole amount so due and unpaid upon the Securities of such series,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to the payment of such Principal and interest or Yield to Maturity, without preference or priority of Principal over interest or Yield to Maturity, or of interest or Yield to Maturity over Principal, or of any installment of interest over any other installment of interest, or of any Security of such series over any other Security of such series, ratably to the aggregate of such Principal and accrued and unpaid interest or Yield to Maturity; and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FOURTH:  To the payment of the remainder, if any, to the Company or any other person lawfully entitled thereto.</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6.11.</w:t>
        <w:tab/>
      </w:r>
      <w:r>
        <w:rPr>
          <w:rFonts w:ascii="Times New Roman;Times;Serif" w:hAnsi="Times New Roman;Times;Serif"/>
          <w:b w:val="false"/>
          <w:i/>
          <w:caps w:val="false"/>
          <w:smallCaps w:val="false"/>
          <w:sz w:val="20"/>
        </w:rPr>
        <w:t>Restoration of Rights and Remedies.  </w:t>
      </w:r>
      <w:r>
        <w:rPr>
          <w:rFonts w:ascii="Times New Roman;Times;Serif" w:hAnsi="Times New Roman;Times;Serif"/>
          <w:b w:val="false"/>
          <w:i w:val="false"/>
          <w:caps w:val="false"/>
          <w:smallCaps w:val="false"/>
          <w:sz w:val="20"/>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to their former positions hereunder and thereafter all rights and remedies of the Company, Trustee and the Holders shall continue as though no such proceeding had been instituted.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6.12.</w:t>
        <w:tab/>
      </w:r>
      <w:r>
        <w:rPr>
          <w:rFonts w:ascii="Times New Roman;Times;Serif" w:hAnsi="Times New Roman;Times;Serif"/>
          <w:b w:val="false"/>
          <w:i/>
          <w:caps w:val="false"/>
          <w:smallCaps w:val="false"/>
          <w:sz w:val="20"/>
        </w:rPr>
        <w:t>Undertaking for Costs.</w:t>
      </w:r>
      <w:r>
        <w:rPr>
          <w:rFonts w:ascii="Times New Roman;Times;Serif" w:hAnsi="Times New Roman;Times;Serif"/>
          <w:b w:val="false"/>
          <w:i w:val="false"/>
          <w:caps w:val="false"/>
          <w:smallCaps w:val="false"/>
          <w:sz w:val="20"/>
        </w:rPr>
        <w:t>  In any suit for the enforcement of any right or remedy under this Indenture or in any suit against the Trustee for any action taken or omitted by it as Trustee, in either case in respect to the Securities of any series, a court may require any party litigant in such suit (other than the Trustee) to file an undertaking to pay the costs of the suit, and the court may assess reasonable costs, including reasonable attorneys’ fees, against any party litigant (other than the Trustee) in the suit having due regard to the merits and good faith of the claims or defenses made by the party litigant.  This Section 6.12 does not apply to a suit by a Holder pursuant to Section 6.07, a suit instituted by the Trustee or a suit by Holders of more than 10% in principal amount of the outstanding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6.13.</w:t>
        <w:tab/>
      </w:r>
      <w:r>
        <w:rPr>
          <w:rFonts w:ascii="Times New Roman;Times;Serif" w:hAnsi="Times New Roman;Times;Serif"/>
          <w:b w:val="false"/>
          <w:i/>
          <w:caps w:val="false"/>
          <w:smallCaps w:val="false"/>
          <w:sz w:val="20"/>
        </w:rPr>
        <w:t>Rights and Remedies Cumulative.  </w:t>
      </w:r>
      <w:r>
        <w:rPr>
          <w:rFonts w:ascii="Times New Roman;Times;Serif" w:hAnsi="Times New Roman;Times;Serif"/>
          <w:b w:val="false"/>
          <w:i w:val="false"/>
          <w:caps w:val="false"/>
          <w:smallCaps w:val="false"/>
          <w:sz w:val="20"/>
        </w:rPr>
        <w:t>Except as otherwise provided with respect to the replacement or payment of mutilated, destroyed, lost or wrongfully taken Securities in Section 2.08,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6.14.</w:t>
        <w:tab/>
      </w:r>
      <w:r>
        <w:rPr>
          <w:rFonts w:ascii="Times New Roman;Times;Serif" w:hAnsi="Times New Roman;Times;Serif"/>
          <w:b w:val="false"/>
          <w:i/>
          <w:caps w:val="false"/>
          <w:smallCaps w:val="false"/>
          <w:sz w:val="20"/>
        </w:rPr>
        <w:t>Delay or Omission not Waiver.  </w:t>
      </w:r>
      <w:r>
        <w:rPr>
          <w:rFonts w:ascii="Times New Roman;Times;Serif" w:hAnsi="Times New Roman;Times;Serif"/>
          <w:b w:val="false"/>
          <w:i w:val="false"/>
          <w:caps w:val="false"/>
          <w:smallCaps w:val="false"/>
          <w:sz w:val="20"/>
        </w:rPr>
        <w:t>No delay or omission of the Trustee or of any Holder to exercise any right or remedy accruing upon any Event of Default shall impair any such right or remedy or constitute a waiver of any such Event of Default or an acquiescence therein.  Every right and remedy given by this Article 6 or by law to the Trustee or to the Holders may be exercised from time to time, and as often as may be deemed expedient, by the Trustee or by the Holders,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7</w:t>
      </w:r>
      <w:r>
        <w:rPr>
          <w:rFonts w:ascii="Times New Roman;Times;Serif" w:hAnsi="Times New Roman;Times;Serif"/>
          <w:b w:val="false"/>
          <w:i w:val="false"/>
          <w:smallCaps/>
          <w:sz w:val="20"/>
        </w:rPr>
        <w:br/>
        <w:t>TRUSTEE</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7.01.</w:t>
        <w:tab/>
      </w:r>
      <w:r>
        <w:rPr>
          <w:rFonts w:ascii="Times New Roman;Times;Serif" w:hAnsi="Times New Roman;Times;Serif"/>
          <w:b w:val="false"/>
          <w:i/>
          <w:caps w:val="false"/>
          <w:smallCaps w:val="false"/>
          <w:sz w:val="20"/>
        </w:rPr>
        <w:t>General.  </w:t>
      </w:r>
      <w:r>
        <w:rPr>
          <w:rFonts w:ascii="Times New Roman;Times;Serif" w:hAnsi="Times New Roman;Times;Serif"/>
          <w:b w:val="false"/>
          <w:i w:val="false"/>
          <w:caps w:val="false"/>
          <w:smallCaps w:val="false"/>
          <w:sz w:val="20"/>
        </w:rPr>
        <w:t>The duties and responsibilities of the Trustee shall be as provided by the Trust Indenture Act and as set forth herein.  Notwithstanding the foregoing, no provision of this Indenture shall require the Trustee to expend or risk its own funds or otherwise incur any financial liability in the performance of any of its duties hereunder, or in the exercise of any of its rights or powers, unless it receives indemnity satisfactory to it against any loss, liability or expense.  Whether or not therein expressly so provided, every provision of this Indenture relating to the conduct or affecting the liability of or affording protection to the Trustee shall be subject to the provisions of this Article 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7.02.</w:t>
        <w:tab/>
      </w:r>
      <w:r>
        <w:rPr>
          <w:rFonts w:ascii="Times New Roman;Times;Serif" w:hAnsi="Times New Roman;Times;Serif"/>
          <w:b w:val="false"/>
          <w:i/>
          <w:caps w:val="false"/>
          <w:smallCaps w:val="false"/>
          <w:sz w:val="20"/>
        </w:rPr>
        <w:t>Certain Rights of Trustee.  </w:t>
      </w:r>
      <w:r>
        <w:rPr>
          <w:rFonts w:ascii="Times New Roman;Times;Serif" w:hAnsi="Times New Roman;Times;Serif"/>
          <w:b w:val="false"/>
          <w:i w:val="false"/>
          <w:caps w:val="false"/>
          <w:smallCaps w:val="false"/>
          <w:sz w:val="20"/>
        </w:rPr>
        <w:t>Subject to Trust Indenture Act Sections 315(a) through (d):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may rely and shall be protected in acting or refraining from acting upon any resolution, certificate, Officers’ Certificate, Opinion of Counsel (or both), statement, instrument, opinion, report, notice, request, direction, consent, order, bond, debenture, note, other evidence of indebtedness or other paper or document believed by it to be genuine and to have been signed or presented by the proper person or persons.  The Trustee need not investigate any fact or matter stated in the document, but the Trustee, in its discretion, may make such further inquiry or investigation into such facts or matters as it may see fit;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before the Trustee acts or refrains from acting, it may require an Officers’ Certificate and/or an Opinion of Counsel, which shall conform to Section 10.04 and shall cover such other matters as the Trustee may reasonably request.  The Trustee shall not be liable for any action it takes or omits to take in good faith in reliance on such certificate or opinion.  Subject to Sections 7.01 and 7.02, whenever in the administration of the trusts of this Indenture the Trustee shall deem it necessary or desirable that a matter be proved or established prior to taking or suffering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by it under the provisions of this Indenture upon the faith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may act through its attorneys and agents not regularly in its employ and shall not be responsible for the misconduct or negligence of any agent or attorney appointed with due care;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request, direction, order or demand of the Company mentioned herein shall be sufficiently evidenced by an Officers’ Certificate (unless other evidence in respect thereof be herein specifically prescribed); and any Board Resolution may be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evidenced to the Trustee by a copy thereof certified by the Secretary or an Assistant Secretary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Trustee shall be under no obligation to exercise any of the rights or powers vested in it by this Indenture at the request, order or direction of any of the Holders, unless such Holders shall have offered to the Trustee reasonable security or indemnity against the costs, expenses and liabilities that might be incurred by it in compliance with such request or direction;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Trustee shall not be liable for any action it takes or omits to take in good faith that it believes to be authorized or within its rights or powers or for any action it takes or omits to take in accordance with the direction of the Holders in accordance with Section 6.05 relating to the time, method and place of conducting any proceeding for any remedy available to the Trustee, or exercising any trust or power conferred upon the Trustee, under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Trustee may consult with counsel and the written advice of such counsel or any Opinion of Counsel shall be full and complete authorization and protection in respect of any action taken, suffered or omitted by it hereunder in good faith and in reliance thereon;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prior to the occurrence of an Event of Default hereunder and after the curing or waiving of all Events of Default, the Trustee shall not be bound to make any investigation into the facts or matters stated in any resolution, certificate, Officers’ Certificate, Opinion of Counsel, Board Resolution, statement, instrument, opinion, report, notice, request, consent, order, approval, appraisal, bond, debenture, note, coupon, security, or other paper or document unless requested in writing so to do by the Holders of not less than a majority in aggregate principal amount of the Securities of all series affected then outstanding; provided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expenses or liabilities as a condition to proceeding.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7.03.</w:t>
        <w:tab/>
      </w:r>
      <w:r>
        <w:rPr>
          <w:rFonts w:ascii="Times New Roman;Times;Serif" w:hAnsi="Times New Roman;Times;Serif"/>
          <w:b w:val="false"/>
          <w:i/>
          <w:caps w:val="false"/>
          <w:smallCaps w:val="false"/>
          <w:sz w:val="20"/>
        </w:rPr>
        <w:t>Individual Rights of Trustee.  </w:t>
      </w:r>
      <w:r>
        <w:rPr>
          <w:rFonts w:ascii="Times New Roman;Times;Serif" w:hAnsi="Times New Roman;Times;Serif"/>
          <w:b w:val="false"/>
          <w:i w:val="false"/>
          <w:caps w:val="false"/>
          <w:smallCaps w:val="false"/>
          <w:sz w:val="20"/>
        </w:rPr>
        <w:t>The Trustee, in its individual or any other capacity, may become the owner or pledgee of Securities and may otherwise deal with the Company or its Affiliates with the same rights it would have if it were not the Trustee.  Any Agent may do the same with like rights.  However, the Trustee is subject to Trust Indenture Act Sections 310(b) and 311.  For purposes of Trust Indenture Act Section 311(b)(4) and (6), the following terms shall mean: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cash transaction</w:t>
      </w:r>
      <w:r>
        <w:rPr>
          <w:rFonts w:ascii="Times New Roman;Times;Serif" w:hAnsi="Times New Roman;Times;Serif"/>
          <w:b w:val="false"/>
          <w:i w:val="false"/>
          <w:caps w:val="false"/>
          <w:smallCaps w:val="false"/>
          <w:sz w:val="20"/>
        </w:rPr>
        <w:t>” means any transaction in which full payment for goods or securities sold is made within seven days after delivery of the goods or securities in currency or in checks or other orders drawn upon banks or bankers and payable upon demand; and</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self-liquidating paper</w:t>
      </w:r>
      <w:r>
        <w:rPr>
          <w:rFonts w:ascii="Times New Roman;Times;Serif" w:hAnsi="Times New Roman;Times;Serif"/>
          <w:b w:val="false"/>
          <w:i w:val="false"/>
          <w:caps w:val="false"/>
          <w:smallCaps w:val="false"/>
          <w:sz w:val="20"/>
        </w:rPr>
        <w:t>” means any draft, bill of exchange, acceptance or obligation which is made, drawn, negotiated or incurred by the Company for the purpose of financing the purchase, processing, manufacturing, shipment, storage or sale of goods, wares or merchandise and which is secured by documents evidencing title to, possession of, or a lien upon, the goods, wares or merchandise or the receivables or proceeds arising from the sale of the goods, wares or merchandise previously constituting the security, provided the security is received by the Trustee simultaneously with the creation of the creditor relationship with the Company arising from the making, drawing, negotiating or incurring of the draft, bill of exchange, acceptance or obligation.</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7.04.</w:t>
        <w:tab/>
      </w:r>
      <w:r>
        <w:rPr>
          <w:rFonts w:ascii="Times New Roman;Times;Serif" w:hAnsi="Times New Roman;Times;Serif"/>
          <w:b w:val="false"/>
          <w:i/>
          <w:caps w:val="false"/>
          <w:smallCaps w:val="false"/>
          <w:sz w:val="20"/>
        </w:rPr>
        <w:t>Trustee’s Disclaimer.  </w:t>
      </w:r>
      <w:r>
        <w:rPr>
          <w:rFonts w:ascii="Times New Roman;Times;Serif" w:hAnsi="Times New Roman;Times;Serif"/>
          <w:b w:val="false"/>
          <w:i w:val="false"/>
          <w:caps w:val="false"/>
          <w:smallCaps w:val="false"/>
          <w:sz w:val="20"/>
        </w:rPr>
        <w:t>The recitals contained herein and in the Securities (except the Trustee’s certificate of authentication) shall be taken as statements of the Company and not of the Trustee and the Trustee assumes no responsibility for the correctness of the same.  Neither the Trustee nor any of its agents (a) makes any representation as to the validity or adequacy of this Indenture or the Securities and (b) shall be accountable for the Company’s use or application of the proceeds from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7.05.</w:t>
        <w:tab/>
      </w:r>
      <w:r>
        <w:rPr>
          <w:rFonts w:ascii="Times New Roman;Times;Serif" w:hAnsi="Times New Roman;Times;Serif"/>
          <w:b w:val="false"/>
          <w:i/>
          <w:caps w:val="false"/>
          <w:smallCaps w:val="false"/>
          <w:sz w:val="20"/>
        </w:rPr>
        <w:t>Notice of Default.  </w:t>
      </w:r>
      <w:r>
        <w:rPr>
          <w:rFonts w:ascii="Times New Roman;Times;Serif" w:hAnsi="Times New Roman;Times;Serif"/>
          <w:b w:val="false"/>
          <w:i w:val="false"/>
          <w:caps w:val="false"/>
          <w:smallCaps w:val="false"/>
          <w:sz w:val="20"/>
        </w:rPr>
        <w:t>If any Default with respect to the Securities of any series occurs and is continuing and if such Default is known to the actual knowledge of a Responsible Officer with the Corporate Trust Department of the Trustee, the Trustee shall give to each Holder of Securities of such series notice of such Default within 90 days after it occurs to all Holders of Securities of such series in the manner and to the extent provided in Section 313(c) of the Trust Indenture Act, unless such Default shall have been cured or waived before the mailing or publication of such notice; provided, however, that, except in the case of a Default in the payment of the Principal of or interest on any Security, the Trustee shall be protected in withholding such notice if the Trustee in good faith determines that the withholding of such notice is in the interests of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7.06.</w:t>
        <w:tab/>
      </w:r>
      <w:r>
        <w:rPr>
          <w:rFonts w:ascii="Times New Roman;Times;Serif" w:hAnsi="Times New Roman;Times;Serif"/>
          <w:b w:val="false"/>
          <w:i/>
          <w:caps w:val="false"/>
          <w:smallCaps w:val="false"/>
          <w:sz w:val="20"/>
        </w:rPr>
        <w:t>Reports by Trustee to Holders.  </w:t>
      </w:r>
      <w:r>
        <w:rPr>
          <w:rFonts w:ascii="Times New Roman;Times;Serif" w:hAnsi="Times New Roman;Times;Serif"/>
          <w:b w:val="false"/>
          <w:i w:val="false"/>
          <w:caps w:val="false"/>
          <w:smallCaps w:val="false"/>
          <w:sz w:val="20"/>
        </w:rPr>
        <w:t>  The Trustee shall transmit to Holders such reports concerning the Trustee and its actions under this Indenture as may be required pursuant to the Trust Indenture Act at the times and in the manner provided pursuant thereto. If required by Section 313(a) of the Trust Indenture Act, the Trustee shall, within 60 days after each May 15 following the date of this Indenture, deliver to Holders a brief report, dated as of such May 15, which complies with the provisions of such Section 313(a).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each such report shall, at the time of such transmission to Holders, be filed by the Trustee with each stock exchange upon which any Securities are listed, with the Commission and with the Company. The Company will promptly notify the Trustee when any Securities are listed on any stock exchange.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7.07.</w:t>
        <w:tab/>
      </w:r>
      <w:r>
        <w:rPr>
          <w:rFonts w:ascii="Times New Roman;Times;Serif" w:hAnsi="Times New Roman;Times;Serif"/>
          <w:b w:val="false"/>
          <w:i/>
          <w:caps w:val="false"/>
          <w:smallCaps w:val="false"/>
          <w:sz w:val="20"/>
        </w:rPr>
        <w:t>Compensation and Indemnity.  </w:t>
      </w:r>
      <w:r>
        <w:rPr>
          <w:rFonts w:ascii="Times New Roman;Times;Serif" w:hAnsi="Times New Roman;Times;Serif"/>
          <w:b w:val="false"/>
          <w:i w:val="false"/>
          <w:caps w:val="false"/>
          <w:smallCaps w:val="false"/>
          <w:sz w:val="20"/>
        </w:rPr>
        <w:t>The Company shall pay to the Trustee such compensation as shall be agreed upon in writing from time to time for its services.  The compensation of the Trustee shall not be limited by any law on compensation of a Trustee of an express trust.  The Company shall reimburse the Trustee and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predecessor Trustee upon request for all reasonable out-of-pocket expenses, disbursements and advances incurred or made by the Trustee or such predecessor Trustee.  Such expenses shall include the reasonable compensation and expenses of the Trustee’s or such predecessor Trustee’s agents, counsel and other persons not regularly in their employ.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indemnify the Trustee and any predecessor Trustee for, and hold them harmless against, any loss or liability or expense incurred by them without negligence or bad faith on their part arising out of or in connection with the acceptance or administration of this Indenture and the Securities or the issuance of the Securities or of series thereof or the trusts hereunder and the performance of duties under this Indenture and the Securities, including the costs and expenses of defending themselves against or investigating any claim or liability and of complying with any process served upon them or any of their officers in connection with the exercise or performance of any of their powers or duties under this Indenture and the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secure the Company’s payment obligations in this Section 7.07, the Trustee shall have a lien prior to the Securities on all money or property held or collected by the Trustee, in its capacity as Trustee, except money or property held in trust to pay Principal of, and interest on particular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the Company under this Section to compensate and indemnify the Trustee and each predecessor Trustee and to pay or reimburse the Trustee and each predecessor Trustee for expenses, disbursements and advances shall constitute additional indebtedness hereunder and shall survive the satisfaction and discharge of this Indenture or the rejection or termination of this Indenture under bankruptcy law.  Such additional indebtedness shall be a senior claim to that of the Securities upon all property and funds held or collected by the Trustee as such, except funds held in trust for the benefit of the Holders of particular Securities, and the Securities are hereby subordinated to such senior claim.  Without prejudice to any other rights available to the Trustee under applicable law, if the Trustee renders services and incurs expenses following an Event of Default under Section 6.01(d) or Section 6.01(e) hereof, the parties hereto and the holders by their acceptance of the Securities hereby agree that such expenses are intended to constitute expenses of administration under any bankruptcy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7.08.</w:t>
        <w:tab/>
      </w:r>
      <w:r>
        <w:rPr>
          <w:rFonts w:ascii="Times New Roman;Times;Serif" w:hAnsi="Times New Roman;Times;Serif"/>
          <w:b w:val="false"/>
          <w:i/>
          <w:caps w:val="false"/>
          <w:smallCaps w:val="false"/>
          <w:sz w:val="20"/>
        </w:rPr>
        <w:t>Replacement of Trustee.  </w:t>
      </w:r>
      <w:r>
        <w:rPr>
          <w:rFonts w:ascii="Times New Roman;Times;Serif" w:hAnsi="Times New Roman;Times;Serif"/>
          <w:b w:val="false"/>
          <w:i w:val="false"/>
          <w:caps w:val="false"/>
          <w:smallCaps w:val="false"/>
          <w:sz w:val="20"/>
        </w:rPr>
        <w:t>A resignation or removal of the Trustee as Trustee with respect to the Securities of any series and appointment of a successor Trustee as Trustee with respect to the Securities of any series shall become effective only upon the successor Trustee’s acceptance of appointment as provided in this Section 7.08.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Trustee may resign as Trustee with respect to the Securities of any series at any time by so notifying the Company in writing.  The Holders of a majority in principal amount of the outstanding Securities of any series may remove the Trustee as Trustee with respect to the Securities of such series by so notifying the Trustee in writing and may appoint a successor Trustee with respect thereto with the consent of the Company.  The Company may remove the Trustee as Trustee with respect to the Securities of any series if: (i) the Trustee is no longer eligible under Section 7.11 of this Indenture; (ii) the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 is adjudged a bankrupt or insolvent; (iii) a receiver or other public officer takes charge of the Trustee or its property; or (iv) the Trustee becomes incapable of acting.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resigns or is removed as Trustee with respect to the Securities of any series, or if a vacancy exists in the office of Trustee with respect to the Securities of any series for any reason, the Company shall promptly appoint a successor Trustee with respect thereto.  Within one year after the successor Trustee takes office, the Holders of a majority in principal amount of the outstanding Securities of such series may appoint a successor Trustee in respect of such Securities to replace the successor Trustee appointed by the Company.  If the successor Trustee with respect to the Securities of any series does not deliver its written acceptance required by Section 7.09 within 30 days after the retiring Trustee resigns or is removed, the retiring Trustee, the Company or the Holders of a majority in principal amount of the outstanding Securities of such series may petition any court of competent jurisdiction for the appointment of a successor Trustee with respect thereto.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give notice of any resignation and any removal of the Trustee with respect to the Securities of any series and each appointment of a successor Trustee in respect of the Securities of such series to all Holders of Securities of such series.  Each notice shall include the name of the successor Trustee and the address of its Corporate Trust Office.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replacement of the Trustee with respect to the Securities of any series pursuant to this Section 7.08 and Section 7.09, the Company’s obligations under Section 7.07 shall continue for the benefit of the retiring Trustee.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7.09.</w:t>
        <w:tab/>
      </w:r>
      <w:r>
        <w:rPr>
          <w:rFonts w:ascii="Times New Roman;Times;Serif" w:hAnsi="Times New Roman;Times;Serif"/>
          <w:b w:val="false"/>
          <w:i/>
          <w:caps w:val="false"/>
          <w:smallCaps w:val="false"/>
          <w:sz w:val="20"/>
        </w:rPr>
        <w:t>Acceptance of Appointment by Successor.  </w:t>
      </w:r>
      <w:r>
        <w:rPr>
          <w:rFonts w:ascii="Times New Roman;Times;Serif" w:hAnsi="Times New Roman;Times;Serif"/>
          <w:b w:val="false"/>
          <w:i w:val="false"/>
          <w:caps w:val="false"/>
          <w:smallCaps w:val="false"/>
          <w:sz w:val="20"/>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and subject to the lien provided for in Section 7.07,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request of any such successor Trustee, the Company shall execute any and all instruments for more fully and certainly vesting in and confirming to such successor Trustee all such rights, powers and trusts referred to in the first or second preceding paragraph, as the case may be.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successor Trustee shall accept its appointment unless at the time of such acceptance such successor Trustee shall be eligible under this Article and qualified under Section 310(b) of the Trust Indenture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7.10.</w:t>
        <w:tab/>
      </w:r>
      <w:r>
        <w:rPr>
          <w:rFonts w:ascii="Times New Roman;Times;Serif" w:hAnsi="Times New Roman;Times;Serif"/>
          <w:b w:val="false"/>
          <w:i/>
          <w:caps w:val="false"/>
          <w:smallCaps w:val="false"/>
          <w:sz w:val="20"/>
        </w:rPr>
        <w:t>Successor Trustee By Merger, Etc.  </w:t>
      </w:r>
      <w:r>
        <w:rPr>
          <w:rFonts w:ascii="Times New Roman;Times;Serif" w:hAnsi="Times New Roman;Times;Serif"/>
          <w:b w:val="false"/>
          <w:i w:val="false"/>
          <w:caps w:val="false"/>
          <w:smallCaps w:val="false"/>
          <w:sz w:val="20"/>
        </w:rPr>
        <w:t>If the Trustee consolidates with, merges or converts into, or transfers all or substantially all of its corporate trust business to, another corporation or national banking association, the resulting, surviving or transferee corporation or national banking association without any further act shall be the successor Trustee with the same effect as if the successor Trustee had been named as the Trustee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7.11.</w:t>
        <w:tab/>
      </w:r>
      <w:r>
        <w:rPr>
          <w:rFonts w:ascii="Times New Roman;Times;Serif" w:hAnsi="Times New Roman;Times;Serif"/>
          <w:b w:val="false"/>
          <w:i/>
          <w:caps w:val="false"/>
          <w:smallCaps w:val="false"/>
          <w:sz w:val="20"/>
        </w:rPr>
        <w:t>Eligibility.  </w:t>
      </w:r>
      <w:r>
        <w:rPr>
          <w:rFonts w:ascii="Times New Roman;Times;Serif" w:hAnsi="Times New Roman;Times;Serif"/>
          <w:b w:val="false"/>
          <w:i w:val="false"/>
          <w:caps w:val="false"/>
          <w:smallCaps w:val="false"/>
          <w:sz w:val="20"/>
        </w:rPr>
        <w:t>This Indenture shall always have a Trustee who satisfies the requirements of Trust Indenture Act Section 310(a).  The Trustee shall have a combined capital and surplus of at least $25,000,000 as set forth in its most recent published annual report of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7.12.</w:t>
        <w:tab/>
      </w:r>
      <w:r>
        <w:rPr>
          <w:rFonts w:ascii="Times New Roman;Times;Serif" w:hAnsi="Times New Roman;Times;Serif"/>
          <w:b w:val="false"/>
          <w:i/>
          <w:caps w:val="false"/>
          <w:smallCaps w:val="false"/>
          <w:sz w:val="20"/>
        </w:rPr>
        <w:t>Money Held in Trust.  </w:t>
      </w:r>
      <w:r>
        <w:rPr>
          <w:rFonts w:ascii="Times New Roman;Times;Serif" w:hAnsi="Times New Roman;Times;Serif"/>
          <w:b w:val="false"/>
          <w:i w:val="false"/>
          <w:caps w:val="false"/>
          <w:smallCaps w:val="false"/>
          <w:sz w:val="20"/>
        </w:rPr>
        <w:t>The Trustee shall not be liable for interest on any money received by it except as the Trustee may agree in writing with the Company.  Money held in trust by the Trustee need not be segregated from other funds except to the extent required by law and except for money held in trust under Article 8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8</w:t>
      </w:r>
      <w:r>
        <w:rPr>
          <w:rFonts w:ascii="Times New Roman;Times;Serif" w:hAnsi="Times New Roman;Times;Serif"/>
          <w:b w:val="false"/>
          <w:i w:val="false"/>
          <w:smallCaps/>
          <w:sz w:val="20"/>
        </w:rPr>
        <w:br/>
        <w:t>SATISFACTION AND DISCHARGE OF INDENTURE; UNCLAIMED MONEYS</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8.01.</w:t>
        <w:tab/>
      </w:r>
      <w:r>
        <w:rPr>
          <w:rFonts w:ascii="Times New Roman;Times;Serif" w:hAnsi="Times New Roman;Times;Serif"/>
          <w:b w:val="false"/>
          <w:i/>
          <w:caps w:val="false"/>
          <w:smallCaps w:val="false"/>
          <w:sz w:val="20"/>
        </w:rPr>
        <w:t>Satisfaction and Discharge of Indenture.  </w:t>
      </w:r>
      <w:r>
        <w:rPr>
          <w:rFonts w:ascii="Times New Roman;Times;Serif" w:hAnsi="Times New Roman;Times;Serif"/>
          <w:b w:val="false"/>
          <w:i w:val="false"/>
          <w:caps w:val="false"/>
          <w:smallCaps w:val="false"/>
          <w:sz w:val="20"/>
        </w:rPr>
        <w:t>If at any time (a) (i) all Securities of any series issued that have been authenticated and delivered have been delivered by the Company to the Trustee for cancellation (other than Securities of such series which have been destroyed, lost or stolen and which have been replaced or paid as provided in ‎Section 2.08); or (ii) all the Securities of any series issued that have not been delivered by the Company to the Trustee for cancellation shall have become due and payable, or are by their terms to become due and payable within one year or are to be called for redemption within one year under arrangements satisfactory to the Trustee for the giving of notice of redemption by such Trustee in the Company’s name and at the Company’s expense, the Company shall have irrevocably deposited or caused to be deposited with the Trustee as trust funds the entire amount in cash (other than moneys repaid by the Trustee or any paying agent to the Company in accordance with ‎Section 8.04) or U.S. Government Obligations, maturing as to principal and interest in such amounts and at such times as will insure (without consideration of the reinvestment of such interest) the availability of cash, or a combination thereof, sufficient to pay at maturity or upon redemption all Securities of such series (other than any Securities of such series which shall have been destroyed, lost or stolen and which shall have been replaced or paid as provided in ‎Section 2.08) not theretofore delivered to the Trustee for cancellation, including principal and interest due or to become due on or prior to such date of maturity or redemption as the case may be; (b) the Company has paid or caused to be paid all other sums then due and payable under this Indenture; and (c) the Company has delivered to the Trustee an Officers’ Certificate and an Opinion of Counsel, each stating that all conditions precedent under this Indenture relating to the satisfaction and discharge of this Indenture pursuant to this ‎Section 8.01 have been complied with, then this Indenture shall cease to be of further effect with respect to Securities of such series (except as to (i) rights of registration of transfer and exchange of securities of such series, and the Company’s right of optional redemption, if any, (ii) substitution of mutilated, defaced, destroyed, lost or stolen Securities, (iii) rights of holders to receive payments of principal thereof and interest thereon, upon the original stated due dates therefor (but not upon acceleration) and remaining rights of the holders to receive mandatory sinking fund payments, if any, (iv) the rights, obligations and immunities of the Trustee hereunder and (v) the rights of the Securityholders of such series as beneficiaries hereof with respect to the property so deposited with the Trustee payable to all or any of them), and the Trustee, on demand of the Company accompanied by an Officers’ Certificate and an Opinion of Counsel and at the cost and expense of the Company, shall execute proper instruments acknowledging such satisfaction of and discharging this Indenture with respect to such series; provided, that the rights of Holders of the Securities to receive amounts in respect of Principal of and interest on the Securities held by them shall not be delayed longer than required by then-applicable mandatory rules or policies of any securities exchange upon which the Securities are listed. The Company agrees to reimburse the Trustee for any costs or expenses thereafter reasonably and properly incurred and to compensate the Trustee for any services thereafter reasonably and properly rendered by the Trustee in connection with this Indenture or the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8.02.</w:t>
        <w:tab/>
      </w:r>
      <w:r>
        <w:rPr>
          <w:rFonts w:ascii="Times New Roman;Times;Serif" w:hAnsi="Times New Roman;Times;Serif"/>
          <w:b w:val="false"/>
          <w:i/>
          <w:caps w:val="false"/>
          <w:smallCaps w:val="false"/>
          <w:sz w:val="20"/>
        </w:rPr>
        <w:t>Application by Trustee of Funds Deposited for Payment of Securities.  </w:t>
      </w:r>
      <w:r>
        <w:rPr>
          <w:rFonts w:ascii="Times New Roman;Times;Serif" w:hAnsi="Times New Roman;Times;Serif"/>
          <w:b w:val="false"/>
          <w:i w:val="false"/>
          <w:caps w:val="false"/>
          <w:smallCaps w:val="false"/>
          <w:sz w:val="20"/>
        </w:rPr>
        <w:t>Subject to Section 8.04, all moneys (including U.S. Government Obligations and the proceeds thereof) deposited with the Trustee pursuant to Section 8.01, Section 8.05 or Section 8.06 shall be held in trust and applied by it to the payment, either directly or through any paying agent to the Holders of the particular Securities of such series for the payment or redemption of which such moneys have been deposited with the Trustee, of all sums due and to become due thereon for Principal and interest; but such money need not be segregated from other funds except to the extent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8.03.</w:t>
        <w:tab/>
      </w:r>
      <w:r>
        <w:rPr>
          <w:rFonts w:ascii="Times New Roman;Times;Serif" w:hAnsi="Times New Roman;Times;Serif"/>
          <w:b w:val="false"/>
          <w:i/>
          <w:caps w:val="false"/>
          <w:smallCaps w:val="false"/>
          <w:sz w:val="20"/>
        </w:rPr>
        <w:t>Repayment of Moneys Held by Paying Agent.  </w:t>
      </w:r>
      <w:r>
        <w:rPr>
          <w:rFonts w:ascii="Times New Roman;Times;Serif" w:hAnsi="Times New Roman;Times;Serif"/>
          <w:b w:val="false"/>
          <w:i w:val="false"/>
          <w:caps w:val="false"/>
          <w:smallCaps w:val="false"/>
          <w:sz w:val="20"/>
        </w:rPr>
        <w:t>In connection with the satisfaction and discharge of this Indenture with respect to Securities of any series, all moneys then held by any paying agent under the provisions of this Indenture with respect to such series of Securities shall, upon demand of the Company, be repaid to it or paid to the Trustee and thereupon such paying agent shall be released from all further liability with respect to such moneys.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8.04.</w:t>
        <w:tab/>
      </w:r>
      <w:r>
        <w:rPr>
          <w:rFonts w:ascii="Times New Roman;Times;Serif" w:hAnsi="Times New Roman;Times;Serif"/>
          <w:b w:val="false"/>
          <w:i/>
          <w:caps w:val="false"/>
          <w:smallCaps w:val="false"/>
          <w:sz w:val="20"/>
        </w:rPr>
        <w:t>Return of Moneys Held by Trustee and Paying Agent Unclaimed for Two Years.  </w:t>
      </w:r>
      <w:r>
        <w:rPr>
          <w:rFonts w:ascii="Times New Roman;Times;Serif" w:hAnsi="Times New Roman;Times;Serif"/>
          <w:b w:val="false"/>
          <w:i w:val="false"/>
          <w:caps w:val="false"/>
          <w:smallCaps w:val="false"/>
          <w:sz w:val="20"/>
        </w:rPr>
        <w:t>Any moneys deposited with or paid to the Trustee or any paying agent for the payment of the Principal of or interest on any Security of any series and not applied but remaining unclaimed for two years after the date upon which such Principal or interest shall have become due and payable, shall, upon the written request of the Company and unless otherwise required by mandatory provisions of applicable escheat or abandoned or unclaimed property law, be repaid to the Company by the Trustee for such series or such paying agent, and the Holder of the Security of such series shall, unless otherwise required by mandatory provisions of applicable escheat or abandoned or unclaimed property laws, thereafter look only to the Company for any payment which such Holder may be entitled to collect, and all liability of the Trustee or any paying agent with respect to such moneys shall thereupon cease.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8.05.</w:t>
        <w:tab/>
      </w:r>
      <w:r>
        <w:rPr>
          <w:rFonts w:ascii="Times New Roman;Times;Serif" w:hAnsi="Times New Roman;Times;Serif"/>
          <w:b w:val="false"/>
          <w:i/>
          <w:caps w:val="false"/>
          <w:smallCaps w:val="false"/>
          <w:sz w:val="20"/>
        </w:rPr>
        <w:t>Defeasance and Discharge of Indenture.  </w:t>
      </w:r>
      <w:r>
        <w:rPr>
          <w:rFonts w:ascii="Times New Roman;Times;Serif" w:hAnsi="Times New Roman;Times;Serif"/>
          <w:b w:val="false"/>
          <w:i w:val="false"/>
          <w:caps w:val="false"/>
          <w:smallCaps w:val="false"/>
          <w:sz w:val="20"/>
        </w:rPr>
        <w:t>The Company shall be deemed to have paid and shall be discharged from any and all obligations in respect of the Securities of any series, after the deposit referred to in clause (i) hereof has been made, and the provisions of this Indenture shall no longer be in effect with respect to the Securities of such series (and the Trustee, at the expense of the Company, shall execute proper instruments acknowledging the same), except as to: ii) rights of Holders of the Securities of such series to receive payments of principal thereof, premium thereto, and interest thereon, upon the original stated due dates therefor, iii) the Company’s obligations with respect to the issuance of temporary Securities and the registration of transfer with respect to the Securities of such series, the Company’s right of optional redemption, substitution of mutilated, defaced, destroyed, lost or stolen Securities of such series and the maintenance of an office or agency for payment for security payments held in trust pursuant to clause (i) hereof, iv) the rights, obligations and immunities of the Trustee hereunder, and v) the defeasance provisions contained in ‎Article 8 of this Indenture; provided that the following conditions shall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with reference to this ‎Section 8.05 the Company irrevocably has deposited or caused to be deposited with the Trustee (or another qualifying trustee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satisfying the requirements of ‎Section 7.11) as trust funds in trust, for the purposes of making the following payments, specifically pledged as security for, and dedicated solely to, the benefit of the Holders of the Securities of such series, (A) money in an amount, (B) U.S. Government Obligations which through the payment of interest and principal in respect thereof in accordance with their terms will provide not later than one day before the due date of any payment referred to in subclause (x) or (y) of this clause (i), or (C) a combination thereof, in each case sufficient, in the written opinion of a nationally recognized firm of independent public accountants expressed in a written certification thereof delivered to the Trustee, to pay and discharge, without consideration of reinvestment and after payment of all federal, state and local taxes or other charges and assessments in respect thereof, and which shall be applied by the Trustee to pay and discharge (x) all of the Principal of, premium, if any, and each installment of interest on the outstanding Securities of such series on the maturity or due dates thereof or if the Company has made irrevocable arrangements satisfactory to the Trustee for the giving of notice of redemption by the Trustee, the redemption date, as the case may be, and (y) any mandatory sinking fund payments or analogous payments applicable to the Securities of such series on the day on which such payments are due and payable in accordance with the terms of Securities of such series and the Indenture with respect to the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has delivered to the Trustee an Opinion of Counsel to the effect that, under then applicable U.S. federal income tax law, Holders of Securities of such series will not recognize income, gain or loss for federal income tax purposes as a result of the Company’s exercise of its option under this Section 8.05 and will be subject to federal income tax on the same amount and in the same manner and at the same times as would have been the case if such deposit, defeasance and discharge had not occurred;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 Default under either clause ‎(d) or clause ‎(e) of ‎Section 6.01 shall have occurred and be continuing at such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at such time the Securities of such series are listed on a national securities exchange, the Company has delivered to the Trustee an Opinion of Counsel to the effect that the Securities of such series will not be delisted as a result of such deposit, defeasance and discharge;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Company shall have delivered to the Trustee an Officers’ Certificate and an Opinion of Counsel, each stating that all conditions precedent to the defeasance and discharge under this Section have been complied with;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if the Securities of such series are to be redeemed prior to the final maturity thereof (other than from mandatory sinking fund payments or analogous payments), notice of such redemption shall have been duly given pursuant to this Indenture or provision therefor satisfactory to the Trustee shall have been made.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8.06.</w:t>
        <w:tab/>
      </w:r>
      <w:r>
        <w:rPr>
          <w:rFonts w:ascii="Times New Roman;Times;Serif" w:hAnsi="Times New Roman;Times;Serif"/>
          <w:b w:val="false"/>
          <w:i/>
          <w:caps w:val="false"/>
          <w:smallCaps w:val="false"/>
          <w:sz w:val="20"/>
        </w:rPr>
        <w:t>Defeasance of Certain Obligations.  </w:t>
      </w:r>
      <w:r>
        <w:rPr>
          <w:rFonts w:ascii="Times New Roman;Times;Serif" w:hAnsi="Times New Roman;Times;Serif"/>
          <w:b w:val="false"/>
          <w:i w:val="false"/>
          <w:caps w:val="false"/>
          <w:smallCaps w:val="false"/>
          <w:sz w:val="20"/>
        </w:rPr>
        <w:t>The Company may omit to comply with any term, provision or condition set forth in, and this Indenture will no longer be in effect with respect to, any covenant established pursuant to Section 2.03(r) and clause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clause (f) (with respect to any covenants established pursuant to Section 2.03(s)) of Section 6.01 shall be deemed not to constitute a Default or an Event of Default with respect to Securities of any series,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 reference to this ‎Section 8.06, the Company has irrevocably deposited or caused to be deposited with the Trustee (or another qualifying trustee satisfying the requirements of ‎Section 7.11) as trust funds in trust, for the purposes of making the following payments, specifically pledged as security for, and dedicated solely to, the benefits of the Holders of the Securities of such series, (i) money in an amount, (ii) U.S. Government Obligations which through the payment of interest and principal in respect thereof in accordance with their terms will provide not later than one day before the due date of any payment referred to in subclause (x) or (y) of this clause (a), or (iii) a combination thereof, in each case sufficient, in the written opinion of a nationally recognized firm of independent public accountants expressed in a written certification thereof delivered to the Trustee, to pay and discharge, without consideration of reinvestment and after payment of all federal, state and local taxes or other charges and assessments in respect thereof, and which shall be applied by the Trustee to pay and discharge (x) all of the principal of, premium, if any, and each installment of interest on the outstanding Securities of such series on the maturity or due dates thereof or if the Company has made irrevocable arrangements satisfactory to the Trustee for the giving of notice of redemption by the Trustee, the redemption date, as the case may be, and (y) any mandatory sinking fund payments or analogous payments applicable to the Securities of such series on the day on which such payments are due and payable in accordance with the terms of the Securities of such series and the Indenture with respect to the Securities of such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has delivered to the Trustee an Opinion of Counsel to the effect that Holders of Securities of such series will not recognize income, gain or loss for federal income tax purposes as a result of the Company’s exercise of its option under this Section 8.06 and will be subject to federal income tax on the same amount and in the same manner and at the same times as would have been the case if such deposit and defeasance had not occurred;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Default with respect to the outstanding Securities of such series shall have occurred and be continuing at the time of such deposit immediately after giving effect to such deposit;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at such time the Securities of such series are listed on a national securities exchange, the Company has delivered to the Trustee an Opinion of Counsel to the effect that the Securities of such series will not be delisted as a result of such deposit, defeasance and discharge;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shall have delivered to the Trustee an Officers’ Certificate and an Opinion of Counsel, each stating that all conditions precedent to the defeasance  under this Section have been complied with;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if the Securities of such series are to be redeemed prior to the final maturity thereof (other than from mandatory sinking fund payments or analogous payments), notice of such redemption shall have been duly given pursuant to this Indenture or provision therefor satisfactory to the Trustee shall have been made.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8.07.</w:t>
        <w:tab/>
      </w:r>
      <w:r>
        <w:rPr>
          <w:rFonts w:ascii="Times New Roman;Times;Serif" w:hAnsi="Times New Roman;Times;Serif"/>
          <w:b w:val="false"/>
          <w:i/>
          <w:caps w:val="false"/>
          <w:smallCaps w:val="false"/>
          <w:sz w:val="20"/>
        </w:rPr>
        <w:t>Reinstatement.  </w:t>
      </w:r>
      <w:r>
        <w:rPr>
          <w:rFonts w:ascii="Times New Roman;Times;Serif" w:hAnsi="Times New Roman;Times;Serif"/>
          <w:b w:val="false"/>
          <w:i w:val="false"/>
          <w:caps w:val="false"/>
          <w:smallCaps w:val="false"/>
          <w:sz w:val="20"/>
        </w:rPr>
        <w:t xml:space="preserve">If the Trustee or paying agent is unable to apply any monies or U.S. Government Obligations in accordance with Article 8 by reason of any legal proceeding or by reason of any order or judgment of any court or governmental authority enjoining, restraining or otherwise prohibiting such application, the Company’s obligations under this Indenture and the Securities shall be revived and reinstated as though no deposit had occurred pursuant to this Article until such time as the Trustee or paying agent is permitted to apply all such monies or U.S. Government Obligations in accordance with Article 8;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if the Company has made any payment of Principal of or interest on any Securities because of the reinstatement of its obligations, the Company shall be subrogated to the rights of the Holders of such Securities to receive such payment from the monies or U.S. Government Obligations held by the Trustee or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8.08.</w:t>
        <w:tab/>
      </w:r>
      <w:r>
        <w:rPr>
          <w:rFonts w:ascii="Times New Roman;Times;Serif" w:hAnsi="Times New Roman;Times;Serif"/>
          <w:b w:val="false"/>
          <w:i/>
          <w:caps w:val="false"/>
          <w:smallCaps w:val="false"/>
          <w:sz w:val="20"/>
        </w:rPr>
        <w:t>Indemnity.</w:t>
      </w:r>
      <w:r>
        <w:rPr>
          <w:rFonts w:ascii="Times New Roman;Times;Serif" w:hAnsi="Times New Roman;Times;Serif"/>
          <w:b w:val="false"/>
          <w:i w:val="false"/>
          <w:caps w:val="false"/>
          <w:smallCaps w:val="false"/>
          <w:sz w:val="20"/>
        </w:rPr>
        <w:t>  The Company shall pay and indemnify the Trustee (or other qualifying trustee, collectively for purposes of this Section 8.08 and Section 8.02,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against any tax, fee or other charge, imposed on or assessed against the U.S. Government Obligations deposited pursuant to Section 8.01, 8.05 or 8.06  or the principal or interest received in respect thereof other than any such tax, fee or other charge which by law is for the account of the Holders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8.09.</w:t>
        <w:tab/>
      </w:r>
      <w:r>
        <w:rPr>
          <w:rFonts w:ascii="Times New Roman;Times;Serif" w:hAnsi="Times New Roman;Times;Serif"/>
          <w:b w:val="false"/>
          <w:i/>
          <w:caps w:val="false"/>
          <w:smallCaps w:val="false"/>
          <w:sz w:val="20"/>
        </w:rPr>
        <w:t>Excess Funds.  </w:t>
      </w:r>
      <w:r>
        <w:rPr>
          <w:rFonts w:ascii="Times New Roman;Times;Serif" w:hAnsi="Times New Roman;Times;Serif"/>
          <w:b w:val="false"/>
          <w:i w:val="false"/>
          <w:caps w:val="false"/>
          <w:smallCaps w:val="false"/>
          <w:sz w:val="20"/>
        </w:rPr>
        <w:t>Anything in this Article 8 to the contrary notwithstanding, the Trustee shall deliver or pay to the Company from time to time upon request of the Company, any money or U.S. Government Obligations (or other property and any proceeds therefrom) held by it as provided in Section 8.01, 8.05 or 8.06 which, in the opinion of a nationally recognized firm of Independent Public Accountants expressed in a written certification thereof delivered to the Trustee, are in excess of the amount thereof which would then be required to be deposited to effect a discharge or defeasance, as applicable, in accordance with this Article 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8.10.</w:t>
        <w:tab/>
      </w:r>
      <w:r>
        <w:rPr>
          <w:rFonts w:ascii="Times New Roman;Times;Serif" w:hAnsi="Times New Roman;Times;Serif"/>
          <w:b w:val="false"/>
          <w:i/>
          <w:caps w:val="false"/>
          <w:smallCaps w:val="false"/>
          <w:sz w:val="20"/>
        </w:rPr>
        <w:t>Qualifying Trustee.  </w:t>
      </w:r>
      <w:r>
        <w:rPr>
          <w:rFonts w:ascii="Times New Roman;Times;Serif" w:hAnsi="Times New Roman;Times;Serif"/>
          <w:b w:val="false"/>
          <w:i w:val="false"/>
          <w:caps w:val="false"/>
          <w:smallCaps w:val="false"/>
          <w:sz w:val="20"/>
        </w:rPr>
        <w:t>Any trustee appointed pursuant to Section 8.05 or 8.06 for the purpose of holding money or U.S. Government Obligations deposited pursuant to such Sections shall be appointed under an agreement in form acceptable to the Trustee and shall provide to the Trustee a certificate, upon which certificate the Trustee shall be entitled to conclusively rely, that all conditions precedent provided for herein to the related defeasance have been complied with.  In no event shall the Trustee be liable for any acts or omissions of said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9</w:t>
      </w:r>
      <w:r>
        <w:rPr>
          <w:rFonts w:ascii="Times New Roman;Times;Serif" w:hAnsi="Times New Roman;Times;Serif"/>
          <w:b w:val="false"/>
          <w:i w:val="false"/>
          <w:smallCaps/>
          <w:sz w:val="20"/>
        </w:rPr>
        <w:br/>
        <w:t>AMENDMENTS, SUPPLEMENTS AND WAIVERS</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9.01.</w:t>
        <w:tab/>
      </w:r>
      <w:r>
        <w:rPr>
          <w:rFonts w:ascii="Times New Roman;Times;Serif" w:hAnsi="Times New Roman;Times;Serif"/>
          <w:b w:val="false"/>
          <w:i/>
          <w:caps w:val="false"/>
          <w:smallCaps w:val="false"/>
          <w:sz w:val="20"/>
        </w:rPr>
        <w:t>Without Consent of Holders.  </w:t>
      </w:r>
      <w:r>
        <w:rPr>
          <w:rFonts w:ascii="Times New Roman;Times;Serif" w:hAnsi="Times New Roman;Times;Serif"/>
          <w:b w:val="false"/>
          <w:i w:val="false"/>
          <w:caps w:val="false"/>
          <w:smallCaps w:val="false"/>
          <w:sz w:val="20"/>
        </w:rPr>
        <w:t>The Company and the Trustee may amend or supplement this Indenture or the Securities of any series without notice to or the consent of any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cure any ambiguity, defect or inconsistency in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comply with Article 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comply with any requirements of the Commission in connection with the qualification of this Indenture under the Trust Indenture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evidence and provide for the acceptance of appointment hereunder with respect to the Securities of any or all series by a successor Trustee and to add to or change any of the provisions of this Indenture as shall be necessary to provide for or facilitate the administration of the trusts hereunder by more than one Trustee, pursuant to the requirements of Section 7.09;</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establish the form or forms or terms of Securities of any series as permitted by Section 2.03;</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provide for uncertificated Securities and to make all appropriate changes for such purpose;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conform any provision to the applicable corresponding provision set forth in the offering document for the offering of such series of Securities;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to make any change that does not materially and adversely affect the rights of any Holder.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9.02.</w:t>
        <w:tab/>
      </w:r>
      <w:r>
        <w:rPr>
          <w:rFonts w:ascii="Times New Roman;Times;Serif" w:hAnsi="Times New Roman;Times;Serif"/>
          <w:b w:val="false"/>
          <w:i/>
          <w:caps w:val="false"/>
          <w:smallCaps w:val="false"/>
          <w:sz w:val="20"/>
        </w:rPr>
        <w:t>With Consent of Holders.  </w:t>
      </w:r>
      <w:r>
        <w:rPr>
          <w:rFonts w:ascii="Times New Roman;Times;Serif" w:hAnsi="Times New Roman;Times;Serif"/>
          <w:b w:val="false"/>
          <w:i w:val="false"/>
          <w:caps w:val="false"/>
          <w:smallCaps w:val="false"/>
          <w:sz w:val="20"/>
        </w:rPr>
        <w:t>Subject to Sections 6.04 and 6.07, without prior notice to any Holders, the Company and the Trustee may amend this Indenture and the Securities of any series with the written consent of the Holders of a majority in principal amount of the outstanding Securities of each series affected by such amendment (all such series voting together as a single class), and the Holders of a majority in principal amount of the outstanding Securities of each series affected thereby (all such series voting together as a single class) by written notice to the Trustee may waive future compliance by the Company with any provision of this Indenture or the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provisions of this Section 9.02, without the consent of each Holder affected thereby, an amendment or waiver, including a waiver pursuant to Section 6.04, may not: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change the stated maturity of the Principal of, or any sinking fund obligation or any installment of interest on, such Holder’s Security,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reduce the Principal amount thereof or the rate of interest thereon (including any amount in respect of original issue discount);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reduce the above stated percentage of outstanding Securities the consent of whose holders is necessary to modify or amend the Indenture with respect to the Securities of the relevant series;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reduce the percentage in principal amount of outstanding Securities of the relevant series the consent of whose Holders is required for any supplemental indenture or for any waiver of compliance with certain provisions of this Indenture or certain Defaults and their consequences provided for in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supplemental indenture which changes or eliminates any covenant or other provision of this Indenture which has expressly been included solely for the benefit of one or more particular series of Securities, or which modifies the rights of Holders of Securities of such series with respect to such covenant or provision, shall be deemed not to affect the rights under this Indenture of the Holders of Securities of any other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shall not be necessary for the consent of any Holder under this Section 9.02 to approve the particular form of any proposed amendment, supplement or waiver, but it shall be sufficient if such consent approves the substance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an amendment, supplement or waiver under this Section 9.02 becomes effective, the Company shall give to the Holders affected thereby a notice briefly describing the amendment, supplement or waiver.  The Company will mail supplemental indentures to Holders upon request.  Any failure of the Company to mail such notice, or any defect therein, shall not, however, in any way impair or affect the validity of any such supplemental indenture or waiver.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9.03.</w:t>
        <w:tab/>
      </w:r>
      <w:r>
        <w:rPr>
          <w:rFonts w:ascii="Times New Roman;Times;Serif" w:hAnsi="Times New Roman;Times;Serif"/>
          <w:b w:val="false"/>
          <w:i/>
          <w:caps w:val="false"/>
          <w:smallCaps w:val="false"/>
          <w:sz w:val="20"/>
        </w:rPr>
        <w:t>Revocation and Effect of Consent.  </w:t>
      </w:r>
      <w:r>
        <w:rPr>
          <w:rFonts w:ascii="Times New Roman;Times;Serif" w:hAnsi="Times New Roman;Times;Serif"/>
          <w:b w:val="false"/>
          <w:i w:val="false"/>
          <w:caps w:val="false"/>
          <w:smallCaps w:val="false"/>
          <w:sz w:val="20"/>
        </w:rPr>
        <w:t>Until an amendment or waiver becomes effective, a consent to it by a Holder is a continuing consent by the Holder and every subsequent Holder of a Security or portion of a Security that evidences the same debt as the Security of the consenting Holder, even if notation of the consent is not made on any Security.  However, any such Holder or subsequent Holder may revoke the consent as to its Security or portion of its Security.  Such revocation shall be effective only if the Trustee receives the notice of revocation before the date the amendment, supplement or waiver becomes effective.  An amendment, supplement or waiver shall become effective with respect to any Securities affected thereby on receipt by the Trustee of written consents from the requisite Holders of outstanding Securities affected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but shall not be obligated to, fix a record date (which may be not less than five nor more than 60 days prior to the solicitation of consents) for the purpose of determining the Holders of the Securities of any series affected entitled to consent to any amendment, supplement or waiver.  If a record date is fixed, then, notwithstanding the immediately preceding paragraph, those Persons who were such Holders at such record date (or their duly designated proxies) and only those Persons shall be entitled to consent to such amendment, supplement or waiver or to revoke 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previously given, whether or not such Persons continue to be such Holders after such record date.  No such consent shall be valid or effective for more than 90 days after such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an amendment, supplement or waiver becomes effective with respect to the Securities of any series affected thereby, it shall bind every Holder of such Securities unless it is of the type described in any of clauses (a) through (d) of Section 9.02.  In case of an amendment or waiver of the type described in clauses (a) through (d) of Section 9.02, the amendment or waiver shall bind each such Holder who has consented to it and every subsequent Holder of a Security that evidences the same indebtedness as the Security of the consenting Holder.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9.04.</w:t>
        <w:tab/>
      </w:r>
      <w:r>
        <w:rPr>
          <w:rFonts w:ascii="Times New Roman;Times;Serif" w:hAnsi="Times New Roman;Times;Serif"/>
          <w:b w:val="false"/>
          <w:i/>
          <w:caps w:val="false"/>
          <w:smallCaps w:val="false"/>
          <w:sz w:val="20"/>
        </w:rPr>
        <w:t>Notation on or Exchange of Securities.  </w:t>
      </w:r>
      <w:r>
        <w:rPr>
          <w:rFonts w:ascii="Times New Roman;Times;Serif" w:hAnsi="Times New Roman;Times;Serif"/>
          <w:b w:val="false"/>
          <w:i w:val="false"/>
          <w:caps w:val="false"/>
          <w:smallCaps w:val="false"/>
          <w:sz w:val="20"/>
        </w:rPr>
        <w:t>If an amendment, supplement or waiver changes the terms of any Security, the Trustee may require the Holder thereof to deliver it to the Trustee.  The Trustee may place an appropriate notation on the Security about the changed terms and return it to the Holder and the Trustee may place an appropriate notation on any Security of such series thereafter authenticated.  Alternatively, if the Company or the Trustee so determines, the Company in exchange for the Security shall issue and the Trustee shall authenticate a new Security of the same series and tenor that reflects the changed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9.05.</w:t>
        <w:tab/>
      </w:r>
      <w:r>
        <w:rPr>
          <w:rFonts w:ascii="Times New Roman;Times;Serif" w:hAnsi="Times New Roman;Times;Serif"/>
          <w:b w:val="false"/>
          <w:i/>
          <w:caps w:val="false"/>
          <w:smallCaps w:val="false"/>
          <w:sz w:val="20"/>
        </w:rPr>
        <w:t>Trustee to Sign Amendments, Etc.  </w:t>
      </w:r>
      <w:r>
        <w:rPr>
          <w:rFonts w:ascii="Times New Roman;Times;Serif" w:hAnsi="Times New Roman;Times;Serif"/>
          <w:b w:val="false"/>
          <w:i w:val="false"/>
          <w:caps w:val="false"/>
          <w:smallCaps w:val="false"/>
          <w:sz w:val="20"/>
        </w:rPr>
        <w:t>The Trustee shall be entitled to receive, and shall be fully protected in relying upon, an Opinion of Counsel stating that the execution of any amendment, supplement or waiver authorized pursuant to this Article 9 is authorized or permitted by this Indenture, stating that all requisite consents have been obtained or that no consents are required and stating that such supplemental indenture constitutes the legal, valid and binding obligation of the Company, enforceable against the Company in accordance with its terms, subject to customary exceptions.  The Trustee may, but shall not be obligated to, execute any such amendment, supplement or waiver that affects the Trustee’s own rights, duties or immunities under this Indenture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9.06.</w:t>
        <w:tab/>
      </w:r>
      <w:r>
        <w:rPr>
          <w:rFonts w:ascii="Times New Roman;Times;Serif" w:hAnsi="Times New Roman;Times;Serif"/>
          <w:b w:val="false"/>
          <w:i/>
          <w:caps w:val="false"/>
          <w:smallCaps w:val="false"/>
          <w:sz w:val="20"/>
        </w:rPr>
        <w:t>Conformity with Trust Indenture Act.  </w:t>
      </w:r>
      <w:r>
        <w:rPr>
          <w:rFonts w:ascii="Times New Roman;Times;Serif" w:hAnsi="Times New Roman;Times;Serif"/>
          <w:b w:val="false"/>
          <w:i w:val="false"/>
          <w:caps w:val="false"/>
          <w:smallCaps w:val="false"/>
          <w:sz w:val="20"/>
        </w:rPr>
        <w:t>Every supplemental indenture executed pursuant to this Article 9 shall conform to the requirements of the Trust Indenture Act as then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10</w:t>
      </w:r>
      <w:r>
        <w:rPr>
          <w:rFonts w:ascii="Times New Roman;Times;Serif" w:hAnsi="Times New Roman;Times;Serif"/>
          <w:b w:val="false"/>
          <w:i w:val="false"/>
          <w:smallCaps/>
          <w:sz w:val="20"/>
        </w:rPr>
        <w:br/>
        <w:t>MISCELLANEOUS</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10.01.</w:t>
        <w:tab/>
      </w:r>
      <w:r>
        <w:rPr>
          <w:rFonts w:ascii="Times New Roman;Times;Serif" w:hAnsi="Times New Roman;Times;Serif"/>
          <w:b w:val="false"/>
          <w:i/>
          <w:caps w:val="false"/>
          <w:smallCaps w:val="false"/>
          <w:sz w:val="20"/>
        </w:rPr>
        <w:t>Trust Indenture Act of 1939.  </w:t>
      </w:r>
      <w:r>
        <w:rPr>
          <w:rFonts w:ascii="Times New Roman;Times;Serif" w:hAnsi="Times New Roman;Times;Serif"/>
          <w:b w:val="false"/>
          <w:i w:val="false"/>
          <w:caps w:val="false"/>
          <w:smallCaps w:val="false"/>
          <w:sz w:val="20"/>
        </w:rPr>
        <w:t>This Indenture shall incorporate and be governed by the provisions of the Trust Indenture Act that are required to be part of and to govern indentures qualified under the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10.02.</w:t>
        <w:tab/>
      </w:r>
      <w:r>
        <w:rPr>
          <w:rFonts w:ascii="Times New Roman;Times;Serif" w:hAnsi="Times New Roman;Times;Serif"/>
          <w:b w:val="false"/>
          <w:i/>
          <w:caps w:val="false"/>
          <w:smallCaps w:val="false"/>
          <w:sz w:val="20"/>
        </w:rPr>
        <w:t>Notices.  </w:t>
      </w:r>
      <w:r>
        <w:rPr>
          <w:rFonts w:ascii="Times New Roman;Times;Serif" w:hAnsi="Times New Roman;Times;Serif"/>
          <w:b w:val="false"/>
          <w:i w:val="false"/>
          <w:caps w:val="false"/>
          <w:smallCaps w:val="false"/>
          <w:sz w:val="20"/>
        </w:rPr>
        <w:t>Any notice or communication shall be sufficiently given if written and (a) if delivered in person when received or (b) if mailed by first class mail 5 days after mailing, or (c) as between the Company and the Trustee if sent by facsimile transmission, when transmission is confirmed, in each case addressed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Figure Technology Solutions, Inc.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West Liberty Street, Suite 600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Reno, Nevada 89501</w:t>
        <w:br/>
        <w:t>Attention:  Chief Legal Officer</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Trustee: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or the Trustee by written notice to the other may designate additional or different addresses for subsequent notices or communications.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or communication shall be sufficiently given to Holders by mailing to such Holders at their addresses as they shall appear on the Security Register.  Notice mailed shall be sufficiently given if so mailed within the time prescribed.  Copies of any such communication or notice to a Holder shall also be mailed to the Trustee and each Agent at the same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mail a notice or communication to a Holder or any defect in it shall not affect its sufficiency with respect to other Holders.  Except as otherwise provided in this Indenture, if a notice or communication is mailed in the manner provided in this Section 10.02, it is duly given, whether or not the addressee receives it.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it shall be impracticable to give notice as herein contemplated, then such notification as shall be made with the approval of the Trustee shall constitute a sufficient notification for every purpose 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10.03.</w:t>
        <w:tab/>
      </w:r>
      <w:r>
        <w:rPr>
          <w:rFonts w:ascii="Times New Roman;Times;Serif" w:hAnsi="Times New Roman;Times;Serif"/>
          <w:b w:val="false"/>
          <w:i/>
          <w:caps w:val="false"/>
          <w:smallCaps w:val="false"/>
          <w:sz w:val="20"/>
        </w:rPr>
        <w:t>Certificate and Opinion as to Conditions Precedent.  </w:t>
      </w:r>
      <w:r>
        <w:rPr>
          <w:rFonts w:ascii="Times New Roman;Times;Serif" w:hAnsi="Times New Roman;Times;Serif"/>
          <w:b w:val="false"/>
          <w:i w:val="false"/>
          <w:caps w:val="false"/>
          <w:smallCaps w:val="false"/>
          <w:sz w:val="20"/>
        </w:rPr>
        <w:t>Upon any request or application by the Company to the Trustee to take any action under this Indenture, the Company shall furnish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 Officers’ Certificate stating that, in the opinion of the signers, all conditions precedent, if any, provided for in this Indenture relating to the proposed action have been complied with;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 Opinion of Counsel stating that, in the opinion of such counsel, all such conditions precedent have been complied with.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10.04.</w:t>
        <w:tab/>
      </w:r>
      <w:r>
        <w:rPr>
          <w:rFonts w:ascii="Times New Roman;Times;Serif" w:hAnsi="Times New Roman;Times;Serif"/>
          <w:b w:val="false"/>
          <w:i/>
          <w:caps w:val="false"/>
          <w:smallCaps w:val="false"/>
          <w:sz w:val="20"/>
        </w:rPr>
        <w:t>Statements Required in Certificate or Opinion.  </w:t>
      </w:r>
      <w:r>
        <w:rPr>
          <w:rFonts w:ascii="Times New Roman;Times;Serif" w:hAnsi="Times New Roman;Times;Serif"/>
          <w:b w:val="false"/>
          <w:i w:val="false"/>
          <w:caps w:val="false"/>
          <w:smallCaps w:val="false"/>
          <w:sz w:val="20"/>
        </w:rPr>
        <w:t>Each certificate or opinion with respect to compliance with a condition or covenant provided for in this Indenture (other than the certificate required by Section 4.04) shall include: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statement that each person signing such certificate or opinion has read such covenant or condition and the definitions herein relating thereto;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brief statement as to the nature and scope of the examination or investigation upon which the statement or opinion contained in such certificate or opinion is based;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statement that, in the opinion of each such person, he has made such examination or investigation as is necessary to enable him to express an informed opinion as to whether or not such covenant or condition has been complied with;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 statement as to whether or not, in the opinion of each such person, such condition or covenant has been complied with;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with respect to matters of fact, an Opinion of Counsel may rely on an Officers’ Certificate or certificates of public officials.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10.05.</w:t>
        <w:tab/>
      </w:r>
      <w:r>
        <w:rPr>
          <w:rFonts w:ascii="Times New Roman;Times;Serif" w:hAnsi="Times New Roman;Times;Serif"/>
          <w:b w:val="false"/>
          <w:i/>
          <w:caps w:val="false"/>
          <w:smallCaps w:val="false"/>
          <w:sz w:val="20"/>
        </w:rPr>
        <w:t>Evidence of Ownership.  </w:t>
      </w:r>
      <w:r>
        <w:rPr>
          <w:rFonts w:ascii="Times New Roman;Times;Serif" w:hAnsi="Times New Roman;Times;Serif"/>
          <w:b w:val="false"/>
          <w:i w:val="false"/>
          <w:caps w:val="false"/>
          <w:smallCaps w:val="false"/>
          <w:sz w:val="20"/>
        </w:rPr>
        <w:t>The Company, the Trustee and any agent of the Company or the Trustee may deem and treat the person in whose name any Security shall be registered upon the Security Register for such series as the absolute owner of such Security (whether or not such Security shall be overdue and notwithstanding any notation of ownership or other writing thereon) for the purpose of receiving payment of or on account of the Principal of and, subject to the provisions of this Indenture, interest on such Security and for all other purposes; and neither the Company nor the Trustee nor any agent of the Company or the Trustee shall be affected by any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10.06.</w:t>
        <w:tab/>
      </w:r>
      <w:r>
        <w:rPr>
          <w:rFonts w:ascii="Times New Roman;Times;Serif" w:hAnsi="Times New Roman;Times;Serif"/>
          <w:b w:val="false"/>
          <w:i/>
          <w:caps w:val="false"/>
          <w:smallCaps w:val="false"/>
          <w:sz w:val="20"/>
        </w:rPr>
        <w:t>Rules by Trustee, Paying Agent or Registrar.  </w:t>
      </w:r>
      <w:r>
        <w:rPr>
          <w:rFonts w:ascii="Times New Roman;Times;Serif" w:hAnsi="Times New Roman;Times;Serif"/>
          <w:b w:val="false"/>
          <w:i w:val="false"/>
          <w:caps w:val="false"/>
          <w:smallCaps w:val="false"/>
          <w:sz w:val="20"/>
        </w:rPr>
        <w:t>The Trustee may make reasonable rules for action by or at a meeting of Holders.  The Paying Agent or Registrar may make reasonable rules for its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10.07.</w:t>
        <w:tab/>
      </w:r>
      <w:r>
        <w:rPr>
          <w:rFonts w:ascii="Times New Roman;Times;Serif" w:hAnsi="Times New Roman;Times;Serif"/>
          <w:b w:val="false"/>
          <w:i/>
          <w:caps w:val="false"/>
          <w:smallCaps w:val="false"/>
          <w:sz w:val="20"/>
        </w:rPr>
        <w:t>Payment Date Other Than a Business Day.  </w:t>
      </w:r>
      <w:r>
        <w:rPr>
          <w:rFonts w:ascii="Times New Roman;Times;Serif" w:hAnsi="Times New Roman;Times;Serif"/>
          <w:b w:val="false"/>
          <w:i w:val="false"/>
          <w:caps w:val="false"/>
          <w:smallCaps w:val="false"/>
          <w:sz w:val="20"/>
        </w:rPr>
        <w:t>Except as otherwise provided with respect to a series of Securities, if any date for payment of Principal or interest on any Security shall not be a Business Day at any place of payment, then payment of Principal of or interest on such Security, as the case may be, need not be made on such date, but may be made on the next succeeding Business Day at any place of payment with the same force and effect as if made on such date and no interest shall accrue in respect of such payment for the period from and after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10.08.</w:t>
        <w:tab/>
      </w:r>
      <w:r>
        <w:rPr>
          <w:rFonts w:ascii="Times New Roman;Times;Serif" w:hAnsi="Times New Roman;Times;Serif"/>
          <w:b w:val="false"/>
          <w:i/>
          <w:caps w:val="false"/>
          <w:smallCaps w:val="false"/>
          <w:sz w:val="20"/>
        </w:rPr>
        <w:t>Governing Law.  </w:t>
      </w:r>
      <w:r>
        <w:rPr>
          <w:rFonts w:ascii="Times New Roman;Times;Serif" w:hAnsi="Times New Roman;Times;Serif"/>
          <w:b w:val="false"/>
          <w:i w:val="false"/>
          <w:caps w:val="false"/>
          <w:smallCaps w:val="false"/>
          <w:sz w:val="20"/>
        </w:rPr>
        <w:t>The laws of the State of New York shall govern this Indenture and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10.09.</w:t>
        <w:tab/>
      </w:r>
      <w:r>
        <w:rPr>
          <w:rFonts w:ascii="Times New Roman;Times;Serif" w:hAnsi="Times New Roman;Times;Serif"/>
          <w:b w:val="false"/>
          <w:i/>
          <w:caps w:val="false"/>
          <w:smallCaps w:val="false"/>
          <w:sz w:val="20"/>
        </w:rPr>
        <w:t>No Adverse Interpretation of Other Agreements.  </w:t>
      </w:r>
      <w:r>
        <w:rPr>
          <w:rFonts w:ascii="Times New Roman;Times;Serif" w:hAnsi="Times New Roman;Times;Serif"/>
          <w:b w:val="false"/>
          <w:i w:val="false"/>
          <w:caps w:val="false"/>
          <w:smallCaps w:val="false"/>
          <w:sz w:val="20"/>
        </w:rPr>
        <w:t>This Indenture may not be used to interpret another indenture or loan or debt agreement of the Company or any Subsidiary of the Company.  Any such indenture or agreement may not be used to interpret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10.10.</w:t>
        <w:tab/>
      </w:r>
      <w:r>
        <w:rPr>
          <w:rFonts w:ascii="Times New Roman;Times;Serif" w:hAnsi="Times New Roman;Times;Serif"/>
          <w:b w:val="false"/>
          <w:i/>
          <w:caps w:val="false"/>
          <w:smallCaps w:val="false"/>
          <w:sz w:val="20"/>
        </w:rPr>
        <w:t>Successors.  </w:t>
      </w:r>
      <w:r>
        <w:rPr>
          <w:rFonts w:ascii="Times New Roman;Times;Serif" w:hAnsi="Times New Roman;Times;Serif"/>
          <w:b w:val="false"/>
          <w:i w:val="false"/>
          <w:caps w:val="false"/>
          <w:smallCaps w:val="false"/>
          <w:sz w:val="20"/>
        </w:rPr>
        <w:t>All agreements of the Company in this Indenture and the Securities shall bind its successors.  All agreements of the Trustee in this Indenture shall bind its 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10.11.</w:t>
        <w:tab/>
      </w:r>
      <w:r>
        <w:rPr>
          <w:rFonts w:ascii="Times New Roman;Times;Serif" w:hAnsi="Times New Roman;Times;Serif"/>
          <w:b w:val="false"/>
          <w:i/>
          <w:caps w:val="false"/>
          <w:smallCaps w:val="false"/>
          <w:sz w:val="20"/>
        </w:rPr>
        <w:t>Duplicate Originals.  </w:t>
      </w:r>
      <w:r>
        <w:rPr>
          <w:rFonts w:ascii="Times New Roman;Times;Serif" w:hAnsi="Times New Roman;Times;Serif"/>
          <w:b w:val="false"/>
          <w:i w:val="false"/>
          <w:caps w:val="false"/>
          <w:smallCaps w:val="false"/>
          <w:sz w:val="20"/>
        </w:rPr>
        <w:t>The parties may sign any number of copies of this Indenture.  Each signed copy shall be an original, but all of them together represent the same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10.12.</w:t>
        <w:tab/>
      </w:r>
      <w:r>
        <w:rPr>
          <w:rFonts w:ascii="Times New Roman;Times;Serif" w:hAnsi="Times New Roman;Times;Serif"/>
          <w:b w:val="false"/>
          <w:i/>
          <w:caps w:val="false"/>
          <w:smallCaps w:val="false"/>
          <w:sz w:val="20"/>
        </w:rPr>
        <w:t>Separability.  </w:t>
      </w:r>
      <w:r>
        <w:rPr>
          <w:rFonts w:ascii="Times New Roman;Times;Serif" w:hAnsi="Times New Roman;Times;Serif"/>
          <w:b w:val="false"/>
          <w:i w:val="false"/>
          <w:caps w:val="false"/>
          <w:smallCaps w:val="false"/>
          <w:sz w:val="20"/>
        </w:rPr>
        <w:t>In case any provision in this Indenture or in the Securities shall be invalid, illegal or unenforceable, the validity, legality and enforceability of the remaining provisions shall not in any way be affected or impaired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10.13.</w:t>
        <w:tab/>
      </w:r>
      <w:r>
        <w:rPr>
          <w:rFonts w:ascii="Times New Roman;Times;Serif" w:hAnsi="Times New Roman;Times;Serif"/>
          <w:b w:val="false"/>
          <w:i/>
          <w:caps w:val="false"/>
          <w:smallCaps w:val="false"/>
          <w:sz w:val="20"/>
        </w:rPr>
        <w:t>Table of Contents, Headings, Etc.  </w:t>
      </w:r>
      <w:r>
        <w:rPr>
          <w:rFonts w:ascii="Times New Roman;Times;Serif" w:hAnsi="Times New Roman;Times;Serif"/>
          <w:b w:val="false"/>
          <w:i w:val="false"/>
          <w:caps w:val="false"/>
          <w:smallCaps w:val="false"/>
          <w:sz w:val="20"/>
        </w:rPr>
        <w:t>The Table of Contents and headings of the Articles and Sections of this Indenture have been inserted for convenience of reference only, are not to be considered a part hereof and shall in no way modify or restrict any of the terms and provisions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10.14.</w:t>
        <w:tab/>
      </w:r>
      <w:r>
        <w:rPr>
          <w:rFonts w:ascii="Times New Roman;Times;Serif" w:hAnsi="Times New Roman;Times;Serif"/>
          <w:b w:val="false"/>
          <w:i/>
          <w:caps w:val="false"/>
          <w:smallCaps w:val="false"/>
          <w:sz w:val="20"/>
        </w:rPr>
        <w:t>Incorporators, Stockholders, Officers and Directors of Company Exempt from Individual Liability.  </w:t>
      </w:r>
      <w:r>
        <w:rPr>
          <w:rFonts w:ascii="Times New Roman;Times;Serif" w:hAnsi="Times New Roman;Times;Serif"/>
          <w:b w:val="false"/>
          <w:i w:val="false"/>
          <w:caps w:val="false"/>
          <w:smallCaps w:val="false"/>
          <w:sz w:val="20"/>
        </w:rPr>
        <w:t>No recourse under or upon any obligation, covenant or agreement contained in this Indenture or any indenture supplemental hereto, or in any Security, or because of any indebtedness evidenced thereby, shall be had against any incorporator, as such or against any past, present or future stockholder, officer, director or employee, as such, of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Securities by the holders thereof and as part of the consideration for the issue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10.15.</w:t>
        <w:tab/>
      </w:r>
      <w:r>
        <w:rPr>
          <w:rFonts w:ascii="Times New Roman;Times;Serif" w:hAnsi="Times New Roman;Times;Serif"/>
          <w:b w:val="false"/>
          <w:i/>
          <w:caps w:val="false"/>
          <w:smallCaps w:val="false"/>
          <w:sz w:val="20"/>
        </w:rPr>
        <w:t>Judgment Currency.  </w:t>
      </w:r>
      <w:r>
        <w:rPr>
          <w:rFonts w:ascii="Times New Roman;Times;Serif" w:hAnsi="Times New Roman;Times;Serif"/>
          <w:b w:val="false"/>
          <w:i w:val="false"/>
          <w:caps w:val="false"/>
          <w:smallCaps w:val="false"/>
          <w:sz w:val="20"/>
        </w:rPr>
        <w:t>The Company agrees, to the fullest extent that it may effectively do so under applicable law, that (a) if for the purpose of obtaining judgment in any court it is necessary to convert the sum due in respect of the Principal of or interest on the Securities of any series (the “</w:t>
      </w:r>
      <w:r>
        <w:rPr>
          <w:rFonts w:ascii="Times New Roman;Times;Serif" w:hAnsi="Times New Roman;Times;Serif"/>
          <w:b/>
          <w:i w:val="false"/>
          <w:caps w:val="false"/>
          <w:smallCaps w:val="false"/>
          <w:sz w:val="20"/>
        </w:rPr>
        <w:t>Required Currency</w:t>
      </w:r>
      <w:r>
        <w:rPr>
          <w:rFonts w:ascii="Times New Roman;Times;Serif" w:hAnsi="Times New Roman;Times;Serif"/>
          <w:b w:val="false"/>
          <w:i w:val="false"/>
          <w:caps w:val="false"/>
          <w:smallCaps w:val="false"/>
          <w:sz w:val="20"/>
        </w:rPr>
        <w:t>”) into a currency in which a judgment will be rendered (the “</w:t>
      </w:r>
      <w:r>
        <w:rPr>
          <w:rFonts w:ascii="Times New Roman;Times;Serif" w:hAnsi="Times New Roman;Times;Serif"/>
          <w:b/>
          <w:i w:val="false"/>
          <w:caps w:val="false"/>
          <w:smallCaps w:val="false"/>
          <w:sz w:val="20"/>
        </w:rPr>
        <w:t>Judgment Currency</w:t>
      </w:r>
      <w:r>
        <w:rPr>
          <w:rFonts w:ascii="Times New Roman;Times;Serif" w:hAnsi="Times New Roman;Times;Serif"/>
          <w:b w:val="false"/>
          <w:i w:val="false"/>
          <w:caps w:val="false"/>
          <w:smallCaps w:val="false"/>
          <w:sz w:val="20"/>
        </w:rPr>
        <w:t>”),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Business Day, then, to the extent permitted by applicable law, the rate of exchange used shall be the rate at which in accordance with normal banking procedures the Trustee could purchase in The City of New York the Required Currency with the Judgment Currency on the Business Day preceding the day on which final unappealable judgment is entered and (b) its obligations under this Indenture to make payments in the Required Currency (i) shall not be discharged or satisfied by any tender, or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10.16.</w:t>
        <w:tab/>
      </w:r>
      <w:r>
        <w:rPr>
          <w:rFonts w:ascii="Times New Roman;Times;Serif" w:hAnsi="Times New Roman;Times;Serif"/>
          <w:b w:val="false"/>
          <w:i/>
          <w:caps w:val="false"/>
          <w:smallCaps w:val="false"/>
          <w:sz w:val="20"/>
        </w:rPr>
        <w:t>Waiver of Jury Trial.  </w:t>
      </w:r>
      <w:r>
        <w:rPr>
          <w:rFonts w:ascii="Times New Roman;Times;Serif" w:hAnsi="Times New Roman;Times;Serif"/>
          <w:b w:val="false"/>
          <w:i w:val="false"/>
          <w:caps w:val="false"/>
          <w:smallCaps w:val="false"/>
          <w:sz w:val="20"/>
        </w:rPr>
        <w:t>EACH OF THE COMPANY AND THE TRUSTEE IRREVOCABLY WAIVES, TO THE FULLEST EXTENT PERMITTED BY APPLICABLE LAW, ANY AND ALL RIGHT TO TRIAL BY JURY IN ANY LEGAL PROCEEDING ARISING OUT OF OR RELATING TO THIS INDENTURE, THE SECURITIES OR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10.17.</w:t>
        <w:tab/>
      </w:r>
      <w:r>
        <w:rPr>
          <w:rFonts w:ascii="Times New Roman;Times;Serif" w:hAnsi="Times New Roman;Times;Serif"/>
          <w:b w:val="false"/>
          <w:i/>
          <w:caps w:val="false"/>
          <w:smallCaps w:val="false"/>
          <w:sz w:val="20"/>
        </w:rPr>
        <w:t>Force Majeure.  </w:t>
      </w:r>
      <w:r>
        <w:rPr>
          <w:rFonts w:ascii="Times New Roman;Times;Serif" w:hAnsi="Times New Roman;Times;Serif"/>
          <w:b w:val="false"/>
          <w:i w:val="false"/>
          <w:caps w:val="false"/>
          <w:smallCaps w:val="false"/>
          <w:sz w:val="20"/>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Indenture to be duly executed, all as of the date first written above.</w:t>
      </w:r>
    </w:p>
    <w:p>
      <w:pPr>
        <w:pStyle w:val="TextBody"/>
        <w:bidi w:val="0"/>
        <w:spacing w:before="0" w:after="0"/>
        <w:ind w:left="0" w:right="0" w:firstLine="720"/>
        <w:jc w:val="left"/>
        <w:rPr>
          <w:caps w:val="false"/>
          <w:smallCaps w:val="false"/>
        </w:rPr>
      </w:pPr>
      <w:r>
        <w:rPr>
          <w:caps w:val="false"/>
          <w:smallCaps w:val="false"/>
        </w:rPr>
        <w:t> </w:t>
      </w:r>
    </w:p>
    <w:tbl>
      <w:tblPr>
        <w:tblW w:w="4774" w:type="dxa"/>
        <w:jc w:val="left"/>
        <w:tblInd w:w="0" w:type="dxa"/>
        <w:tblLayout w:type="fixed"/>
        <w:tblCellMar>
          <w:top w:w="0" w:type="dxa"/>
          <w:left w:w="0" w:type="dxa"/>
          <w:bottom w:w="0" w:type="dxa"/>
          <w:right w:w="0" w:type="dxa"/>
        </w:tblCellMar>
      </w:tblPr>
      <w:tblGrid>
        <w:gridCol w:w="75"/>
        <w:gridCol w:w="1475"/>
        <w:gridCol w:w="2858"/>
        <w:gridCol w:w="366"/>
      </w:tblGrid>
      <w:tr>
        <w:trPr/>
        <w:tc>
          <w:tcPr>
            <w:tcW w:w="75" w:type="dxa"/>
            <w:tcBorders/>
            <w:vAlign w:val="center"/>
          </w:tcPr>
          <w:p>
            <w:pPr>
              <w:pStyle w:val="TableContents"/>
              <w:bidi w:val="0"/>
              <w:spacing w:before="0" w:after="283"/>
              <w:jc w:val="left"/>
              <w:rPr/>
            </w:pPr>
            <w:r>
              <w:rPr/>
              <w:t> </w:t>
            </w:r>
          </w:p>
        </w:tc>
        <w:tc>
          <w:tcPr>
            <w:tcW w:w="4699" w:type="dxa"/>
            <w:gridSpan w:val="3"/>
            <w:tcBorders/>
            <w:vAlign w:val="center"/>
          </w:tcPr>
          <w:p>
            <w:pPr>
              <w:pStyle w:val="TableContents"/>
              <w:bidi w:val="0"/>
              <w:spacing w:before="0" w:after="283"/>
              <w:jc w:val="left"/>
              <w:rPr/>
            </w:pPr>
            <w:r>
              <w:rPr/>
              <w:t>FIGURE TECHNOLOGY SOLUTIONS, INC.</w:t>
            </w:r>
          </w:p>
        </w:tc>
      </w:tr>
      <w:tr>
        <w:trPr/>
        <w:tc>
          <w:tcPr>
            <w:tcW w:w="75" w:type="dxa"/>
            <w:tcBorders/>
            <w:vAlign w:val="center"/>
          </w:tcPr>
          <w:p>
            <w:pPr>
              <w:pStyle w:val="TableContents"/>
              <w:bidi w:val="0"/>
              <w:spacing w:before="0" w:after="283"/>
              <w:jc w:val="left"/>
              <w:rPr/>
            </w:pPr>
            <w:r>
              <w:rPr/>
              <w:t> </w:t>
            </w:r>
          </w:p>
        </w:tc>
        <w:tc>
          <w:tcPr>
            <w:tcW w:w="4699" w:type="dxa"/>
            <w:gridSpan w:val="3"/>
            <w:tcBorders/>
            <w:vAlign w:val="center"/>
          </w:tcPr>
          <w:p>
            <w:pPr>
              <w:pStyle w:val="TableContents"/>
              <w:bidi w:val="0"/>
              <w:spacing w:before="0" w:after="283"/>
              <w:jc w:val="left"/>
              <w:rPr/>
            </w:pPr>
            <w:r>
              <w:rPr/>
              <w:t>as the Company</w:t>
            </w:r>
          </w:p>
        </w:tc>
      </w:tr>
      <w:tr>
        <w:trPr/>
        <w:tc>
          <w:tcPr>
            <w:tcW w:w="75" w:type="dxa"/>
            <w:tcBorders/>
            <w:vAlign w:val="center"/>
          </w:tcPr>
          <w:p>
            <w:pPr>
              <w:pStyle w:val="TableContents"/>
              <w:bidi w:val="0"/>
              <w:spacing w:before="0" w:after="283"/>
              <w:jc w:val="left"/>
              <w:rPr/>
            </w:pPr>
            <w:r>
              <w:rPr/>
              <w:t> </w:t>
            </w:r>
          </w:p>
        </w:tc>
        <w:tc>
          <w:tcPr>
            <w:tcW w:w="469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By:</w:t>
            </w:r>
          </w:p>
        </w:tc>
        <w:tc>
          <w:tcPr>
            <w:tcW w:w="3224"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 </w:t>
            </w:r>
          </w:p>
        </w:tc>
        <w:tc>
          <w:tcPr>
            <w:tcW w:w="2858" w:type="dxa"/>
            <w:tcBorders/>
            <w:vAlign w:val="center"/>
          </w:tcPr>
          <w:p>
            <w:pPr>
              <w:pStyle w:val="TableContents"/>
              <w:bidi w:val="0"/>
              <w:spacing w:before="0" w:after="283"/>
              <w:jc w:val="left"/>
              <w:rPr/>
            </w:pPr>
            <w:r>
              <w:rPr/>
              <w:t>Name:</w:t>
            </w:r>
          </w:p>
        </w:tc>
        <w:tc>
          <w:tcPr>
            <w:tcW w:w="36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 </w:t>
            </w:r>
          </w:p>
        </w:tc>
        <w:tc>
          <w:tcPr>
            <w:tcW w:w="2858" w:type="dxa"/>
            <w:tcBorders/>
            <w:vAlign w:val="center"/>
          </w:tcPr>
          <w:p>
            <w:pPr>
              <w:pStyle w:val="TableContents"/>
              <w:bidi w:val="0"/>
              <w:spacing w:before="0" w:after="283"/>
              <w:jc w:val="left"/>
              <w:rPr/>
            </w:pPr>
            <w:r>
              <w:rPr/>
              <w:t>Title:</w:t>
            </w:r>
          </w:p>
        </w:tc>
        <w:tc>
          <w:tcPr>
            <w:tcW w:w="36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9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9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99" w:type="dxa"/>
            <w:gridSpan w:val="3"/>
            <w:tcBorders/>
            <w:vAlign w:val="center"/>
          </w:tcPr>
          <w:p>
            <w:pPr>
              <w:pStyle w:val="TableContents"/>
              <w:bidi w:val="0"/>
              <w:spacing w:before="0" w:after="283"/>
              <w:jc w:val="left"/>
              <w:rPr/>
            </w:pPr>
            <w:r>
              <w:rPr/>
              <w:t>as Trustee</w:t>
            </w:r>
          </w:p>
        </w:tc>
      </w:tr>
      <w:tr>
        <w:trPr/>
        <w:tc>
          <w:tcPr>
            <w:tcW w:w="75" w:type="dxa"/>
            <w:tcBorders/>
            <w:vAlign w:val="center"/>
          </w:tcPr>
          <w:p>
            <w:pPr>
              <w:pStyle w:val="TableContents"/>
              <w:bidi w:val="0"/>
              <w:spacing w:before="0" w:after="283"/>
              <w:jc w:val="left"/>
              <w:rPr/>
            </w:pPr>
            <w:r>
              <w:rPr/>
              <w:t> </w:t>
            </w:r>
          </w:p>
        </w:tc>
        <w:tc>
          <w:tcPr>
            <w:tcW w:w="469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By:</w:t>
            </w:r>
          </w:p>
        </w:tc>
        <w:tc>
          <w:tcPr>
            <w:tcW w:w="3224"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 </w:t>
            </w:r>
          </w:p>
        </w:tc>
        <w:tc>
          <w:tcPr>
            <w:tcW w:w="2858" w:type="dxa"/>
            <w:tcBorders/>
            <w:vAlign w:val="center"/>
          </w:tcPr>
          <w:p>
            <w:pPr>
              <w:pStyle w:val="TableContents"/>
              <w:bidi w:val="0"/>
              <w:spacing w:before="0" w:after="283"/>
              <w:jc w:val="left"/>
              <w:rPr/>
            </w:pPr>
            <w:r>
              <w:rPr/>
              <w:t>Name:</w:t>
            </w:r>
          </w:p>
        </w:tc>
        <w:tc>
          <w:tcPr>
            <w:tcW w:w="36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 </w:t>
            </w:r>
          </w:p>
        </w:tc>
        <w:tc>
          <w:tcPr>
            <w:tcW w:w="2858" w:type="dxa"/>
            <w:tcBorders/>
            <w:vAlign w:val="center"/>
          </w:tcPr>
          <w:p>
            <w:pPr>
              <w:pStyle w:val="TableContents"/>
              <w:bidi w:val="0"/>
              <w:spacing w:before="0" w:after="283"/>
              <w:jc w:val="left"/>
              <w:rPr/>
            </w:pPr>
            <w:r>
              <w:rPr/>
              <w:t>Title:</w:t>
            </w:r>
          </w:p>
        </w:tc>
        <w:tc>
          <w:tcPr>
            <w:tcW w:w="366"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52</w:t>
      </w:r>
    </w:p>
    <w:p>
      <w:pPr>
        <w:pStyle w:val="TextBody"/>
        <w:bidi w:val="0"/>
        <w:spacing w:before="0" w:after="0"/>
        <w:ind w:left="0" w:right="0" w:hanging="0"/>
        <w:jc w:val="right"/>
        <w:rPr>
          <w:caps w:val="false"/>
          <w:smallCaps w:val="false"/>
        </w:rPr>
      </w:pPr>
      <w:bookmarkStart w:id="19" w:name="dp254272_ex4d.htm"/>
      <w:bookmarkStart w:id="20" w:name="ksdp254272_ex4d"/>
      <w:bookmarkEnd w:id="19"/>
      <w:bookmarkEnd w:id="20"/>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Exhibit 4-d </w:t>
      </w:r>
    </w:p>
    <w:p>
      <w:pPr>
        <w:pStyle w:val="TextBody"/>
        <w:bidi w:val="0"/>
        <w:ind w:left="0" w:right="0" w:hanging="0"/>
        <w:jc w:val="left"/>
        <w:rPr/>
      </w:pPr>
      <w:r>
        <w:rPr/>
        <w:t> </w:t>
      </w:r>
    </w:p>
    <w:p>
      <w:pPr>
        <w:pStyle w:val="TextBody"/>
        <w:bidi w:val="0"/>
        <w:jc w:val="left"/>
        <w:rPr>
          <w:bdr w:val="single" w:sz="24" w:space="1" w:color="000000"/>
        </w:rPr>
      </w:pPr>
      <w:r>
        <w:rPr>
          <w:bdr w:val="single" w:sz="24"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FIGURE TECHNOLOGY SOLUTIONS,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as 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as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jc w:val="center"/>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Subordinated 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Dated as of               ,  20</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60" w:after="60"/>
        <w:jc w:val="center"/>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val="false"/>
          <w:i w:val="false"/>
          <w:smallCaps/>
          <w:sz w:val="20"/>
          <w:u w:val="single"/>
        </w:rPr>
      </w:pPr>
      <w:r>
        <w:rPr>
          <w:rFonts w:ascii="Times New Roman;Times;Serif" w:hAnsi="Times New Roman;Times;Serif"/>
          <w:b w:val="false"/>
          <w:i w:val="false"/>
          <w:smallCaps/>
          <w:sz w:val="20"/>
          <w:u w:val="single"/>
        </w:rPr>
        <w:t>Page</w:t>
      </w:r>
    </w:p>
    <w:p>
      <w:pPr>
        <w:pStyle w:val="TextBody"/>
        <w:bidi w:val="0"/>
        <w:spacing w:before="0" w:after="0"/>
        <w:ind w:left="0" w:right="0" w:hanging="0"/>
        <w:jc w:val="right"/>
        <w:rPr>
          <w:caps w:val="false"/>
          <w:smallCaps w:val="false"/>
        </w:rPr>
      </w:pPr>
      <w:r>
        <w:rPr>
          <w:caps w:val="false"/>
          <w:smallCaps w:val="false"/>
        </w:rPr>
        <w:t> </w:t>
      </w:r>
    </w:p>
    <w:tbl>
      <w:tblPr>
        <w:tblW w:w="8860" w:type="dxa"/>
        <w:jc w:val="left"/>
        <w:tblInd w:w="0" w:type="dxa"/>
        <w:tblLayout w:type="fixed"/>
        <w:tblCellMar>
          <w:top w:w="0" w:type="dxa"/>
          <w:left w:w="0" w:type="dxa"/>
          <w:bottom w:w="0" w:type="dxa"/>
          <w:right w:w="0" w:type="dxa"/>
        </w:tblCellMar>
      </w:tblPr>
      <w:tblGrid>
        <w:gridCol w:w="8585"/>
        <w:gridCol w:w="275"/>
      </w:tblGrid>
      <w:tr>
        <w:trPr/>
        <w:tc>
          <w:tcPr>
            <w:tcW w:w="8860" w:type="dxa"/>
            <w:gridSpan w:val="2"/>
            <w:tcBorders/>
            <w:vAlign w:val="center"/>
          </w:tcPr>
          <w:p>
            <w:pPr>
              <w:pStyle w:val="TableContents"/>
              <w:bidi w:val="0"/>
              <w:spacing w:before="0" w:after="283"/>
              <w:ind w:left="0" w:right="0" w:hanging="720"/>
              <w:jc w:val="center"/>
              <w:rPr/>
            </w:pPr>
            <w:r>
              <w:rPr/>
              <w:t xml:space="preserve">Article 1 </w:t>
              <w:br/>
              <w:t>DEFINITIONS AND INCORPORATION BY REFERENCE</w:t>
            </w:r>
          </w:p>
        </w:tc>
      </w:tr>
      <w:tr>
        <w:trPr/>
        <w:tc>
          <w:tcPr>
            <w:tcW w:w="8585" w:type="dxa"/>
            <w:tcBorders/>
            <w:vAlign w:val="center"/>
          </w:tcPr>
          <w:p>
            <w:pPr>
              <w:pStyle w:val="TableContents"/>
              <w:bidi w:val="0"/>
              <w:spacing w:before="0" w:after="283"/>
              <w:jc w:val="left"/>
              <w:rPr/>
            </w:pPr>
            <w:r>
              <w:rPr/>
              <w:t>Section 1.01.  </w:t>
            </w:r>
            <w:r>
              <w:rPr>
                <w:i/>
              </w:rPr>
              <w:t>Definitions</w:t>
            </w:r>
          </w:p>
        </w:tc>
        <w:tc>
          <w:tcPr>
            <w:tcW w:w="275" w:type="dxa"/>
            <w:tcBorders/>
            <w:vAlign w:val="center"/>
          </w:tcPr>
          <w:p>
            <w:pPr>
              <w:pStyle w:val="TableContents"/>
              <w:bidi w:val="0"/>
              <w:spacing w:before="0" w:after="283"/>
              <w:ind w:left="0" w:right="0" w:hanging="720"/>
              <w:jc w:val="right"/>
              <w:rPr/>
            </w:pPr>
            <w:r>
              <w:rPr/>
              <w:t>1</w:t>
            </w:r>
          </w:p>
        </w:tc>
      </w:tr>
      <w:tr>
        <w:trPr/>
        <w:tc>
          <w:tcPr>
            <w:tcW w:w="8585" w:type="dxa"/>
            <w:tcBorders/>
            <w:vAlign w:val="center"/>
          </w:tcPr>
          <w:p>
            <w:pPr>
              <w:pStyle w:val="TableContents"/>
              <w:bidi w:val="0"/>
              <w:spacing w:before="0" w:after="283"/>
              <w:jc w:val="left"/>
              <w:rPr/>
            </w:pPr>
            <w:r>
              <w:rPr/>
              <w:t>Section 1.02.  </w:t>
            </w:r>
            <w:r>
              <w:rPr>
                <w:i/>
              </w:rPr>
              <w:t>Other Definitions</w:t>
            </w:r>
          </w:p>
        </w:tc>
        <w:tc>
          <w:tcPr>
            <w:tcW w:w="275" w:type="dxa"/>
            <w:tcBorders/>
            <w:vAlign w:val="center"/>
          </w:tcPr>
          <w:p>
            <w:pPr>
              <w:pStyle w:val="TableContents"/>
              <w:bidi w:val="0"/>
              <w:spacing w:before="0" w:after="283"/>
              <w:ind w:left="0" w:right="0" w:hanging="720"/>
              <w:jc w:val="right"/>
              <w:rPr/>
            </w:pPr>
            <w:r>
              <w:rPr/>
              <w:t>5</w:t>
            </w:r>
          </w:p>
        </w:tc>
      </w:tr>
      <w:tr>
        <w:trPr/>
        <w:tc>
          <w:tcPr>
            <w:tcW w:w="8585" w:type="dxa"/>
            <w:tcBorders/>
            <w:vAlign w:val="center"/>
          </w:tcPr>
          <w:p>
            <w:pPr>
              <w:pStyle w:val="TableContents"/>
              <w:bidi w:val="0"/>
              <w:spacing w:before="0" w:after="283"/>
              <w:jc w:val="left"/>
              <w:rPr/>
            </w:pPr>
            <w:r>
              <w:rPr/>
              <w:t>Section 1.03.  </w:t>
            </w:r>
            <w:r>
              <w:rPr>
                <w:i/>
              </w:rPr>
              <w:t>Incorporation by Reference of Trust Indenture Act</w:t>
            </w:r>
          </w:p>
        </w:tc>
        <w:tc>
          <w:tcPr>
            <w:tcW w:w="275" w:type="dxa"/>
            <w:tcBorders/>
            <w:vAlign w:val="center"/>
          </w:tcPr>
          <w:p>
            <w:pPr>
              <w:pStyle w:val="TableContents"/>
              <w:bidi w:val="0"/>
              <w:spacing w:before="0" w:after="283"/>
              <w:ind w:left="0" w:right="0" w:hanging="720"/>
              <w:jc w:val="right"/>
              <w:rPr/>
            </w:pPr>
            <w:r>
              <w:rPr/>
              <w:t>6</w:t>
            </w:r>
          </w:p>
        </w:tc>
      </w:tr>
      <w:tr>
        <w:trPr/>
        <w:tc>
          <w:tcPr>
            <w:tcW w:w="8585" w:type="dxa"/>
            <w:tcBorders/>
            <w:vAlign w:val="center"/>
          </w:tcPr>
          <w:p>
            <w:pPr>
              <w:pStyle w:val="TableContents"/>
              <w:bidi w:val="0"/>
              <w:spacing w:before="0" w:after="283"/>
              <w:jc w:val="left"/>
              <w:rPr/>
            </w:pPr>
            <w:r>
              <w:rPr/>
              <w:t>Section 1.04.  </w:t>
            </w:r>
            <w:r>
              <w:rPr>
                <w:i/>
              </w:rPr>
              <w:t>Rules of Construction</w:t>
            </w:r>
          </w:p>
        </w:tc>
        <w:tc>
          <w:tcPr>
            <w:tcW w:w="275" w:type="dxa"/>
            <w:tcBorders/>
            <w:vAlign w:val="center"/>
          </w:tcPr>
          <w:p>
            <w:pPr>
              <w:pStyle w:val="TableContents"/>
              <w:bidi w:val="0"/>
              <w:spacing w:before="0" w:after="283"/>
              <w:jc w:val="right"/>
              <w:rPr/>
            </w:pPr>
            <w:r>
              <w:rPr/>
              <w:t>6</w:t>
            </w:r>
          </w:p>
        </w:tc>
      </w:tr>
      <w:tr>
        <w:trPr/>
        <w:tc>
          <w:tcPr>
            <w:tcW w:w="8860" w:type="dxa"/>
            <w:gridSpan w:val="2"/>
            <w:tcBorders/>
            <w:vAlign w:val="center"/>
          </w:tcPr>
          <w:p>
            <w:pPr>
              <w:pStyle w:val="TableContents"/>
              <w:bidi w:val="0"/>
              <w:spacing w:before="0" w:after="283"/>
              <w:ind w:left="0" w:right="0" w:hanging="720"/>
              <w:jc w:val="center"/>
              <w:rPr/>
            </w:pPr>
            <w:r>
              <w:rPr/>
              <w:t xml:space="preserve">Article 2 </w:t>
              <w:br/>
              <w:t>THE SECURITIES</w:t>
            </w:r>
          </w:p>
        </w:tc>
      </w:tr>
      <w:tr>
        <w:trPr/>
        <w:tc>
          <w:tcPr>
            <w:tcW w:w="8585" w:type="dxa"/>
            <w:tcBorders/>
            <w:vAlign w:val="center"/>
          </w:tcPr>
          <w:p>
            <w:pPr>
              <w:pStyle w:val="TableContents"/>
              <w:bidi w:val="0"/>
              <w:spacing w:before="0" w:after="283"/>
              <w:jc w:val="left"/>
              <w:rPr/>
            </w:pPr>
            <w:r>
              <w:rPr/>
              <w:t>Section 2.01.  </w:t>
            </w:r>
            <w:r>
              <w:rPr>
                <w:i/>
              </w:rPr>
              <w:t>Form and Dating</w:t>
            </w:r>
          </w:p>
        </w:tc>
        <w:tc>
          <w:tcPr>
            <w:tcW w:w="275" w:type="dxa"/>
            <w:tcBorders/>
            <w:vAlign w:val="center"/>
          </w:tcPr>
          <w:p>
            <w:pPr>
              <w:pStyle w:val="TableContents"/>
              <w:bidi w:val="0"/>
              <w:spacing w:before="0" w:after="283"/>
              <w:ind w:left="0" w:right="0" w:hanging="720"/>
              <w:jc w:val="right"/>
              <w:rPr/>
            </w:pPr>
            <w:r>
              <w:rPr/>
              <w:t>6</w:t>
            </w:r>
          </w:p>
        </w:tc>
      </w:tr>
      <w:tr>
        <w:trPr/>
        <w:tc>
          <w:tcPr>
            <w:tcW w:w="8585" w:type="dxa"/>
            <w:tcBorders/>
            <w:vAlign w:val="center"/>
          </w:tcPr>
          <w:p>
            <w:pPr>
              <w:pStyle w:val="TableContents"/>
              <w:bidi w:val="0"/>
              <w:spacing w:before="0" w:after="283"/>
              <w:jc w:val="left"/>
              <w:rPr/>
            </w:pPr>
            <w:r>
              <w:rPr/>
              <w:t>Section 2.02.  </w:t>
            </w:r>
            <w:r>
              <w:rPr>
                <w:i/>
              </w:rPr>
              <w:t>Execution And Authentication</w:t>
            </w:r>
          </w:p>
        </w:tc>
        <w:tc>
          <w:tcPr>
            <w:tcW w:w="275" w:type="dxa"/>
            <w:tcBorders/>
            <w:vAlign w:val="center"/>
          </w:tcPr>
          <w:p>
            <w:pPr>
              <w:pStyle w:val="TableContents"/>
              <w:bidi w:val="0"/>
              <w:spacing w:before="0" w:after="283"/>
              <w:ind w:left="0" w:right="0" w:hanging="720"/>
              <w:jc w:val="right"/>
              <w:rPr/>
            </w:pPr>
            <w:r>
              <w:rPr/>
              <w:t>7</w:t>
            </w:r>
          </w:p>
        </w:tc>
      </w:tr>
      <w:tr>
        <w:trPr/>
        <w:tc>
          <w:tcPr>
            <w:tcW w:w="8585" w:type="dxa"/>
            <w:tcBorders/>
            <w:vAlign w:val="center"/>
          </w:tcPr>
          <w:p>
            <w:pPr>
              <w:pStyle w:val="TableContents"/>
              <w:bidi w:val="0"/>
              <w:spacing w:before="0" w:after="283"/>
              <w:jc w:val="left"/>
              <w:rPr/>
            </w:pPr>
            <w:r>
              <w:rPr/>
              <w:t>Section 2.03.  </w:t>
            </w:r>
            <w:r>
              <w:rPr>
                <w:i/>
              </w:rPr>
              <w:t>Amount Unlimited; Issuable in Series</w:t>
            </w:r>
          </w:p>
        </w:tc>
        <w:tc>
          <w:tcPr>
            <w:tcW w:w="275" w:type="dxa"/>
            <w:tcBorders/>
            <w:vAlign w:val="center"/>
          </w:tcPr>
          <w:p>
            <w:pPr>
              <w:pStyle w:val="TableContents"/>
              <w:bidi w:val="0"/>
              <w:spacing w:before="0" w:after="283"/>
              <w:ind w:left="0" w:right="0" w:hanging="720"/>
              <w:jc w:val="right"/>
              <w:rPr/>
            </w:pPr>
            <w:r>
              <w:rPr/>
              <w:t>8</w:t>
            </w:r>
          </w:p>
        </w:tc>
      </w:tr>
      <w:tr>
        <w:trPr/>
        <w:tc>
          <w:tcPr>
            <w:tcW w:w="8585" w:type="dxa"/>
            <w:tcBorders/>
            <w:vAlign w:val="center"/>
          </w:tcPr>
          <w:p>
            <w:pPr>
              <w:pStyle w:val="TableContents"/>
              <w:bidi w:val="0"/>
              <w:spacing w:before="0" w:after="283"/>
              <w:jc w:val="left"/>
              <w:rPr/>
            </w:pPr>
            <w:r>
              <w:rPr/>
              <w:t>Section 2.04.  </w:t>
            </w:r>
            <w:r>
              <w:rPr>
                <w:i/>
              </w:rPr>
              <w:t>Denomination and Date of Securities; Payments of Interest</w:t>
            </w:r>
          </w:p>
        </w:tc>
        <w:tc>
          <w:tcPr>
            <w:tcW w:w="275" w:type="dxa"/>
            <w:tcBorders/>
            <w:vAlign w:val="center"/>
          </w:tcPr>
          <w:p>
            <w:pPr>
              <w:pStyle w:val="TableContents"/>
              <w:bidi w:val="0"/>
              <w:spacing w:before="0" w:after="283"/>
              <w:ind w:left="0" w:right="0" w:hanging="720"/>
              <w:jc w:val="right"/>
              <w:rPr/>
            </w:pPr>
            <w:r>
              <w:rPr/>
              <w:t>11</w:t>
            </w:r>
          </w:p>
        </w:tc>
      </w:tr>
      <w:tr>
        <w:trPr/>
        <w:tc>
          <w:tcPr>
            <w:tcW w:w="8585" w:type="dxa"/>
            <w:tcBorders/>
            <w:vAlign w:val="center"/>
          </w:tcPr>
          <w:p>
            <w:pPr>
              <w:pStyle w:val="TableContents"/>
              <w:bidi w:val="0"/>
              <w:spacing w:before="0" w:after="283"/>
              <w:jc w:val="left"/>
              <w:rPr/>
            </w:pPr>
            <w:r>
              <w:rPr/>
              <w:t>Section 2.05.  </w:t>
            </w:r>
            <w:r>
              <w:rPr>
                <w:i/>
              </w:rPr>
              <w:t>Registrar and Paying Agent; Agents Generally</w:t>
            </w:r>
          </w:p>
        </w:tc>
        <w:tc>
          <w:tcPr>
            <w:tcW w:w="275" w:type="dxa"/>
            <w:tcBorders/>
            <w:vAlign w:val="center"/>
          </w:tcPr>
          <w:p>
            <w:pPr>
              <w:pStyle w:val="TableContents"/>
              <w:bidi w:val="0"/>
              <w:spacing w:before="0" w:after="283"/>
              <w:ind w:left="0" w:right="0" w:hanging="720"/>
              <w:jc w:val="right"/>
              <w:rPr/>
            </w:pPr>
            <w:r>
              <w:rPr/>
              <w:t>11</w:t>
            </w:r>
          </w:p>
        </w:tc>
      </w:tr>
      <w:tr>
        <w:trPr/>
        <w:tc>
          <w:tcPr>
            <w:tcW w:w="8585" w:type="dxa"/>
            <w:tcBorders/>
            <w:vAlign w:val="center"/>
          </w:tcPr>
          <w:p>
            <w:pPr>
              <w:pStyle w:val="TableContents"/>
              <w:bidi w:val="0"/>
              <w:spacing w:before="0" w:after="283"/>
              <w:jc w:val="left"/>
              <w:rPr/>
            </w:pPr>
            <w:r>
              <w:rPr/>
              <w:t>Section 2.06.  </w:t>
            </w:r>
            <w:r>
              <w:rPr>
                <w:i/>
              </w:rPr>
              <w:t>Paying Agent to Hold Money in Trust</w:t>
            </w:r>
          </w:p>
        </w:tc>
        <w:tc>
          <w:tcPr>
            <w:tcW w:w="275" w:type="dxa"/>
            <w:tcBorders/>
            <w:vAlign w:val="center"/>
          </w:tcPr>
          <w:p>
            <w:pPr>
              <w:pStyle w:val="TableContents"/>
              <w:bidi w:val="0"/>
              <w:spacing w:before="0" w:after="283"/>
              <w:ind w:left="0" w:right="0" w:hanging="720"/>
              <w:jc w:val="right"/>
              <w:rPr/>
            </w:pPr>
            <w:r>
              <w:rPr/>
              <w:t>12</w:t>
            </w:r>
          </w:p>
        </w:tc>
      </w:tr>
      <w:tr>
        <w:trPr/>
        <w:tc>
          <w:tcPr>
            <w:tcW w:w="8585" w:type="dxa"/>
            <w:tcBorders/>
            <w:vAlign w:val="center"/>
          </w:tcPr>
          <w:p>
            <w:pPr>
              <w:pStyle w:val="TableContents"/>
              <w:bidi w:val="0"/>
              <w:spacing w:before="0" w:after="283"/>
              <w:jc w:val="left"/>
              <w:rPr/>
            </w:pPr>
            <w:r>
              <w:rPr/>
              <w:t>Section 2.07.  </w:t>
            </w:r>
            <w:r>
              <w:rPr>
                <w:i/>
              </w:rPr>
              <w:t>Transfer and Exchange</w:t>
            </w:r>
          </w:p>
        </w:tc>
        <w:tc>
          <w:tcPr>
            <w:tcW w:w="275" w:type="dxa"/>
            <w:tcBorders/>
            <w:vAlign w:val="center"/>
          </w:tcPr>
          <w:p>
            <w:pPr>
              <w:pStyle w:val="TableContents"/>
              <w:bidi w:val="0"/>
              <w:spacing w:before="0" w:after="283"/>
              <w:ind w:left="0" w:right="0" w:hanging="720"/>
              <w:jc w:val="right"/>
              <w:rPr/>
            </w:pPr>
            <w:r>
              <w:rPr/>
              <w:t>13</w:t>
            </w:r>
          </w:p>
        </w:tc>
      </w:tr>
      <w:tr>
        <w:trPr/>
        <w:tc>
          <w:tcPr>
            <w:tcW w:w="8585" w:type="dxa"/>
            <w:tcBorders/>
            <w:vAlign w:val="center"/>
          </w:tcPr>
          <w:p>
            <w:pPr>
              <w:pStyle w:val="TableContents"/>
              <w:bidi w:val="0"/>
              <w:spacing w:before="0" w:after="283"/>
              <w:jc w:val="left"/>
              <w:rPr/>
            </w:pPr>
            <w:r>
              <w:rPr/>
              <w:t>Section 2.08.  </w:t>
            </w:r>
            <w:r>
              <w:rPr>
                <w:i/>
              </w:rPr>
              <w:t>Replacement Securities</w:t>
            </w:r>
          </w:p>
        </w:tc>
        <w:tc>
          <w:tcPr>
            <w:tcW w:w="275" w:type="dxa"/>
            <w:tcBorders/>
            <w:vAlign w:val="center"/>
          </w:tcPr>
          <w:p>
            <w:pPr>
              <w:pStyle w:val="TableContents"/>
              <w:bidi w:val="0"/>
              <w:spacing w:before="0" w:after="283"/>
              <w:ind w:left="0" w:right="0" w:hanging="720"/>
              <w:jc w:val="right"/>
              <w:rPr/>
            </w:pPr>
            <w:r>
              <w:rPr/>
              <w:t>15</w:t>
            </w:r>
          </w:p>
        </w:tc>
      </w:tr>
      <w:tr>
        <w:trPr/>
        <w:tc>
          <w:tcPr>
            <w:tcW w:w="8585" w:type="dxa"/>
            <w:tcBorders/>
            <w:vAlign w:val="center"/>
          </w:tcPr>
          <w:p>
            <w:pPr>
              <w:pStyle w:val="TableContents"/>
              <w:bidi w:val="0"/>
              <w:spacing w:before="0" w:after="283"/>
              <w:jc w:val="left"/>
              <w:rPr/>
            </w:pPr>
            <w:r>
              <w:rPr/>
              <w:t>Section 2.09.  </w:t>
            </w:r>
            <w:r>
              <w:rPr>
                <w:i/>
              </w:rPr>
              <w:t>Outstanding Securities</w:t>
            </w:r>
          </w:p>
        </w:tc>
        <w:tc>
          <w:tcPr>
            <w:tcW w:w="275" w:type="dxa"/>
            <w:tcBorders/>
            <w:vAlign w:val="center"/>
          </w:tcPr>
          <w:p>
            <w:pPr>
              <w:pStyle w:val="TableContents"/>
              <w:bidi w:val="0"/>
              <w:spacing w:before="0" w:after="283"/>
              <w:ind w:left="0" w:right="0" w:hanging="720"/>
              <w:jc w:val="right"/>
              <w:rPr/>
            </w:pPr>
            <w:r>
              <w:rPr/>
              <w:t>16</w:t>
            </w:r>
          </w:p>
        </w:tc>
      </w:tr>
      <w:tr>
        <w:trPr/>
        <w:tc>
          <w:tcPr>
            <w:tcW w:w="8585" w:type="dxa"/>
            <w:tcBorders/>
            <w:vAlign w:val="center"/>
          </w:tcPr>
          <w:p>
            <w:pPr>
              <w:pStyle w:val="TableContents"/>
              <w:bidi w:val="0"/>
              <w:spacing w:before="0" w:after="283"/>
              <w:jc w:val="left"/>
              <w:rPr/>
            </w:pPr>
            <w:r>
              <w:rPr/>
              <w:t>Section 2.10.  </w:t>
            </w:r>
            <w:r>
              <w:rPr>
                <w:i/>
              </w:rPr>
              <w:t>Temporary Securities</w:t>
            </w:r>
          </w:p>
        </w:tc>
        <w:tc>
          <w:tcPr>
            <w:tcW w:w="275" w:type="dxa"/>
            <w:tcBorders/>
            <w:vAlign w:val="center"/>
          </w:tcPr>
          <w:p>
            <w:pPr>
              <w:pStyle w:val="TableContents"/>
              <w:bidi w:val="0"/>
              <w:spacing w:before="0" w:after="283"/>
              <w:ind w:left="0" w:right="0" w:hanging="720"/>
              <w:jc w:val="right"/>
              <w:rPr/>
            </w:pPr>
            <w:r>
              <w:rPr/>
              <w:t>16</w:t>
            </w:r>
          </w:p>
        </w:tc>
      </w:tr>
      <w:tr>
        <w:trPr/>
        <w:tc>
          <w:tcPr>
            <w:tcW w:w="8585" w:type="dxa"/>
            <w:tcBorders/>
            <w:vAlign w:val="center"/>
          </w:tcPr>
          <w:p>
            <w:pPr>
              <w:pStyle w:val="TableContents"/>
              <w:bidi w:val="0"/>
              <w:spacing w:before="0" w:after="283"/>
              <w:jc w:val="left"/>
              <w:rPr/>
            </w:pPr>
            <w:r>
              <w:rPr/>
              <w:t>Section 2.11.  </w:t>
            </w:r>
            <w:r>
              <w:rPr>
                <w:i/>
              </w:rPr>
              <w:t>Cancellation</w:t>
            </w:r>
          </w:p>
        </w:tc>
        <w:tc>
          <w:tcPr>
            <w:tcW w:w="275" w:type="dxa"/>
            <w:tcBorders/>
            <w:vAlign w:val="center"/>
          </w:tcPr>
          <w:p>
            <w:pPr>
              <w:pStyle w:val="TableContents"/>
              <w:bidi w:val="0"/>
              <w:spacing w:before="0" w:after="283"/>
              <w:ind w:left="0" w:right="0" w:hanging="720"/>
              <w:jc w:val="right"/>
              <w:rPr/>
            </w:pPr>
            <w:r>
              <w:rPr/>
              <w:t>17</w:t>
            </w:r>
          </w:p>
        </w:tc>
      </w:tr>
      <w:tr>
        <w:trPr/>
        <w:tc>
          <w:tcPr>
            <w:tcW w:w="8585" w:type="dxa"/>
            <w:tcBorders/>
            <w:vAlign w:val="center"/>
          </w:tcPr>
          <w:p>
            <w:pPr>
              <w:pStyle w:val="TableContents"/>
              <w:bidi w:val="0"/>
              <w:spacing w:before="0" w:after="283"/>
              <w:jc w:val="left"/>
              <w:rPr/>
            </w:pPr>
            <w:r>
              <w:rPr/>
              <w:t>Section 2.12.  </w:t>
            </w:r>
            <w:r>
              <w:rPr>
                <w:i/>
              </w:rPr>
              <w:t>CUSIP Numbers</w:t>
            </w:r>
          </w:p>
        </w:tc>
        <w:tc>
          <w:tcPr>
            <w:tcW w:w="275" w:type="dxa"/>
            <w:tcBorders/>
            <w:vAlign w:val="center"/>
          </w:tcPr>
          <w:p>
            <w:pPr>
              <w:pStyle w:val="TableContents"/>
              <w:bidi w:val="0"/>
              <w:spacing w:before="0" w:after="283"/>
              <w:ind w:left="0" w:right="0" w:hanging="720"/>
              <w:jc w:val="right"/>
              <w:rPr/>
            </w:pPr>
            <w:r>
              <w:rPr/>
              <w:t>17</w:t>
            </w:r>
          </w:p>
        </w:tc>
      </w:tr>
      <w:tr>
        <w:trPr/>
        <w:tc>
          <w:tcPr>
            <w:tcW w:w="8585" w:type="dxa"/>
            <w:tcBorders/>
            <w:vAlign w:val="center"/>
          </w:tcPr>
          <w:p>
            <w:pPr>
              <w:pStyle w:val="TableContents"/>
              <w:bidi w:val="0"/>
              <w:spacing w:before="0" w:after="283"/>
              <w:jc w:val="left"/>
              <w:rPr/>
            </w:pPr>
            <w:r>
              <w:rPr/>
              <w:t>Section 2.13.  </w:t>
            </w:r>
            <w:r>
              <w:rPr>
                <w:i/>
              </w:rPr>
              <w:t>Defaulted Interest</w:t>
            </w:r>
          </w:p>
        </w:tc>
        <w:tc>
          <w:tcPr>
            <w:tcW w:w="275" w:type="dxa"/>
            <w:tcBorders/>
            <w:vAlign w:val="center"/>
          </w:tcPr>
          <w:p>
            <w:pPr>
              <w:pStyle w:val="TableContents"/>
              <w:bidi w:val="0"/>
              <w:spacing w:before="0" w:after="283"/>
              <w:ind w:left="0" w:right="0" w:hanging="720"/>
              <w:jc w:val="right"/>
              <w:rPr/>
            </w:pPr>
            <w:r>
              <w:rPr/>
              <w:t>17</w:t>
            </w:r>
          </w:p>
        </w:tc>
      </w:tr>
      <w:tr>
        <w:trPr/>
        <w:tc>
          <w:tcPr>
            <w:tcW w:w="8585" w:type="dxa"/>
            <w:tcBorders/>
            <w:vAlign w:val="center"/>
          </w:tcPr>
          <w:p>
            <w:pPr>
              <w:pStyle w:val="TableContents"/>
              <w:bidi w:val="0"/>
              <w:spacing w:before="0" w:after="283"/>
              <w:jc w:val="left"/>
              <w:rPr/>
            </w:pPr>
            <w:r>
              <w:rPr/>
              <w:t>Section 2.14.  </w:t>
            </w:r>
            <w:r>
              <w:rPr>
                <w:i/>
              </w:rPr>
              <w:t>Series May Include Tranches</w:t>
            </w:r>
          </w:p>
        </w:tc>
        <w:tc>
          <w:tcPr>
            <w:tcW w:w="275" w:type="dxa"/>
            <w:tcBorders/>
            <w:vAlign w:val="center"/>
          </w:tcPr>
          <w:p>
            <w:pPr>
              <w:pStyle w:val="TableContents"/>
              <w:bidi w:val="0"/>
              <w:spacing w:before="0" w:after="283"/>
              <w:jc w:val="right"/>
              <w:rPr/>
            </w:pPr>
            <w:r>
              <w:rPr/>
              <w:t>17</w:t>
            </w:r>
          </w:p>
        </w:tc>
      </w:tr>
      <w:tr>
        <w:trPr/>
        <w:tc>
          <w:tcPr>
            <w:tcW w:w="8860" w:type="dxa"/>
            <w:gridSpan w:val="2"/>
            <w:tcBorders/>
            <w:vAlign w:val="center"/>
          </w:tcPr>
          <w:p>
            <w:pPr>
              <w:pStyle w:val="TableContents"/>
              <w:bidi w:val="0"/>
              <w:spacing w:before="0" w:after="283"/>
              <w:ind w:left="0" w:right="0" w:hanging="720"/>
              <w:jc w:val="center"/>
              <w:rPr/>
            </w:pPr>
            <w:r>
              <w:rPr/>
              <w:t xml:space="preserve">Article 3 </w:t>
              <w:br/>
              <w:t>REDEMPTION</w:t>
            </w:r>
          </w:p>
        </w:tc>
      </w:tr>
      <w:tr>
        <w:trPr/>
        <w:tc>
          <w:tcPr>
            <w:tcW w:w="8585" w:type="dxa"/>
            <w:tcBorders/>
            <w:vAlign w:val="center"/>
          </w:tcPr>
          <w:p>
            <w:pPr>
              <w:pStyle w:val="TableContents"/>
              <w:bidi w:val="0"/>
              <w:spacing w:before="0" w:after="283"/>
              <w:jc w:val="left"/>
              <w:rPr/>
            </w:pPr>
            <w:r>
              <w:rPr/>
              <w:t>Section 3.01.  </w:t>
            </w:r>
            <w:r>
              <w:rPr>
                <w:i/>
              </w:rPr>
              <w:t>Applicability of Article</w:t>
            </w:r>
          </w:p>
        </w:tc>
        <w:tc>
          <w:tcPr>
            <w:tcW w:w="275" w:type="dxa"/>
            <w:tcBorders/>
            <w:vAlign w:val="center"/>
          </w:tcPr>
          <w:p>
            <w:pPr>
              <w:pStyle w:val="TableContents"/>
              <w:bidi w:val="0"/>
              <w:spacing w:before="0" w:after="283"/>
              <w:ind w:left="0" w:right="0" w:hanging="720"/>
              <w:jc w:val="right"/>
              <w:rPr/>
            </w:pPr>
            <w:r>
              <w:rPr/>
              <w:t>18</w:t>
            </w:r>
          </w:p>
        </w:tc>
      </w:tr>
      <w:tr>
        <w:trPr/>
        <w:tc>
          <w:tcPr>
            <w:tcW w:w="8585" w:type="dxa"/>
            <w:tcBorders/>
            <w:vAlign w:val="center"/>
          </w:tcPr>
          <w:p>
            <w:pPr>
              <w:pStyle w:val="TableContents"/>
              <w:bidi w:val="0"/>
              <w:spacing w:before="0" w:after="283"/>
              <w:jc w:val="left"/>
              <w:rPr/>
            </w:pPr>
            <w:r>
              <w:rPr/>
              <w:t>Section 3.02.  </w:t>
            </w:r>
            <w:r>
              <w:rPr>
                <w:i/>
              </w:rPr>
              <w:t>Notice of Redemption; Partial Redemptions</w:t>
            </w:r>
          </w:p>
        </w:tc>
        <w:tc>
          <w:tcPr>
            <w:tcW w:w="275" w:type="dxa"/>
            <w:tcBorders/>
            <w:vAlign w:val="center"/>
          </w:tcPr>
          <w:p>
            <w:pPr>
              <w:pStyle w:val="TableContents"/>
              <w:bidi w:val="0"/>
              <w:spacing w:before="0" w:after="283"/>
              <w:ind w:left="0" w:right="0" w:hanging="720"/>
              <w:jc w:val="right"/>
              <w:rPr/>
            </w:pPr>
            <w:r>
              <w:rPr/>
              <w:t>18</w:t>
            </w:r>
          </w:p>
        </w:tc>
      </w:tr>
      <w:tr>
        <w:trPr/>
        <w:tc>
          <w:tcPr>
            <w:tcW w:w="8585" w:type="dxa"/>
            <w:tcBorders/>
            <w:vAlign w:val="center"/>
          </w:tcPr>
          <w:p>
            <w:pPr>
              <w:pStyle w:val="TableContents"/>
              <w:bidi w:val="0"/>
              <w:spacing w:before="0" w:after="283"/>
              <w:jc w:val="left"/>
              <w:rPr/>
            </w:pPr>
            <w:r>
              <w:rPr/>
              <w:t>Section 3.03.  </w:t>
            </w:r>
            <w:r>
              <w:rPr>
                <w:i/>
              </w:rPr>
              <w:t>Payment Of Securities Called For Redemption</w:t>
            </w:r>
          </w:p>
        </w:tc>
        <w:tc>
          <w:tcPr>
            <w:tcW w:w="275" w:type="dxa"/>
            <w:tcBorders/>
            <w:vAlign w:val="center"/>
          </w:tcPr>
          <w:p>
            <w:pPr>
              <w:pStyle w:val="TableContents"/>
              <w:bidi w:val="0"/>
              <w:spacing w:before="0" w:after="283"/>
              <w:ind w:left="0" w:right="0" w:hanging="720"/>
              <w:jc w:val="right"/>
              <w:rPr/>
            </w:pPr>
            <w:r>
              <w:rPr/>
              <w:t>19</w:t>
            </w:r>
          </w:p>
        </w:tc>
      </w:tr>
      <w:tr>
        <w:trPr/>
        <w:tc>
          <w:tcPr>
            <w:tcW w:w="8585" w:type="dxa"/>
            <w:tcBorders/>
            <w:vAlign w:val="center"/>
          </w:tcPr>
          <w:p>
            <w:pPr>
              <w:pStyle w:val="TableContents"/>
              <w:bidi w:val="0"/>
              <w:spacing w:before="0" w:after="283"/>
              <w:jc w:val="left"/>
              <w:rPr/>
            </w:pPr>
            <w:r>
              <w:rPr/>
              <w:t>Section 3.04.  </w:t>
            </w:r>
            <w:r>
              <w:rPr>
                <w:i/>
              </w:rPr>
              <w:t>Exclusion of Certain Securities from Eligibility for Selection for Redemption</w:t>
            </w:r>
          </w:p>
        </w:tc>
        <w:tc>
          <w:tcPr>
            <w:tcW w:w="275" w:type="dxa"/>
            <w:tcBorders/>
            <w:vAlign w:val="center"/>
          </w:tcPr>
          <w:p>
            <w:pPr>
              <w:pStyle w:val="TableContents"/>
              <w:bidi w:val="0"/>
              <w:spacing w:before="0" w:after="283"/>
              <w:ind w:left="0" w:right="0" w:hanging="720"/>
              <w:jc w:val="right"/>
              <w:rPr/>
            </w:pPr>
            <w:r>
              <w:rPr/>
              <w:t>20</w:t>
            </w:r>
          </w:p>
        </w:tc>
      </w:tr>
      <w:tr>
        <w:trPr/>
        <w:tc>
          <w:tcPr>
            <w:tcW w:w="8585" w:type="dxa"/>
            <w:tcBorders/>
            <w:vAlign w:val="center"/>
          </w:tcPr>
          <w:p>
            <w:pPr>
              <w:pStyle w:val="TableContents"/>
              <w:bidi w:val="0"/>
              <w:spacing w:before="0" w:after="283"/>
              <w:jc w:val="left"/>
              <w:rPr/>
            </w:pPr>
            <w:r>
              <w:rPr/>
              <w:t>Section 3.05.  </w:t>
            </w:r>
            <w:r>
              <w:rPr>
                <w:i/>
              </w:rPr>
              <w:t>Mandatory and Optional Sinking Funds</w:t>
            </w:r>
          </w:p>
        </w:tc>
        <w:tc>
          <w:tcPr>
            <w:tcW w:w="275" w:type="dxa"/>
            <w:tcBorders/>
            <w:vAlign w:val="center"/>
          </w:tcPr>
          <w:p>
            <w:pPr>
              <w:pStyle w:val="TableContents"/>
              <w:bidi w:val="0"/>
              <w:spacing w:before="0" w:after="283"/>
              <w:jc w:val="right"/>
              <w:rPr/>
            </w:pPr>
            <w:r>
              <w:rPr/>
              <w:t>20</w:t>
            </w:r>
          </w:p>
        </w:tc>
      </w:tr>
      <w:tr>
        <w:trPr/>
        <w:tc>
          <w:tcPr>
            <w:tcW w:w="8860" w:type="dxa"/>
            <w:gridSpan w:val="2"/>
            <w:tcBorders/>
            <w:vAlign w:val="center"/>
          </w:tcPr>
          <w:p>
            <w:pPr>
              <w:pStyle w:val="TableContents"/>
              <w:bidi w:val="0"/>
              <w:spacing w:before="0" w:after="283"/>
              <w:ind w:left="0" w:right="0" w:hanging="720"/>
              <w:jc w:val="center"/>
              <w:rPr/>
            </w:pPr>
            <w:r>
              <w:rPr/>
              <w:t xml:space="preserve">Article 4 </w:t>
              <w:br/>
              <w:t>COVENANTS</w:t>
            </w:r>
          </w:p>
        </w:tc>
      </w:tr>
      <w:tr>
        <w:trPr/>
        <w:tc>
          <w:tcPr>
            <w:tcW w:w="8585" w:type="dxa"/>
            <w:tcBorders/>
            <w:vAlign w:val="center"/>
          </w:tcPr>
          <w:p>
            <w:pPr>
              <w:pStyle w:val="TableContents"/>
              <w:bidi w:val="0"/>
              <w:spacing w:before="0" w:after="283"/>
              <w:jc w:val="left"/>
              <w:rPr/>
            </w:pPr>
            <w:r>
              <w:rPr/>
              <w:t>Section 4.01.  </w:t>
            </w:r>
            <w:r>
              <w:rPr>
                <w:i/>
              </w:rPr>
              <w:t>Payment of Securities</w:t>
            </w:r>
          </w:p>
        </w:tc>
        <w:tc>
          <w:tcPr>
            <w:tcW w:w="275" w:type="dxa"/>
            <w:tcBorders/>
            <w:vAlign w:val="center"/>
          </w:tcPr>
          <w:p>
            <w:pPr>
              <w:pStyle w:val="TableContents"/>
              <w:bidi w:val="0"/>
              <w:spacing w:before="0" w:after="283"/>
              <w:ind w:left="0" w:right="0" w:hanging="720"/>
              <w:jc w:val="right"/>
              <w:rPr/>
            </w:pPr>
            <w:r>
              <w:rPr/>
              <w:t>22</w:t>
            </w:r>
          </w:p>
        </w:tc>
      </w:tr>
      <w:tr>
        <w:trPr/>
        <w:tc>
          <w:tcPr>
            <w:tcW w:w="8585" w:type="dxa"/>
            <w:tcBorders/>
            <w:vAlign w:val="center"/>
          </w:tcPr>
          <w:p>
            <w:pPr>
              <w:pStyle w:val="TableContents"/>
              <w:bidi w:val="0"/>
              <w:spacing w:before="0" w:after="283"/>
              <w:jc w:val="left"/>
              <w:rPr/>
            </w:pPr>
            <w:r>
              <w:rPr/>
              <w:t>Section 4.02.  </w:t>
            </w:r>
            <w:r>
              <w:rPr>
                <w:i/>
              </w:rPr>
              <w:t>Maintenance of Office or Agency</w:t>
            </w:r>
          </w:p>
        </w:tc>
        <w:tc>
          <w:tcPr>
            <w:tcW w:w="275" w:type="dxa"/>
            <w:tcBorders/>
            <w:vAlign w:val="center"/>
          </w:tcPr>
          <w:p>
            <w:pPr>
              <w:pStyle w:val="TableContents"/>
              <w:bidi w:val="0"/>
              <w:spacing w:before="0" w:after="283"/>
              <w:ind w:left="0" w:right="0" w:hanging="720"/>
              <w:jc w:val="right"/>
              <w:rPr/>
            </w:pPr>
            <w:r>
              <w:rPr/>
              <w:t>23</w:t>
            </w:r>
          </w:p>
        </w:tc>
      </w:tr>
      <w:tr>
        <w:trPr/>
        <w:tc>
          <w:tcPr>
            <w:tcW w:w="8585" w:type="dxa"/>
            <w:tcBorders/>
            <w:vAlign w:val="center"/>
          </w:tcPr>
          <w:p>
            <w:pPr>
              <w:pStyle w:val="TableContents"/>
              <w:bidi w:val="0"/>
              <w:spacing w:before="0" w:after="283"/>
              <w:jc w:val="left"/>
              <w:rPr/>
            </w:pPr>
            <w:r>
              <w:rPr/>
              <w:t>Section 4.03.  </w:t>
            </w:r>
            <w:r>
              <w:rPr>
                <w:i/>
              </w:rPr>
              <w:t>Securityholders’ Lists</w:t>
            </w:r>
          </w:p>
        </w:tc>
        <w:tc>
          <w:tcPr>
            <w:tcW w:w="275" w:type="dxa"/>
            <w:tcBorders/>
            <w:vAlign w:val="center"/>
          </w:tcPr>
          <w:p>
            <w:pPr>
              <w:pStyle w:val="TableContents"/>
              <w:bidi w:val="0"/>
              <w:spacing w:before="0" w:after="283"/>
              <w:ind w:left="0" w:right="0" w:hanging="720"/>
              <w:jc w:val="right"/>
              <w:rPr/>
            </w:pPr>
            <w:r>
              <w:rPr/>
              <w:t>23</w:t>
            </w:r>
          </w:p>
        </w:tc>
      </w:tr>
      <w:tr>
        <w:trPr/>
        <w:tc>
          <w:tcPr>
            <w:tcW w:w="8585" w:type="dxa"/>
            <w:tcBorders/>
            <w:vAlign w:val="center"/>
          </w:tcPr>
          <w:p>
            <w:pPr>
              <w:pStyle w:val="TableContents"/>
              <w:bidi w:val="0"/>
              <w:spacing w:before="0" w:after="283"/>
              <w:jc w:val="left"/>
              <w:rPr/>
            </w:pPr>
            <w:r>
              <w:rPr/>
              <w:t>Section 4.04.  </w:t>
            </w:r>
            <w:r>
              <w:rPr>
                <w:i/>
              </w:rPr>
              <w:t>Certificate to Trustee</w:t>
            </w:r>
          </w:p>
        </w:tc>
        <w:tc>
          <w:tcPr>
            <w:tcW w:w="275" w:type="dxa"/>
            <w:tcBorders/>
            <w:vAlign w:val="center"/>
          </w:tcPr>
          <w:p>
            <w:pPr>
              <w:pStyle w:val="TableContents"/>
              <w:bidi w:val="0"/>
              <w:spacing w:before="0" w:after="283"/>
              <w:ind w:left="0" w:right="0" w:hanging="720"/>
              <w:jc w:val="right"/>
              <w:rPr/>
            </w:pPr>
            <w:r>
              <w:rPr/>
              <w:t>24</w:t>
            </w:r>
          </w:p>
        </w:tc>
      </w:tr>
      <w:tr>
        <w:trPr/>
        <w:tc>
          <w:tcPr>
            <w:tcW w:w="8585" w:type="dxa"/>
            <w:tcBorders/>
            <w:vAlign w:val="center"/>
          </w:tcPr>
          <w:p>
            <w:pPr>
              <w:pStyle w:val="TableContents"/>
              <w:bidi w:val="0"/>
              <w:spacing w:before="0" w:after="283"/>
              <w:jc w:val="left"/>
              <w:rPr/>
            </w:pPr>
            <w:r>
              <w:rPr/>
              <w:t>Section 4.05.  </w:t>
            </w:r>
            <w:r>
              <w:rPr>
                <w:i/>
              </w:rPr>
              <w:t>Reports by the Company</w:t>
            </w:r>
          </w:p>
        </w:tc>
        <w:tc>
          <w:tcPr>
            <w:tcW w:w="275" w:type="dxa"/>
            <w:tcBorders/>
            <w:vAlign w:val="center"/>
          </w:tcPr>
          <w:p>
            <w:pPr>
              <w:pStyle w:val="TableContents"/>
              <w:bidi w:val="0"/>
              <w:spacing w:before="0" w:after="283"/>
              <w:jc w:val="right"/>
              <w:rPr/>
            </w:pPr>
            <w:r>
              <w:rPr/>
              <w:t>24</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w:t>
      </w:r>
    </w:p>
    <w:p>
      <w:pPr>
        <w:pStyle w:val="TextBody"/>
        <w:bidi w:val="0"/>
        <w:spacing w:before="0" w:after="0"/>
        <w:ind w:left="0" w:right="0" w:hanging="0"/>
        <w:jc w:val="left"/>
        <w:rPr>
          <w:caps w:val="false"/>
          <w:smallCaps w:val="false"/>
        </w:rPr>
      </w:pPr>
      <w:r>
        <w:rPr>
          <w:caps w:val="false"/>
          <w:smallCaps w:val="false"/>
        </w:rPr>
        <w:t> </w:t>
      </w:r>
    </w:p>
    <w:tbl>
      <w:tblPr>
        <w:tblW w:w="8389" w:type="dxa"/>
        <w:jc w:val="left"/>
        <w:tblInd w:w="0" w:type="dxa"/>
        <w:tblLayout w:type="fixed"/>
        <w:tblCellMar>
          <w:top w:w="0" w:type="dxa"/>
          <w:left w:w="0" w:type="dxa"/>
          <w:bottom w:w="0" w:type="dxa"/>
          <w:right w:w="0" w:type="dxa"/>
        </w:tblCellMar>
      </w:tblPr>
      <w:tblGrid>
        <w:gridCol w:w="8108"/>
        <w:gridCol w:w="281"/>
      </w:tblGrid>
      <w:tr>
        <w:trPr/>
        <w:tc>
          <w:tcPr>
            <w:tcW w:w="8108" w:type="dxa"/>
            <w:tcBorders/>
            <w:vAlign w:val="center"/>
          </w:tcPr>
          <w:p>
            <w:pPr>
              <w:pStyle w:val="TableContents"/>
              <w:bidi w:val="0"/>
              <w:spacing w:before="0" w:after="283"/>
              <w:ind w:left="0" w:right="0" w:hanging="720"/>
              <w:jc w:val="left"/>
              <w:rPr/>
            </w:pPr>
            <w:r>
              <w:rPr/>
              <w:t>Section 4.06.  </w:t>
            </w:r>
            <w:r>
              <w:rPr>
                <w:i/>
              </w:rPr>
              <w:t>Additional Amounts</w:t>
            </w:r>
          </w:p>
        </w:tc>
        <w:tc>
          <w:tcPr>
            <w:tcW w:w="281" w:type="dxa"/>
            <w:tcBorders/>
            <w:vAlign w:val="center"/>
          </w:tcPr>
          <w:p>
            <w:pPr>
              <w:pStyle w:val="TableContents"/>
              <w:bidi w:val="0"/>
              <w:spacing w:before="0" w:after="283"/>
              <w:jc w:val="right"/>
              <w:rPr/>
            </w:pPr>
            <w:r>
              <w:rPr/>
              <w:t>24</w:t>
            </w:r>
          </w:p>
        </w:tc>
      </w:tr>
      <w:tr>
        <w:trPr/>
        <w:tc>
          <w:tcPr>
            <w:tcW w:w="8389" w:type="dxa"/>
            <w:gridSpan w:val="2"/>
            <w:tcBorders/>
            <w:vAlign w:val="center"/>
          </w:tcPr>
          <w:p>
            <w:pPr>
              <w:pStyle w:val="TableContents"/>
              <w:bidi w:val="0"/>
              <w:spacing w:before="0" w:after="283"/>
              <w:ind w:left="0" w:right="0" w:hanging="720"/>
              <w:jc w:val="center"/>
              <w:rPr/>
            </w:pPr>
            <w:r>
              <w:rPr/>
              <w:t xml:space="preserve">Article 5 </w:t>
              <w:br/>
              <w:t>SUCCESSOR CORPORATION</w:t>
            </w:r>
          </w:p>
        </w:tc>
      </w:tr>
      <w:tr>
        <w:trPr/>
        <w:tc>
          <w:tcPr>
            <w:tcW w:w="8108" w:type="dxa"/>
            <w:tcBorders/>
            <w:vAlign w:val="center"/>
          </w:tcPr>
          <w:p>
            <w:pPr>
              <w:pStyle w:val="TableContents"/>
              <w:bidi w:val="0"/>
              <w:spacing w:before="0" w:after="283"/>
              <w:jc w:val="left"/>
              <w:rPr/>
            </w:pPr>
            <w:r>
              <w:rPr/>
              <w:t>Section 5.01.  </w:t>
            </w:r>
            <w:r>
              <w:rPr>
                <w:i/>
              </w:rPr>
              <w:t>When Company May Merge, Etc</w:t>
            </w:r>
          </w:p>
        </w:tc>
        <w:tc>
          <w:tcPr>
            <w:tcW w:w="281" w:type="dxa"/>
            <w:tcBorders/>
            <w:vAlign w:val="center"/>
          </w:tcPr>
          <w:p>
            <w:pPr>
              <w:pStyle w:val="TableContents"/>
              <w:bidi w:val="0"/>
              <w:spacing w:before="0" w:after="283"/>
              <w:ind w:left="0" w:right="0" w:hanging="720"/>
              <w:jc w:val="right"/>
              <w:rPr/>
            </w:pPr>
            <w:r>
              <w:rPr/>
              <w:t>25</w:t>
            </w:r>
          </w:p>
        </w:tc>
      </w:tr>
      <w:tr>
        <w:trPr/>
        <w:tc>
          <w:tcPr>
            <w:tcW w:w="8108" w:type="dxa"/>
            <w:tcBorders/>
            <w:vAlign w:val="center"/>
          </w:tcPr>
          <w:p>
            <w:pPr>
              <w:pStyle w:val="TableContents"/>
              <w:bidi w:val="0"/>
              <w:spacing w:before="0" w:after="283"/>
              <w:jc w:val="left"/>
              <w:rPr/>
            </w:pPr>
            <w:r>
              <w:rPr/>
              <w:t>Section 5.02.  </w:t>
            </w:r>
            <w:r>
              <w:rPr>
                <w:i/>
              </w:rPr>
              <w:t>Successor Substituted</w:t>
            </w:r>
          </w:p>
        </w:tc>
        <w:tc>
          <w:tcPr>
            <w:tcW w:w="281" w:type="dxa"/>
            <w:tcBorders/>
            <w:vAlign w:val="center"/>
          </w:tcPr>
          <w:p>
            <w:pPr>
              <w:pStyle w:val="TableContents"/>
              <w:bidi w:val="0"/>
              <w:spacing w:before="0" w:after="283"/>
              <w:jc w:val="right"/>
              <w:rPr/>
            </w:pPr>
            <w:r>
              <w:rPr/>
              <w:t>25</w:t>
            </w:r>
          </w:p>
        </w:tc>
      </w:tr>
      <w:tr>
        <w:trPr/>
        <w:tc>
          <w:tcPr>
            <w:tcW w:w="8389" w:type="dxa"/>
            <w:gridSpan w:val="2"/>
            <w:tcBorders/>
            <w:vAlign w:val="center"/>
          </w:tcPr>
          <w:p>
            <w:pPr>
              <w:pStyle w:val="TableContents"/>
              <w:bidi w:val="0"/>
              <w:spacing w:before="0" w:after="283"/>
              <w:ind w:left="0" w:right="0" w:hanging="720"/>
              <w:jc w:val="center"/>
              <w:rPr/>
            </w:pPr>
            <w:r>
              <w:rPr/>
              <w:t xml:space="preserve">Article 6 </w:t>
              <w:br/>
              <w:t>DEFAULT AND REMEDIES</w:t>
            </w:r>
          </w:p>
        </w:tc>
      </w:tr>
      <w:tr>
        <w:trPr/>
        <w:tc>
          <w:tcPr>
            <w:tcW w:w="8108" w:type="dxa"/>
            <w:tcBorders/>
            <w:vAlign w:val="center"/>
          </w:tcPr>
          <w:p>
            <w:pPr>
              <w:pStyle w:val="TableContents"/>
              <w:bidi w:val="0"/>
              <w:spacing w:before="0" w:after="283"/>
              <w:jc w:val="left"/>
              <w:rPr/>
            </w:pPr>
            <w:r>
              <w:rPr/>
              <w:t>Section 6.01.  </w:t>
            </w:r>
            <w:r>
              <w:rPr>
                <w:i/>
              </w:rPr>
              <w:t>Events of Default</w:t>
            </w:r>
          </w:p>
        </w:tc>
        <w:tc>
          <w:tcPr>
            <w:tcW w:w="281" w:type="dxa"/>
            <w:tcBorders/>
            <w:vAlign w:val="center"/>
          </w:tcPr>
          <w:p>
            <w:pPr>
              <w:pStyle w:val="TableContents"/>
              <w:bidi w:val="0"/>
              <w:spacing w:before="0" w:after="283"/>
              <w:ind w:left="0" w:right="0" w:hanging="720"/>
              <w:jc w:val="right"/>
              <w:rPr/>
            </w:pPr>
            <w:r>
              <w:rPr/>
              <w:t>26</w:t>
            </w:r>
          </w:p>
        </w:tc>
      </w:tr>
      <w:tr>
        <w:trPr/>
        <w:tc>
          <w:tcPr>
            <w:tcW w:w="8108" w:type="dxa"/>
            <w:tcBorders/>
            <w:vAlign w:val="center"/>
          </w:tcPr>
          <w:p>
            <w:pPr>
              <w:pStyle w:val="TableContents"/>
              <w:bidi w:val="0"/>
              <w:spacing w:before="0" w:after="283"/>
              <w:jc w:val="left"/>
              <w:rPr/>
            </w:pPr>
            <w:r>
              <w:rPr/>
              <w:t>Section 6.02.  </w:t>
            </w:r>
            <w:r>
              <w:rPr>
                <w:i/>
              </w:rPr>
              <w:t>Acceleration</w:t>
            </w:r>
          </w:p>
        </w:tc>
        <w:tc>
          <w:tcPr>
            <w:tcW w:w="281" w:type="dxa"/>
            <w:tcBorders/>
            <w:vAlign w:val="center"/>
          </w:tcPr>
          <w:p>
            <w:pPr>
              <w:pStyle w:val="TableContents"/>
              <w:bidi w:val="0"/>
              <w:spacing w:before="0" w:after="283"/>
              <w:ind w:left="0" w:right="0" w:hanging="720"/>
              <w:jc w:val="right"/>
              <w:rPr/>
            </w:pPr>
            <w:r>
              <w:rPr/>
              <w:t>26</w:t>
            </w:r>
          </w:p>
        </w:tc>
      </w:tr>
      <w:tr>
        <w:trPr/>
        <w:tc>
          <w:tcPr>
            <w:tcW w:w="8108" w:type="dxa"/>
            <w:tcBorders/>
            <w:vAlign w:val="center"/>
          </w:tcPr>
          <w:p>
            <w:pPr>
              <w:pStyle w:val="TableContents"/>
              <w:bidi w:val="0"/>
              <w:spacing w:before="0" w:after="283"/>
              <w:jc w:val="left"/>
              <w:rPr/>
            </w:pPr>
            <w:r>
              <w:rPr/>
              <w:t>Section 6.03.  </w:t>
            </w:r>
            <w:r>
              <w:rPr>
                <w:i/>
              </w:rPr>
              <w:t>Other Remedies</w:t>
            </w:r>
          </w:p>
        </w:tc>
        <w:tc>
          <w:tcPr>
            <w:tcW w:w="281" w:type="dxa"/>
            <w:tcBorders/>
            <w:vAlign w:val="center"/>
          </w:tcPr>
          <w:p>
            <w:pPr>
              <w:pStyle w:val="TableContents"/>
              <w:bidi w:val="0"/>
              <w:spacing w:before="0" w:after="283"/>
              <w:ind w:left="0" w:right="0" w:hanging="720"/>
              <w:jc w:val="right"/>
              <w:rPr/>
            </w:pPr>
            <w:r>
              <w:rPr/>
              <w:t>28</w:t>
            </w:r>
          </w:p>
        </w:tc>
      </w:tr>
      <w:tr>
        <w:trPr/>
        <w:tc>
          <w:tcPr>
            <w:tcW w:w="8108" w:type="dxa"/>
            <w:tcBorders/>
            <w:vAlign w:val="center"/>
          </w:tcPr>
          <w:p>
            <w:pPr>
              <w:pStyle w:val="TableContents"/>
              <w:bidi w:val="0"/>
              <w:spacing w:before="0" w:after="283"/>
              <w:jc w:val="left"/>
              <w:rPr/>
            </w:pPr>
            <w:r>
              <w:rPr/>
              <w:t>Section 6.04.  </w:t>
            </w:r>
            <w:r>
              <w:rPr>
                <w:i/>
              </w:rPr>
              <w:t>Waiver of Past Defaults</w:t>
            </w:r>
          </w:p>
        </w:tc>
        <w:tc>
          <w:tcPr>
            <w:tcW w:w="281" w:type="dxa"/>
            <w:tcBorders/>
            <w:vAlign w:val="center"/>
          </w:tcPr>
          <w:p>
            <w:pPr>
              <w:pStyle w:val="TableContents"/>
              <w:bidi w:val="0"/>
              <w:spacing w:before="0" w:after="283"/>
              <w:ind w:left="0" w:right="0" w:hanging="720"/>
              <w:jc w:val="right"/>
              <w:rPr/>
            </w:pPr>
            <w:r>
              <w:rPr/>
              <w:t>28</w:t>
            </w:r>
          </w:p>
        </w:tc>
      </w:tr>
      <w:tr>
        <w:trPr/>
        <w:tc>
          <w:tcPr>
            <w:tcW w:w="8108" w:type="dxa"/>
            <w:tcBorders/>
            <w:vAlign w:val="center"/>
          </w:tcPr>
          <w:p>
            <w:pPr>
              <w:pStyle w:val="TableContents"/>
              <w:bidi w:val="0"/>
              <w:spacing w:before="0" w:after="283"/>
              <w:jc w:val="left"/>
              <w:rPr/>
            </w:pPr>
            <w:r>
              <w:rPr/>
              <w:t>Section 6.05.  </w:t>
            </w:r>
            <w:r>
              <w:rPr>
                <w:i/>
              </w:rPr>
              <w:t>Control by Majority</w:t>
            </w:r>
          </w:p>
        </w:tc>
        <w:tc>
          <w:tcPr>
            <w:tcW w:w="281" w:type="dxa"/>
            <w:tcBorders/>
            <w:vAlign w:val="center"/>
          </w:tcPr>
          <w:p>
            <w:pPr>
              <w:pStyle w:val="TableContents"/>
              <w:bidi w:val="0"/>
              <w:spacing w:before="0" w:after="283"/>
              <w:ind w:left="0" w:right="0" w:hanging="720"/>
              <w:jc w:val="right"/>
              <w:rPr/>
            </w:pPr>
            <w:r>
              <w:rPr/>
              <w:t>28</w:t>
            </w:r>
          </w:p>
        </w:tc>
      </w:tr>
      <w:tr>
        <w:trPr/>
        <w:tc>
          <w:tcPr>
            <w:tcW w:w="8108" w:type="dxa"/>
            <w:tcBorders/>
            <w:vAlign w:val="center"/>
          </w:tcPr>
          <w:p>
            <w:pPr>
              <w:pStyle w:val="TableContents"/>
              <w:bidi w:val="0"/>
              <w:spacing w:before="0" w:after="283"/>
              <w:jc w:val="left"/>
              <w:rPr/>
            </w:pPr>
            <w:r>
              <w:rPr/>
              <w:t>Section 6.06.  </w:t>
            </w:r>
            <w:r>
              <w:rPr>
                <w:i/>
              </w:rPr>
              <w:t>Limitation on Suits</w:t>
            </w:r>
          </w:p>
        </w:tc>
        <w:tc>
          <w:tcPr>
            <w:tcW w:w="281" w:type="dxa"/>
            <w:tcBorders/>
            <w:vAlign w:val="center"/>
          </w:tcPr>
          <w:p>
            <w:pPr>
              <w:pStyle w:val="TableContents"/>
              <w:bidi w:val="0"/>
              <w:spacing w:before="0" w:after="283"/>
              <w:ind w:left="0" w:right="0" w:hanging="720"/>
              <w:jc w:val="right"/>
              <w:rPr/>
            </w:pPr>
            <w:r>
              <w:rPr/>
              <w:t>29</w:t>
            </w:r>
          </w:p>
        </w:tc>
      </w:tr>
      <w:tr>
        <w:trPr/>
        <w:tc>
          <w:tcPr>
            <w:tcW w:w="8108" w:type="dxa"/>
            <w:tcBorders/>
            <w:vAlign w:val="center"/>
          </w:tcPr>
          <w:p>
            <w:pPr>
              <w:pStyle w:val="TableContents"/>
              <w:bidi w:val="0"/>
              <w:spacing w:before="0" w:after="283"/>
              <w:jc w:val="left"/>
              <w:rPr/>
            </w:pPr>
            <w:r>
              <w:rPr/>
              <w:t>Section 6.07.  </w:t>
            </w:r>
            <w:r>
              <w:rPr>
                <w:i/>
              </w:rPr>
              <w:t>Rights of Holders to Receive Payment</w:t>
            </w:r>
          </w:p>
        </w:tc>
        <w:tc>
          <w:tcPr>
            <w:tcW w:w="281" w:type="dxa"/>
            <w:tcBorders/>
            <w:vAlign w:val="center"/>
          </w:tcPr>
          <w:p>
            <w:pPr>
              <w:pStyle w:val="TableContents"/>
              <w:bidi w:val="0"/>
              <w:spacing w:before="0" w:after="283"/>
              <w:ind w:left="0" w:right="0" w:hanging="720"/>
              <w:jc w:val="right"/>
              <w:rPr/>
            </w:pPr>
            <w:r>
              <w:rPr/>
              <w:t>29</w:t>
            </w:r>
          </w:p>
        </w:tc>
      </w:tr>
      <w:tr>
        <w:trPr/>
        <w:tc>
          <w:tcPr>
            <w:tcW w:w="8108" w:type="dxa"/>
            <w:tcBorders/>
            <w:vAlign w:val="center"/>
          </w:tcPr>
          <w:p>
            <w:pPr>
              <w:pStyle w:val="TableContents"/>
              <w:bidi w:val="0"/>
              <w:spacing w:before="0" w:after="283"/>
              <w:jc w:val="left"/>
              <w:rPr/>
            </w:pPr>
            <w:r>
              <w:rPr/>
              <w:t>Section 6.08.  </w:t>
            </w:r>
            <w:r>
              <w:rPr>
                <w:i/>
              </w:rPr>
              <w:t>Collection Suit by Trustee</w:t>
            </w:r>
          </w:p>
        </w:tc>
        <w:tc>
          <w:tcPr>
            <w:tcW w:w="281" w:type="dxa"/>
            <w:tcBorders/>
            <w:vAlign w:val="center"/>
          </w:tcPr>
          <w:p>
            <w:pPr>
              <w:pStyle w:val="TableContents"/>
              <w:bidi w:val="0"/>
              <w:spacing w:before="0" w:after="283"/>
              <w:ind w:left="0" w:right="0" w:hanging="720"/>
              <w:jc w:val="right"/>
              <w:rPr/>
            </w:pPr>
            <w:r>
              <w:rPr/>
              <w:t>29</w:t>
            </w:r>
          </w:p>
        </w:tc>
      </w:tr>
      <w:tr>
        <w:trPr/>
        <w:tc>
          <w:tcPr>
            <w:tcW w:w="8108" w:type="dxa"/>
            <w:tcBorders/>
            <w:vAlign w:val="center"/>
          </w:tcPr>
          <w:p>
            <w:pPr>
              <w:pStyle w:val="TableContents"/>
              <w:bidi w:val="0"/>
              <w:spacing w:before="0" w:after="283"/>
              <w:jc w:val="left"/>
              <w:rPr/>
            </w:pPr>
            <w:r>
              <w:rPr/>
              <w:t>Section 6.09.  </w:t>
            </w:r>
            <w:r>
              <w:rPr>
                <w:i/>
              </w:rPr>
              <w:t>Trustee May File Proofs of Claim</w:t>
            </w:r>
          </w:p>
        </w:tc>
        <w:tc>
          <w:tcPr>
            <w:tcW w:w="281" w:type="dxa"/>
            <w:tcBorders/>
            <w:vAlign w:val="center"/>
          </w:tcPr>
          <w:p>
            <w:pPr>
              <w:pStyle w:val="TableContents"/>
              <w:bidi w:val="0"/>
              <w:spacing w:before="0" w:after="283"/>
              <w:ind w:left="0" w:right="0" w:hanging="720"/>
              <w:jc w:val="right"/>
              <w:rPr/>
            </w:pPr>
            <w:r>
              <w:rPr/>
              <w:t>29</w:t>
            </w:r>
          </w:p>
        </w:tc>
      </w:tr>
      <w:tr>
        <w:trPr/>
        <w:tc>
          <w:tcPr>
            <w:tcW w:w="8108" w:type="dxa"/>
            <w:tcBorders/>
            <w:vAlign w:val="center"/>
          </w:tcPr>
          <w:p>
            <w:pPr>
              <w:pStyle w:val="TableContents"/>
              <w:bidi w:val="0"/>
              <w:spacing w:before="0" w:after="283"/>
              <w:jc w:val="left"/>
              <w:rPr/>
            </w:pPr>
            <w:r>
              <w:rPr/>
              <w:t>Section 6.10.  </w:t>
            </w:r>
            <w:r>
              <w:rPr>
                <w:i/>
              </w:rPr>
              <w:t>Application of Proceeds</w:t>
            </w:r>
          </w:p>
        </w:tc>
        <w:tc>
          <w:tcPr>
            <w:tcW w:w="281" w:type="dxa"/>
            <w:tcBorders/>
            <w:vAlign w:val="center"/>
          </w:tcPr>
          <w:p>
            <w:pPr>
              <w:pStyle w:val="TableContents"/>
              <w:bidi w:val="0"/>
              <w:spacing w:before="0" w:after="283"/>
              <w:ind w:left="0" w:right="0" w:hanging="720"/>
              <w:jc w:val="right"/>
              <w:rPr/>
            </w:pPr>
            <w:r>
              <w:rPr/>
              <w:t>30</w:t>
            </w:r>
          </w:p>
        </w:tc>
      </w:tr>
      <w:tr>
        <w:trPr/>
        <w:tc>
          <w:tcPr>
            <w:tcW w:w="8108" w:type="dxa"/>
            <w:tcBorders/>
            <w:vAlign w:val="center"/>
          </w:tcPr>
          <w:p>
            <w:pPr>
              <w:pStyle w:val="TableContents"/>
              <w:bidi w:val="0"/>
              <w:spacing w:before="0" w:after="283"/>
              <w:jc w:val="left"/>
              <w:rPr/>
            </w:pPr>
            <w:r>
              <w:rPr/>
              <w:t>Section 6.11.  </w:t>
            </w:r>
            <w:r>
              <w:rPr>
                <w:i/>
              </w:rPr>
              <w:t>Restoration of Rights and Remedies</w:t>
            </w:r>
          </w:p>
        </w:tc>
        <w:tc>
          <w:tcPr>
            <w:tcW w:w="281" w:type="dxa"/>
            <w:tcBorders/>
            <w:vAlign w:val="center"/>
          </w:tcPr>
          <w:p>
            <w:pPr>
              <w:pStyle w:val="TableContents"/>
              <w:bidi w:val="0"/>
              <w:spacing w:before="0" w:after="283"/>
              <w:ind w:left="0" w:right="0" w:hanging="720"/>
              <w:jc w:val="right"/>
              <w:rPr/>
            </w:pPr>
            <w:r>
              <w:rPr/>
              <w:t>31</w:t>
            </w:r>
          </w:p>
        </w:tc>
      </w:tr>
      <w:tr>
        <w:trPr/>
        <w:tc>
          <w:tcPr>
            <w:tcW w:w="8108" w:type="dxa"/>
            <w:tcBorders/>
            <w:vAlign w:val="center"/>
          </w:tcPr>
          <w:p>
            <w:pPr>
              <w:pStyle w:val="TableContents"/>
              <w:bidi w:val="0"/>
              <w:spacing w:before="0" w:after="283"/>
              <w:jc w:val="left"/>
              <w:rPr/>
            </w:pPr>
            <w:r>
              <w:rPr/>
              <w:t>Section 6.12.  </w:t>
            </w:r>
            <w:r>
              <w:rPr>
                <w:i/>
              </w:rPr>
              <w:t>Undertaking for Costs</w:t>
            </w:r>
          </w:p>
        </w:tc>
        <w:tc>
          <w:tcPr>
            <w:tcW w:w="281" w:type="dxa"/>
            <w:tcBorders/>
            <w:vAlign w:val="center"/>
          </w:tcPr>
          <w:p>
            <w:pPr>
              <w:pStyle w:val="TableContents"/>
              <w:bidi w:val="0"/>
              <w:spacing w:before="0" w:after="283"/>
              <w:ind w:left="0" w:right="0" w:hanging="720"/>
              <w:jc w:val="right"/>
              <w:rPr/>
            </w:pPr>
            <w:r>
              <w:rPr/>
              <w:t>31</w:t>
            </w:r>
          </w:p>
        </w:tc>
      </w:tr>
      <w:tr>
        <w:trPr/>
        <w:tc>
          <w:tcPr>
            <w:tcW w:w="8108" w:type="dxa"/>
            <w:tcBorders/>
            <w:vAlign w:val="center"/>
          </w:tcPr>
          <w:p>
            <w:pPr>
              <w:pStyle w:val="TableContents"/>
              <w:bidi w:val="0"/>
              <w:spacing w:before="0" w:after="283"/>
              <w:jc w:val="left"/>
              <w:rPr/>
            </w:pPr>
            <w:r>
              <w:rPr/>
              <w:t>Section 6.13.  </w:t>
            </w:r>
            <w:r>
              <w:rPr>
                <w:i/>
              </w:rPr>
              <w:t>Rights and Remedies Cumulative</w:t>
            </w:r>
          </w:p>
        </w:tc>
        <w:tc>
          <w:tcPr>
            <w:tcW w:w="281" w:type="dxa"/>
            <w:tcBorders/>
            <w:vAlign w:val="center"/>
          </w:tcPr>
          <w:p>
            <w:pPr>
              <w:pStyle w:val="TableContents"/>
              <w:bidi w:val="0"/>
              <w:spacing w:before="0" w:after="283"/>
              <w:ind w:left="0" w:right="0" w:hanging="720"/>
              <w:jc w:val="right"/>
              <w:rPr/>
            </w:pPr>
            <w:r>
              <w:rPr/>
              <w:t>31</w:t>
            </w:r>
          </w:p>
        </w:tc>
      </w:tr>
      <w:tr>
        <w:trPr/>
        <w:tc>
          <w:tcPr>
            <w:tcW w:w="8108" w:type="dxa"/>
            <w:tcBorders/>
            <w:vAlign w:val="center"/>
          </w:tcPr>
          <w:p>
            <w:pPr>
              <w:pStyle w:val="TableContents"/>
              <w:bidi w:val="0"/>
              <w:spacing w:before="0" w:after="283"/>
              <w:jc w:val="left"/>
              <w:rPr/>
            </w:pPr>
            <w:r>
              <w:rPr/>
              <w:t>Section 6.14.  </w:t>
            </w:r>
            <w:r>
              <w:rPr>
                <w:i/>
              </w:rPr>
              <w:t>Delay or Omission not Waiver</w:t>
            </w:r>
          </w:p>
        </w:tc>
        <w:tc>
          <w:tcPr>
            <w:tcW w:w="281" w:type="dxa"/>
            <w:tcBorders/>
            <w:vAlign w:val="center"/>
          </w:tcPr>
          <w:p>
            <w:pPr>
              <w:pStyle w:val="TableContents"/>
              <w:bidi w:val="0"/>
              <w:spacing w:before="0" w:after="283"/>
              <w:jc w:val="right"/>
              <w:rPr/>
            </w:pPr>
            <w:r>
              <w:rPr/>
              <w:t>31</w:t>
            </w:r>
          </w:p>
        </w:tc>
      </w:tr>
      <w:tr>
        <w:trPr/>
        <w:tc>
          <w:tcPr>
            <w:tcW w:w="8389" w:type="dxa"/>
            <w:gridSpan w:val="2"/>
            <w:tcBorders/>
            <w:vAlign w:val="center"/>
          </w:tcPr>
          <w:p>
            <w:pPr>
              <w:pStyle w:val="TableContents"/>
              <w:bidi w:val="0"/>
              <w:spacing w:before="0" w:after="283"/>
              <w:ind w:left="0" w:right="0" w:hanging="720"/>
              <w:jc w:val="center"/>
              <w:rPr/>
            </w:pPr>
            <w:r>
              <w:rPr/>
              <w:t xml:space="preserve">Article 7 </w:t>
              <w:br/>
              <w:t>TRUSTEE</w:t>
            </w:r>
          </w:p>
        </w:tc>
      </w:tr>
      <w:tr>
        <w:trPr/>
        <w:tc>
          <w:tcPr>
            <w:tcW w:w="8108" w:type="dxa"/>
            <w:tcBorders/>
            <w:vAlign w:val="center"/>
          </w:tcPr>
          <w:p>
            <w:pPr>
              <w:pStyle w:val="TableContents"/>
              <w:bidi w:val="0"/>
              <w:spacing w:before="0" w:after="283"/>
              <w:jc w:val="left"/>
              <w:rPr/>
            </w:pPr>
            <w:r>
              <w:rPr/>
              <w:t>Section 7.01.  </w:t>
            </w:r>
            <w:r>
              <w:rPr>
                <w:i/>
              </w:rPr>
              <w:t>General</w:t>
            </w:r>
          </w:p>
        </w:tc>
        <w:tc>
          <w:tcPr>
            <w:tcW w:w="281" w:type="dxa"/>
            <w:tcBorders/>
            <w:vAlign w:val="center"/>
          </w:tcPr>
          <w:p>
            <w:pPr>
              <w:pStyle w:val="TableContents"/>
              <w:bidi w:val="0"/>
              <w:spacing w:before="0" w:after="283"/>
              <w:ind w:left="0" w:right="0" w:hanging="720"/>
              <w:jc w:val="right"/>
              <w:rPr/>
            </w:pPr>
            <w:r>
              <w:rPr/>
              <w:t>32</w:t>
            </w:r>
          </w:p>
        </w:tc>
      </w:tr>
      <w:tr>
        <w:trPr/>
        <w:tc>
          <w:tcPr>
            <w:tcW w:w="8108" w:type="dxa"/>
            <w:tcBorders/>
            <w:vAlign w:val="center"/>
          </w:tcPr>
          <w:p>
            <w:pPr>
              <w:pStyle w:val="TableContents"/>
              <w:bidi w:val="0"/>
              <w:spacing w:before="0" w:after="283"/>
              <w:jc w:val="left"/>
              <w:rPr/>
            </w:pPr>
            <w:r>
              <w:rPr/>
              <w:t>Section 7.02.  </w:t>
            </w:r>
            <w:r>
              <w:rPr>
                <w:i/>
              </w:rPr>
              <w:t>Certain Rights of Trustee</w:t>
            </w:r>
          </w:p>
        </w:tc>
        <w:tc>
          <w:tcPr>
            <w:tcW w:w="281" w:type="dxa"/>
            <w:tcBorders/>
            <w:vAlign w:val="center"/>
          </w:tcPr>
          <w:p>
            <w:pPr>
              <w:pStyle w:val="TableContents"/>
              <w:bidi w:val="0"/>
              <w:spacing w:before="0" w:after="283"/>
              <w:ind w:left="0" w:right="0" w:hanging="720"/>
              <w:jc w:val="right"/>
              <w:rPr/>
            </w:pPr>
            <w:r>
              <w:rPr/>
              <w:t>32</w:t>
            </w:r>
          </w:p>
        </w:tc>
      </w:tr>
      <w:tr>
        <w:trPr/>
        <w:tc>
          <w:tcPr>
            <w:tcW w:w="8108" w:type="dxa"/>
            <w:tcBorders/>
            <w:vAlign w:val="center"/>
          </w:tcPr>
          <w:p>
            <w:pPr>
              <w:pStyle w:val="TableContents"/>
              <w:bidi w:val="0"/>
              <w:spacing w:before="0" w:after="283"/>
              <w:jc w:val="left"/>
              <w:rPr/>
            </w:pPr>
            <w:r>
              <w:rPr/>
              <w:t>Section 7.03.  </w:t>
            </w:r>
            <w:r>
              <w:rPr>
                <w:i/>
              </w:rPr>
              <w:t>Individual Rights of Trustee</w:t>
            </w:r>
          </w:p>
        </w:tc>
        <w:tc>
          <w:tcPr>
            <w:tcW w:w="281" w:type="dxa"/>
            <w:tcBorders/>
            <w:vAlign w:val="center"/>
          </w:tcPr>
          <w:p>
            <w:pPr>
              <w:pStyle w:val="TableContents"/>
              <w:bidi w:val="0"/>
              <w:spacing w:before="0" w:after="283"/>
              <w:ind w:left="0" w:right="0" w:hanging="720"/>
              <w:jc w:val="right"/>
              <w:rPr/>
            </w:pPr>
            <w:r>
              <w:rPr/>
              <w:t>33</w:t>
            </w:r>
          </w:p>
        </w:tc>
      </w:tr>
      <w:tr>
        <w:trPr/>
        <w:tc>
          <w:tcPr>
            <w:tcW w:w="8108" w:type="dxa"/>
            <w:tcBorders/>
            <w:vAlign w:val="center"/>
          </w:tcPr>
          <w:p>
            <w:pPr>
              <w:pStyle w:val="TableContents"/>
              <w:bidi w:val="0"/>
              <w:spacing w:before="0" w:after="283"/>
              <w:jc w:val="left"/>
              <w:rPr/>
            </w:pPr>
            <w:r>
              <w:rPr/>
              <w:t>Section 7.04.  </w:t>
            </w:r>
            <w:r>
              <w:rPr>
                <w:i/>
              </w:rPr>
              <w:t>Trustee’s Disclaimer</w:t>
            </w:r>
          </w:p>
        </w:tc>
        <w:tc>
          <w:tcPr>
            <w:tcW w:w="281" w:type="dxa"/>
            <w:tcBorders/>
            <w:vAlign w:val="center"/>
          </w:tcPr>
          <w:p>
            <w:pPr>
              <w:pStyle w:val="TableContents"/>
              <w:bidi w:val="0"/>
              <w:spacing w:before="0" w:after="283"/>
              <w:ind w:left="0" w:right="0" w:hanging="720"/>
              <w:jc w:val="right"/>
              <w:rPr/>
            </w:pPr>
            <w:r>
              <w:rPr/>
              <w:t>34</w:t>
            </w:r>
          </w:p>
        </w:tc>
      </w:tr>
      <w:tr>
        <w:trPr/>
        <w:tc>
          <w:tcPr>
            <w:tcW w:w="8108" w:type="dxa"/>
            <w:tcBorders/>
            <w:vAlign w:val="center"/>
          </w:tcPr>
          <w:p>
            <w:pPr>
              <w:pStyle w:val="TableContents"/>
              <w:bidi w:val="0"/>
              <w:spacing w:before="0" w:after="283"/>
              <w:jc w:val="left"/>
              <w:rPr/>
            </w:pPr>
            <w:r>
              <w:rPr/>
              <w:t>Section 7.05.  </w:t>
            </w:r>
            <w:r>
              <w:rPr>
                <w:i/>
              </w:rPr>
              <w:t>Notice of Default</w:t>
            </w:r>
          </w:p>
        </w:tc>
        <w:tc>
          <w:tcPr>
            <w:tcW w:w="281" w:type="dxa"/>
            <w:tcBorders/>
            <w:vAlign w:val="center"/>
          </w:tcPr>
          <w:p>
            <w:pPr>
              <w:pStyle w:val="TableContents"/>
              <w:bidi w:val="0"/>
              <w:spacing w:before="0" w:after="283"/>
              <w:ind w:left="0" w:right="0" w:hanging="720"/>
              <w:jc w:val="right"/>
              <w:rPr/>
            </w:pPr>
            <w:r>
              <w:rPr/>
              <w:t>34</w:t>
            </w:r>
          </w:p>
        </w:tc>
      </w:tr>
      <w:tr>
        <w:trPr/>
        <w:tc>
          <w:tcPr>
            <w:tcW w:w="8108" w:type="dxa"/>
            <w:tcBorders/>
            <w:vAlign w:val="center"/>
          </w:tcPr>
          <w:p>
            <w:pPr>
              <w:pStyle w:val="TableContents"/>
              <w:bidi w:val="0"/>
              <w:spacing w:before="0" w:after="283"/>
              <w:jc w:val="left"/>
              <w:rPr/>
            </w:pPr>
            <w:r>
              <w:rPr/>
              <w:t>Section 7.06.  </w:t>
            </w:r>
            <w:r>
              <w:rPr>
                <w:i/>
              </w:rPr>
              <w:t>Reports by Trustee to Holders</w:t>
            </w:r>
          </w:p>
        </w:tc>
        <w:tc>
          <w:tcPr>
            <w:tcW w:w="281" w:type="dxa"/>
            <w:tcBorders/>
            <w:vAlign w:val="center"/>
          </w:tcPr>
          <w:p>
            <w:pPr>
              <w:pStyle w:val="TableContents"/>
              <w:bidi w:val="0"/>
              <w:spacing w:before="0" w:after="283"/>
              <w:ind w:left="0" w:right="0" w:hanging="720"/>
              <w:jc w:val="right"/>
              <w:rPr/>
            </w:pPr>
            <w:r>
              <w:rPr/>
              <w:t>34</w:t>
            </w:r>
          </w:p>
        </w:tc>
      </w:tr>
      <w:tr>
        <w:trPr/>
        <w:tc>
          <w:tcPr>
            <w:tcW w:w="8108" w:type="dxa"/>
            <w:tcBorders/>
            <w:vAlign w:val="center"/>
          </w:tcPr>
          <w:p>
            <w:pPr>
              <w:pStyle w:val="TableContents"/>
              <w:bidi w:val="0"/>
              <w:spacing w:before="0" w:after="283"/>
              <w:jc w:val="left"/>
              <w:rPr/>
            </w:pPr>
            <w:r>
              <w:rPr/>
              <w:t>Section 7.07.  </w:t>
            </w:r>
            <w:r>
              <w:rPr>
                <w:i/>
              </w:rPr>
              <w:t>Compensation and Indemnity</w:t>
            </w:r>
          </w:p>
        </w:tc>
        <w:tc>
          <w:tcPr>
            <w:tcW w:w="281" w:type="dxa"/>
            <w:tcBorders/>
            <w:vAlign w:val="center"/>
          </w:tcPr>
          <w:p>
            <w:pPr>
              <w:pStyle w:val="TableContents"/>
              <w:bidi w:val="0"/>
              <w:spacing w:before="0" w:after="283"/>
              <w:ind w:left="0" w:right="0" w:hanging="720"/>
              <w:jc w:val="right"/>
              <w:rPr/>
            </w:pPr>
            <w:r>
              <w:rPr/>
              <w:t>34</w:t>
            </w:r>
          </w:p>
        </w:tc>
      </w:tr>
      <w:tr>
        <w:trPr/>
        <w:tc>
          <w:tcPr>
            <w:tcW w:w="8108" w:type="dxa"/>
            <w:tcBorders/>
            <w:vAlign w:val="center"/>
          </w:tcPr>
          <w:p>
            <w:pPr>
              <w:pStyle w:val="TableContents"/>
              <w:bidi w:val="0"/>
              <w:spacing w:before="0" w:after="283"/>
              <w:jc w:val="left"/>
              <w:rPr/>
            </w:pPr>
            <w:r>
              <w:rPr/>
              <w:t>Section 7.08.  </w:t>
            </w:r>
            <w:r>
              <w:rPr>
                <w:i/>
              </w:rPr>
              <w:t>Replacement of Trustee</w:t>
            </w:r>
          </w:p>
        </w:tc>
        <w:tc>
          <w:tcPr>
            <w:tcW w:w="281" w:type="dxa"/>
            <w:tcBorders/>
            <w:vAlign w:val="center"/>
          </w:tcPr>
          <w:p>
            <w:pPr>
              <w:pStyle w:val="TableContents"/>
              <w:bidi w:val="0"/>
              <w:spacing w:before="0" w:after="283"/>
              <w:ind w:left="0" w:right="0" w:hanging="720"/>
              <w:jc w:val="right"/>
              <w:rPr/>
            </w:pPr>
            <w:r>
              <w:rPr/>
              <w:t>35</w:t>
            </w:r>
          </w:p>
        </w:tc>
      </w:tr>
      <w:tr>
        <w:trPr/>
        <w:tc>
          <w:tcPr>
            <w:tcW w:w="8108" w:type="dxa"/>
            <w:tcBorders/>
            <w:vAlign w:val="center"/>
          </w:tcPr>
          <w:p>
            <w:pPr>
              <w:pStyle w:val="TableContents"/>
              <w:bidi w:val="0"/>
              <w:spacing w:before="0" w:after="283"/>
              <w:jc w:val="left"/>
              <w:rPr/>
            </w:pPr>
            <w:r>
              <w:rPr/>
              <w:t>Section 7.09.  </w:t>
            </w:r>
            <w:r>
              <w:rPr>
                <w:i/>
              </w:rPr>
              <w:t>Acceptance of Appointment by Successor</w:t>
            </w:r>
          </w:p>
        </w:tc>
        <w:tc>
          <w:tcPr>
            <w:tcW w:w="281" w:type="dxa"/>
            <w:tcBorders/>
            <w:vAlign w:val="center"/>
          </w:tcPr>
          <w:p>
            <w:pPr>
              <w:pStyle w:val="TableContents"/>
              <w:bidi w:val="0"/>
              <w:spacing w:before="0" w:after="283"/>
              <w:ind w:left="0" w:right="0" w:hanging="720"/>
              <w:jc w:val="right"/>
              <w:rPr/>
            </w:pPr>
            <w:r>
              <w:rPr/>
              <w:t>36</w:t>
            </w:r>
          </w:p>
        </w:tc>
      </w:tr>
      <w:tr>
        <w:trPr/>
        <w:tc>
          <w:tcPr>
            <w:tcW w:w="8108" w:type="dxa"/>
            <w:tcBorders/>
            <w:vAlign w:val="center"/>
          </w:tcPr>
          <w:p>
            <w:pPr>
              <w:pStyle w:val="TableContents"/>
              <w:bidi w:val="0"/>
              <w:spacing w:before="0" w:after="283"/>
              <w:jc w:val="left"/>
              <w:rPr/>
            </w:pPr>
            <w:r>
              <w:rPr/>
              <w:t>Section 7.10.  </w:t>
            </w:r>
            <w:r>
              <w:rPr>
                <w:i/>
              </w:rPr>
              <w:t>Successor Trustee By Merger, Etc</w:t>
            </w:r>
          </w:p>
        </w:tc>
        <w:tc>
          <w:tcPr>
            <w:tcW w:w="281" w:type="dxa"/>
            <w:tcBorders/>
            <w:vAlign w:val="center"/>
          </w:tcPr>
          <w:p>
            <w:pPr>
              <w:pStyle w:val="TableContents"/>
              <w:bidi w:val="0"/>
              <w:spacing w:before="0" w:after="283"/>
              <w:ind w:left="0" w:right="0" w:hanging="720"/>
              <w:jc w:val="right"/>
              <w:rPr/>
            </w:pPr>
            <w:r>
              <w:rPr/>
              <w:t>37</w:t>
            </w:r>
          </w:p>
        </w:tc>
      </w:tr>
      <w:tr>
        <w:trPr/>
        <w:tc>
          <w:tcPr>
            <w:tcW w:w="8108" w:type="dxa"/>
            <w:tcBorders/>
            <w:vAlign w:val="center"/>
          </w:tcPr>
          <w:p>
            <w:pPr>
              <w:pStyle w:val="TableContents"/>
              <w:bidi w:val="0"/>
              <w:spacing w:before="0" w:after="283"/>
              <w:jc w:val="left"/>
              <w:rPr/>
            </w:pPr>
            <w:r>
              <w:rPr/>
              <w:t>Section 7.11.  </w:t>
            </w:r>
            <w:r>
              <w:rPr>
                <w:i/>
              </w:rPr>
              <w:t>Eligibility</w:t>
            </w:r>
          </w:p>
        </w:tc>
        <w:tc>
          <w:tcPr>
            <w:tcW w:w="281" w:type="dxa"/>
            <w:tcBorders/>
            <w:vAlign w:val="center"/>
          </w:tcPr>
          <w:p>
            <w:pPr>
              <w:pStyle w:val="TableContents"/>
              <w:bidi w:val="0"/>
              <w:spacing w:before="0" w:after="283"/>
              <w:ind w:left="0" w:right="0" w:hanging="720"/>
              <w:jc w:val="right"/>
              <w:rPr/>
            </w:pPr>
            <w:r>
              <w:rPr/>
              <w:t>37</w:t>
            </w:r>
          </w:p>
        </w:tc>
      </w:tr>
      <w:tr>
        <w:trPr/>
        <w:tc>
          <w:tcPr>
            <w:tcW w:w="8108" w:type="dxa"/>
            <w:tcBorders/>
            <w:vAlign w:val="center"/>
          </w:tcPr>
          <w:p>
            <w:pPr>
              <w:pStyle w:val="TableContents"/>
              <w:bidi w:val="0"/>
              <w:spacing w:before="0" w:after="283"/>
              <w:jc w:val="left"/>
              <w:rPr/>
            </w:pPr>
            <w:r>
              <w:rPr/>
              <w:t>Section 7.12.  </w:t>
            </w:r>
            <w:r>
              <w:rPr>
                <w:i/>
              </w:rPr>
              <w:t>Money Held in Trust</w:t>
            </w:r>
          </w:p>
        </w:tc>
        <w:tc>
          <w:tcPr>
            <w:tcW w:w="281" w:type="dxa"/>
            <w:tcBorders/>
            <w:vAlign w:val="center"/>
          </w:tcPr>
          <w:p>
            <w:pPr>
              <w:pStyle w:val="TableContents"/>
              <w:bidi w:val="0"/>
              <w:spacing w:before="0" w:after="283"/>
              <w:jc w:val="right"/>
              <w:rPr/>
            </w:pPr>
            <w:r>
              <w:rPr/>
              <w:t>37</w:t>
            </w:r>
          </w:p>
        </w:tc>
      </w:tr>
      <w:tr>
        <w:trPr/>
        <w:tc>
          <w:tcPr>
            <w:tcW w:w="8389" w:type="dxa"/>
            <w:gridSpan w:val="2"/>
            <w:tcBorders/>
            <w:vAlign w:val="center"/>
          </w:tcPr>
          <w:p>
            <w:pPr>
              <w:pStyle w:val="TableContents"/>
              <w:bidi w:val="0"/>
              <w:spacing w:before="0" w:after="283"/>
              <w:ind w:left="0" w:right="0" w:hanging="720"/>
              <w:jc w:val="center"/>
              <w:rPr/>
            </w:pPr>
            <w:r>
              <w:rPr/>
              <w:t xml:space="preserve">Article 8 </w:t>
              <w:br/>
              <w:t>SATISFACTION AND DISCHARGE OF INDENTURE; UNCLAIMED MONEYS</w:t>
            </w:r>
          </w:p>
        </w:tc>
      </w:tr>
      <w:tr>
        <w:trPr/>
        <w:tc>
          <w:tcPr>
            <w:tcW w:w="8108" w:type="dxa"/>
            <w:tcBorders/>
            <w:vAlign w:val="center"/>
          </w:tcPr>
          <w:p>
            <w:pPr>
              <w:pStyle w:val="TableContents"/>
              <w:bidi w:val="0"/>
              <w:spacing w:before="0" w:after="283"/>
              <w:jc w:val="left"/>
              <w:rPr/>
            </w:pPr>
            <w:r>
              <w:rPr/>
              <w:t>Section 8.01.  </w:t>
            </w:r>
            <w:r>
              <w:rPr>
                <w:i/>
              </w:rPr>
              <w:t>Satisfaction and Discharge of Indenture</w:t>
            </w:r>
          </w:p>
        </w:tc>
        <w:tc>
          <w:tcPr>
            <w:tcW w:w="281" w:type="dxa"/>
            <w:tcBorders/>
            <w:vAlign w:val="center"/>
          </w:tcPr>
          <w:p>
            <w:pPr>
              <w:pStyle w:val="TableContents"/>
              <w:bidi w:val="0"/>
              <w:spacing w:before="0" w:after="283"/>
              <w:ind w:left="0" w:right="0" w:hanging="720"/>
              <w:jc w:val="right"/>
              <w:rPr/>
            </w:pPr>
            <w:r>
              <w:rPr/>
              <w:t>38</w:t>
            </w:r>
          </w:p>
        </w:tc>
      </w:tr>
      <w:tr>
        <w:trPr/>
        <w:tc>
          <w:tcPr>
            <w:tcW w:w="8108" w:type="dxa"/>
            <w:tcBorders/>
            <w:vAlign w:val="center"/>
          </w:tcPr>
          <w:p>
            <w:pPr>
              <w:pStyle w:val="TableContents"/>
              <w:bidi w:val="0"/>
              <w:spacing w:before="0" w:after="283"/>
              <w:jc w:val="left"/>
              <w:rPr/>
            </w:pPr>
            <w:r>
              <w:rPr/>
              <w:t>Section 8.02.  </w:t>
            </w:r>
            <w:r>
              <w:rPr>
                <w:i/>
              </w:rPr>
              <w:t>Application by Trustee of Funds Deposited for Payment of Securities</w:t>
            </w:r>
          </w:p>
        </w:tc>
        <w:tc>
          <w:tcPr>
            <w:tcW w:w="281" w:type="dxa"/>
            <w:tcBorders/>
            <w:vAlign w:val="center"/>
          </w:tcPr>
          <w:p>
            <w:pPr>
              <w:pStyle w:val="TableContents"/>
              <w:bidi w:val="0"/>
              <w:spacing w:before="0" w:after="283"/>
              <w:ind w:left="0" w:right="0" w:hanging="720"/>
              <w:jc w:val="right"/>
              <w:rPr/>
            </w:pPr>
            <w:r>
              <w:rPr/>
              <w:t>39</w:t>
            </w:r>
          </w:p>
        </w:tc>
      </w:tr>
      <w:tr>
        <w:trPr/>
        <w:tc>
          <w:tcPr>
            <w:tcW w:w="8108" w:type="dxa"/>
            <w:tcBorders/>
            <w:vAlign w:val="center"/>
          </w:tcPr>
          <w:p>
            <w:pPr>
              <w:pStyle w:val="TableContents"/>
              <w:bidi w:val="0"/>
              <w:spacing w:before="0" w:after="283"/>
              <w:jc w:val="left"/>
              <w:rPr/>
            </w:pPr>
            <w:r>
              <w:rPr/>
              <w:t>Section 8.03.  </w:t>
            </w:r>
            <w:r>
              <w:rPr>
                <w:i/>
              </w:rPr>
              <w:t>Repayment of Moneys Held by Paying Agent</w:t>
            </w:r>
          </w:p>
        </w:tc>
        <w:tc>
          <w:tcPr>
            <w:tcW w:w="281" w:type="dxa"/>
            <w:tcBorders/>
            <w:vAlign w:val="center"/>
          </w:tcPr>
          <w:p>
            <w:pPr>
              <w:pStyle w:val="TableContents"/>
              <w:bidi w:val="0"/>
              <w:spacing w:before="0" w:after="283"/>
              <w:jc w:val="right"/>
              <w:rPr/>
            </w:pPr>
            <w:r>
              <w:rPr/>
              <w:t>39</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30"/>
        <w:gridCol w:w="275"/>
      </w:tblGrid>
      <w:tr>
        <w:trPr/>
        <w:tc>
          <w:tcPr>
            <w:tcW w:w="9930" w:type="dxa"/>
            <w:tcBorders/>
            <w:vAlign w:val="center"/>
          </w:tcPr>
          <w:p>
            <w:pPr>
              <w:pStyle w:val="TableContents"/>
              <w:bidi w:val="0"/>
              <w:spacing w:before="0" w:after="283"/>
              <w:ind w:left="0" w:right="0" w:hanging="720"/>
              <w:jc w:val="left"/>
              <w:rPr/>
            </w:pPr>
            <w:r>
              <w:rPr/>
              <w:t>Section 8.04.  </w:t>
            </w:r>
            <w:r>
              <w:rPr>
                <w:i/>
              </w:rPr>
              <w:t>Return of Moneys Held by Trustee and Paying Agent Unclaimed for Two Years</w:t>
            </w:r>
          </w:p>
        </w:tc>
        <w:tc>
          <w:tcPr>
            <w:tcW w:w="275" w:type="dxa"/>
            <w:tcBorders/>
            <w:vAlign w:val="center"/>
          </w:tcPr>
          <w:p>
            <w:pPr>
              <w:pStyle w:val="TableContents"/>
              <w:bidi w:val="0"/>
              <w:spacing w:before="0" w:after="283"/>
              <w:ind w:left="0" w:right="0" w:hanging="720"/>
              <w:jc w:val="right"/>
              <w:rPr/>
            </w:pPr>
            <w:r>
              <w:rPr/>
              <w:t>39</w:t>
            </w:r>
          </w:p>
        </w:tc>
      </w:tr>
      <w:tr>
        <w:trPr/>
        <w:tc>
          <w:tcPr>
            <w:tcW w:w="9930" w:type="dxa"/>
            <w:tcBorders/>
            <w:vAlign w:val="center"/>
          </w:tcPr>
          <w:p>
            <w:pPr>
              <w:pStyle w:val="TableContents"/>
              <w:bidi w:val="0"/>
              <w:spacing w:before="0" w:after="283"/>
              <w:jc w:val="left"/>
              <w:rPr/>
            </w:pPr>
            <w:r>
              <w:rPr/>
              <w:t>Section 8.05.  </w:t>
            </w:r>
            <w:r>
              <w:rPr>
                <w:i/>
              </w:rPr>
              <w:t>Defeasance and Discharge of Indenture</w:t>
            </w:r>
          </w:p>
        </w:tc>
        <w:tc>
          <w:tcPr>
            <w:tcW w:w="275" w:type="dxa"/>
            <w:tcBorders/>
            <w:vAlign w:val="center"/>
          </w:tcPr>
          <w:p>
            <w:pPr>
              <w:pStyle w:val="TableContents"/>
              <w:bidi w:val="0"/>
              <w:spacing w:before="0" w:after="283"/>
              <w:ind w:left="0" w:right="0" w:hanging="720"/>
              <w:jc w:val="right"/>
              <w:rPr/>
            </w:pPr>
            <w:r>
              <w:rPr/>
              <w:t>39</w:t>
            </w:r>
          </w:p>
        </w:tc>
      </w:tr>
      <w:tr>
        <w:trPr/>
        <w:tc>
          <w:tcPr>
            <w:tcW w:w="9930" w:type="dxa"/>
            <w:tcBorders/>
            <w:vAlign w:val="center"/>
          </w:tcPr>
          <w:p>
            <w:pPr>
              <w:pStyle w:val="TableContents"/>
              <w:bidi w:val="0"/>
              <w:spacing w:before="0" w:after="283"/>
              <w:jc w:val="left"/>
              <w:rPr/>
            </w:pPr>
            <w:r>
              <w:rPr/>
              <w:t>Section 8.06.  </w:t>
            </w:r>
            <w:r>
              <w:rPr>
                <w:i/>
              </w:rPr>
              <w:t>Defeasance of Certain Obligations</w:t>
            </w:r>
          </w:p>
        </w:tc>
        <w:tc>
          <w:tcPr>
            <w:tcW w:w="275" w:type="dxa"/>
            <w:tcBorders/>
            <w:vAlign w:val="center"/>
          </w:tcPr>
          <w:p>
            <w:pPr>
              <w:pStyle w:val="TableContents"/>
              <w:bidi w:val="0"/>
              <w:spacing w:before="0" w:after="283"/>
              <w:ind w:left="0" w:right="0" w:hanging="720"/>
              <w:jc w:val="right"/>
              <w:rPr/>
            </w:pPr>
            <w:r>
              <w:rPr/>
              <w:t>41</w:t>
            </w:r>
          </w:p>
        </w:tc>
      </w:tr>
      <w:tr>
        <w:trPr/>
        <w:tc>
          <w:tcPr>
            <w:tcW w:w="9930" w:type="dxa"/>
            <w:tcBorders/>
            <w:vAlign w:val="center"/>
          </w:tcPr>
          <w:p>
            <w:pPr>
              <w:pStyle w:val="TableContents"/>
              <w:bidi w:val="0"/>
              <w:spacing w:before="0" w:after="283"/>
              <w:jc w:val="left"/>
              <w:rPr/>
            </w:pPr>
            <w:r>
              <w:rPr/>
              <w:t>Section 8.07.  </w:t>
            </w:r>
            <w:r>
              <w:rPr>
                <w:i/>
              </w:rPr>
              <w:t>Reinstatement</w:t>
            </w:r>
          </w:p>
        </w:tc>
        <w:tc>
          <w:tcPr>
            <w:tcW w:w="275" w:type="dxa"/>
            <w:tcBorders/>
            <w:vAlign w:val="center"/>
          </w:tcPr>
          <w:p>
            <w:pPr>
              <w:pStyle w:val="TableContents"/>
              <w:bidi w:val="0"/>
              <w:spacing w:before="0" w:after="283"/>
              <w:ind w:left="0" w:right="0" w:hanging="720"/>
              <w:jc w:val="right"/>
              <w:rPr/>
            </w:pPr>
            <w:r>
              <w:rPr/>
              <w:t>42</w:t>
            </w:r>
          </w:p>
        </w:tc>
      </w:tr>
      <w:tr>
        <w:trPr/>
        <w:tc>
          <w:tcPr>
            <w:tcW w:w="9930" w:type="dxa"/>
            <w:tcBorders/>
            <w:vAlign w:val="center"/>
          </w:tcPr>
          <w:p>
            <w:pPr>
              <w:pStyle w:val="TableContents"/>
              <w:bidi w:val="0"/>
              <w:spacing w:before="0" w:after="283"/>
              <w:jc w:val="left"/>
              <w:rPr/>
            </w:pPr>
            <w:r>
              <w:rPr/>
              <w:t>Section 8.08.  </w:t>
            </w:r>
            <w:r>
              <w:rPr>
                <w:i/>
              </w:rPr>
              <w:t>Indemnity</w:t>
            </w:r>
          </w:p>
        </w:tc>
        <w:tc>
          <w:tcPr>
            <w:tcW w:w="275" w:type="dxa"/>
            <w:tcBorders/>
            <w:vAlign w:val="center"/>
          </w:tcPr>
          <w:p>
            <w:pPr>
              <w:pStyle w:val="TableContents"/>
              <w:bidi w:val="0"/>
              <w:spacing w:before="0" w:after="283"/>
              <w:ind w:left="0" w:right="0" w:hanging="720"/>
              <w:jc w:val="right"/>
              <w:rPr/>
            </w:pPr>
            <w:r>
              <w:rPr/>
              <w:t>42</w:t>
            </w:r>
          </w:p>
        </w:tc>
      </w:tr>
      <w:tr>
        <w:trPr/>
        <w:tc>
          <w:tcPr>
            <w:tcW w:w="9930" w:type="dxa"/>
            <w:tcBorders/>
            <w:vAlign w:val="center"/>
          </w:tcPr>
          <w:p>
            <w:pPr>
              <w:pStyle w:val="TableContents"/>
              <w:bidi w:val="0"/>
              <w:spacing w:before="0" w:after="283"/>
              <w:jc w:val="left"/>
              <w:rPr/>
            </w:pPr>
            <w:r>
              <w:rPr/>
              <w:t>Section 8.09.  </w:t>
            </w:r>
            <w:r>
              <w:rPr>
                <w:i/>
              </w:rPr>
              <w:t>Excess Funds</w:t>
            </w:r>
          </w:p>
        </w:tc>
        <w:tc>
          <w:tcPr>
            <w:tcW w:w="275" w:type="dxa"/>
            <w:tcBorders/>
            <w:vAlign w:val="center"/>
          </w:tcPr>
          <w:p>
            <w:pPr>
              <w:pStyle w:val="TableContents"/>
              <w:bidi w:val="0"/>
              <w:spacing w:before="0" w:after="283"/>
              <w:ind w:left="0" w:right="0" w:hanging="720"/>
              <w:jc w:val="right"/>
              <w:rPr/>
            </w:pPr>
            <w:r>
              <w:rPr/>
              <w:t>42</w:t>
            </w:r>
          </w:p>
        </w:tc>
      </w:tr>
      <w:tr>
        <w:trPr/>
        <w:tc>
          <w:tcPr>
            <w:tcW w:w="9930" w:type="dxa"/>
            <w:tcBorders/>
            <w:vAlign w:val="center"/>
          </w:tcPr>
          <w:p>
            <w:pPr>
              <w:pStyle w:val="TableContents"/>
              <w:bidi w:val="0"/>
              <w:spacing w:before="0" w:after="283"/>
              <w:jc w:val="left"/>
              <w:rPr/>
            </w:pPr>
            <w:r>
              <w:rPr/>
              <w:t>Section 8.10.  </w:t>
            </w:r>
            <w:r>
              <w:rPr>
                <w:i/>
              </w:rPr>
              <w:t>Qualifying Trustee</w:t>
            </w:r>
          </w:p>
        </w:tc>
        <w:tc>
          <w:tcPr>
            <w:tcW w:w="275" w:type="dxa"/>
            <w:tcBorders/>
            <w:vAlign w:val="center"/>
          </w:tcPr>
          <w:p>
            <w:pPr>
              <w:pStyle w:val="TableContents"/>
              <w:bidi w:val="0"/>
              <w:spacing w:before="0" w:after="283"/>
              <w:jc w:val="right"/>
              <w:rPr/>
            </w:pPr>
            <w:r>
              <w:rPr/>
              <w:t>42</w:t>
            </w:r>
          </w:p>
        </w:tc>
      </w:tr>
      <w:tr>
        <w:trPr/>
        <w:tc>
          <w:tcPr>
            <w:tcW w:w="10205" w:type="dxa"/>
            <w:gridSpan w:val="2"/>
            <w:tcBorders/>
            <w:vAlign w:val="center"/>
          </w:tcPr>
          <w:p>
            <w:pPr>
              <w:pStyle w:val="TableContents"/>
              <w:bidi w:val="0"/>
              <w:spacing w:before="0" w:after="283"/>
              <w:ind w:left="0" w:right="0" w:hanging="720"/>
              <w:jc w:val="center"/>
              <w:rPr/>
            </w:pPr>
            <w:r>
              <w:rPr/>
              <w:t xml:space="preserve">Article 9 </w:t>
              <w:br/>
              <w:t>AMENDMENTS, SUPPLEMENTS AND WAIVERS</w:t>
            </w:r>
          </w:p>
        </w:tc>
      </w:tr>
      <w:tr>
        <w:trPr/>
        <w:tc>
          <w:tcPr>
            <w:tcW w:w="9930" w:type="dxa"/>
            <w:tcBorders/>
            <w:vAlign w:val="center"/>
          </w:tcPr>
          <w:p>
            <w:pPr>
              <w:pStyle w:val="TableContents"/>
              <w:bidi w:val="0"/>
              <w:spacing w:before="0" w:after="283"/>
              <w:jc w:val="left"/>
              <w:rPr/>
            </w:pPr>
            <w:r>
              <w:rPr/>
              <w:t>Section 9.01.  </w:t>
            </w:r>
            <w:r>
              <w:rPr>
                <w:i/>
              </w:rPr>
              <w:t>Without Consent of Holders</w:t>
            </w:r>
          </w:p>
        </w:tc>
        <w:tc>
          <w:tcPr>
            <w:tcW w:w="275" w:type="dxa"/>
            <w:tcBorders/>
            <w:vAlign w:val="center"/>
          </w:tcPr>
          <w:p>
            <w:pPr>
              <w:pStyle w:val="TableContents"/>
              <w:bidi w:val="0"/>
              <w:spacing w:before="0" w:after="283"/>
              <w:ind w:left="0" w:right="0" w:hanging="720"/>
              <w:jc w:val="right"/>
              <w:rPr/>
            </w:pPr>
            <w:r>
              <w:rPr/>
              <w:t>43</w:t>
            </w:r>
          </w:p>
        </w:tc>
      </w:tr>
      <w:tr>
        <w:trPr/>
        <w:tc>
          <w:tcPr>
            <w:tcW w:w="9930" w:type="dxa"/>
            <w:tcBorders/>
            <w:vAlign w:val="center"/>
          </w:tcPr>
          <w:p>
            <w:pPr>
              <w:pStyle w:val="TableContents"/>
              <w:bidi w:val="0"/>
              <w:spacing w:before="0" w:after="283"/>
              <w:jc w:val="left"/>
              <w:rPr/>
            </w:pPr>
            <w:r>
              <w:rPr/>
              <w:t>Section 9.02.  </w:t>
            </w:r>
            <w:r>
              <w:rPr>
                <w:i/>
              </w:rPr>
              <w:t>With Consent of Holders</w:t>
            </w:r>
          </w:p>
        </w:tc>
        <w:tc>
          <w:tcPr>
            <w:tcW w:w="275" w:type="dxa"/>
            <w:tcBorders/>
            <w:vAlign w:val="center"/>
          </w:tcPr>
          <w:p>
            <w:pPr>
              <w:pStyle w:val="TableContents"/>
              <w:bidi w:val="0"/>
              <w:spacing w:before="0" w:after="283"/>
              <w:ind w:left="0" w:right="0" w:hanging="720"/>
              <w:jc w:val="right"/>
              <w:rPr/>
            </w:pPr>
            <w:r>
              <w:rPr/>
              <w:t>43</w:t>
            </w:r>
          </w:p>
        </w:tc>
      </w:tr>
      <w:tr>
        <w:trPr/>
        <w:tc>
          <w:tcPr>
            <w:tcW w:w="9930" w:type="dxa"/>
            <w:tcBorders/>
            <w:vAlign w:val="center"/>
          </w:tcPr>
          <w:p>
            <w:pPr>
              <w:pStyle w:val="TableContents"/>
              <w:bidi w:val="0"/>
              <w:spacing w:before="0" w:after="283"/>
              <w:jc w:val="left"/>
              <w:rPr/>
            </w:pPr>
            <w:r>
              <w:rPr/>
              <w:t>Section 9.03.  </w:t>
            </w:r>
            <w:r>
              <w:rPr>
                <w:i/>
              </w:rPr>
              <w:t>Revocation and Effect of Consent</w:t>
            </w:r>
          </w:p>
        </w:tc>
        <w:tc>
          <w:tcPr>
            <w:tcW w:w="275" w:type="dxa"/>
            <w:tcBorders/>
            <w:vAlign w:val="center"/>
          </w:tcPr>
          <w:p>
            <w:pPr>
              <w:pStyle w:val="TableContents"/>
              <w:bidi w:val="0"/>
              <w:spacing w:before="0" w:after="283"/>
              <w:ind w:left="0" w:right="0" w:hanging="720"/>
              <w:jc w:val="right"/>
              <w:rPr/>
            </w:pPr>
            <w:r>
              <w:rPr/>
              <w:t>44</w:t>
            </w:r>
          </w:p>
        </w:tc>
      </w:tr>
      <w:tr>
        <w:trPr/>
        <w:tc>
          <w:tcPr>
            <w:tcW w:w="9930" w:type="dxa"/>
            <w:tcBorders/>
            <w:vAlign w:val="center"/>
          </w:tcPr>
          <w:p>
            <w:pPr>
              <w:pStyle w:val="TableContents"/>
              <w:bidi w:val="0"/>
              <w:spacing w:before="0" w:after="283"/>
              <w:jc w:val="left"/>
              <w:rPr/>
            </w:pPr>
            <w:r>
              <w:rPr/>
              <w:t>Section 9.04.  </w:t>
            </w:r>
            <w:r>
              <w:rPr>
                <w:i/>
              </w:rPr>
              <w:t>Notation on or Exchange of Securities</w:t>
            </w:r>
          </w:p>
        </w:tc>
        <w:tc>
          <w:tcPr>
            <w:tcW w:w="275" w:type="dxa"/>
            <w:tcBorders/>
            <w:vAlign w:val="center"/>
          </w:tcPr>
          <w:p>
            <w:pPr>
              <w:pStyle w:val="TableContents"/>
              <w:bidi w:val="0"/>
              <w:spacing w:before="0" w:after="283"/>
              <w:ind w:left="0" w:right="0" w:hanging="720"/>
              <w:jc w:val="right"/>
              <w:rPr/>
            </w:pPr>
            <w:r>
              <w:rPr/>
              <w:t>45</w:t>
            </w:r>
          </w:p>
        </w:tc>
      </w:tr>
      <w:tr>
        <w:trPr/>
        <w:tc>
          <w:tcPr>
            <w:tcW w:w="9930" w:type="dxa"/>
            <w:tcBorders/>
            <w:vAlign w:val="center"/>
          </w:tcPr>
          <w:p>
            <w:pPr>
              <w:pStyle w:val="TableContents"/>
              <w:bidi w:val="0"/>
              <w:spacing w:before="0" w:after="283"/>
              <w:jc w:val="left"/>
              <w:rPr/>
            </w:pPr>
            <w:r>
              <w:rPr/>
              <w:t>Section 9.05.  </w:t>
            </w:r>
            <w:r>
              <w:rPr>
                <w:i/>
              </w:rPr>
              <w:t>Trustee to Sign Amendments, Etc</w:t>
            </w:r>
          </w:p>
        </w:tc>
        <w:tc>
          <w:tcPr>
            <w:tcW w:w="275" w:type="dxa"/>
            <w:tcBorders/>
            <w:vAlign w:val="center"/>
          </w:tcPr>
          <w:p>
            <w:pPr>
              <w:pStyle w:val="TableContents"/>
              <w:bidi w:val="0"/>
              <w:spacing w:before="0" w:after="283"/>
              <w:ind w:left="0" w:right="0" w:hanging="720"/>
              <w:jc w:val="right"/>
              <w:rPr/>
            </w:pPr>
            <w:r>
              <w:rPr/>
              <w:t>45</w:t>
            </w:r>
          </w:p>
        </w:tc>
      </w:tr>
      <w:tr>
        <w:trPr/>
        <w:tc>
          <w:tcPr>
            <w:tcW w:w="9930" w:type="dxa"/>
            <w:tcBorders/>
            <w:vAlign w:val="center"/>
          </w:tcPr>
          <w:p>
            <w:pPr>
              <w:pStyle w:val="TableContents"/>
              <w:bidi w:val="0"/>
              <w:spacing w:before="0" w:after="283"/>
              <w:jc w:val="left"/>
              <w:rPr/>
            </w:pPr>
            <w:r>
              <w:rPr/>
              <w:t>Section 9.06.  </w:t>
            </w:r>
            <w:r>
              <w:rPr>
                <w:i/>
              </w:rPr>
              <w:t>Conformity with Trust Indenture Act</w:t>
            </w:r>
          </w:p>
        </w:tc>
        <w:tc>
          <w:tcPr>
            <w:tcW w:w="275" w:type="dxa"/>
            <w:tcBorders/>
            <w:vAlign w:val="center"/>
          </w:tcPr>
          <w:p>
            <w:pPr>
              <w:pStyle w:val="TableContents"/>
              <w:bidi w:val="0"/>
              <w:spacing w:before="0" w:after="283"/>
              <w:jc w:val="right"/>
              <w:rPr/>
            </w:pPr>
            <w:r>
              <w:rPr/>
              <w:t>45</w:t>
            </w:r>
          </w:p>
        </w:tc>
      </w:tr>
      <w:tr>
        <w:trPr/>
        <w:tc>
          <w:tcPr>
            <w:tcW w:w="10205" w:type="dxa"/>
            <w:gridSpan w:val="2"/>
            <w:tcBorders/>
            <w:vAlign w:val="center"/>
          </w:tcPr>
          <w:p>
            <w:pPr>
              <w:pStyle w:val="TableContents"/>
              <w:bidi w:val="0"/>
              <w:spacing w:before="0" w:after="283"/>
              <w:ind w:left="0" w:right="0" w:hanging="720"/>
              <w:jc w:val="center"/>
              <w:rPr/>
            </w:pPr>
            <w:r>
              <w:rPr/>
              <w:t xml:space="preserve">Article 10 </w:t>
              <w:br/>
              <w:t>MISCELLANEOUS</w:t>
            </w:r>
          </w:p>
        </w:tc>
      </w:tr>
      <w:tr>
        <w:trPr/>
        <w:tc>
          <w:tcPr>
            <w:tcW w:w="9930" w:type="dxa"/>
            <w:tcBorders/>
            <w:vAlign w:val="center"/>
          </w:tcPr>
          <w:p>
            <w:pPr>
              <w:pStyle w:val="TableContents"/>
              <w:bidi w:val="0"/>
              <w:spacing w:before="0" w:after="283"/>
              <w:jc w:val="left"/>
              <w:rPr/>
            </w:pPr>
            <w:r>
              <w:rPr/>
              <w:t>Section 10.01.  </w:t>
            </w:r>
            <w:r>
              <w:rPr>
                <w:i/>
              </w:rPr>
              <w:t>Trust Indenture Act of 1939</w:t>
            </w:r>
          </w:p>
        </w:tc>
        <w:tc>
          <w:tcPr>
            <w:tcW w:w="275" w:type="dxa"/>
            <w:tcBorders/>
            <w:vAlign w:val="center"/>
          </w:tcPr>
          <w:p>
            <w:pPr>
              <w:pStyle w:val="TableContents"/>
              <w:bidi w:val="0"/>
              <w:spacing w:before="0" w:after="283"/>
              <w:ind w:left="0" w:right="0" w:hanging="720"/>
              <w:jc w:val="right"/>
              <w:rPr/>
            </w:pPr>
            <w:r>
              <w:rPr/>
              <w:t>45</w:t>
            </w:r>
          </w:p>
        </w:tc>
      </w:tr>
      <w:tr>
        <w:trPr/>
        <w:tc>
          <w:tcPr>
            <w:tcW w:w="9930" w:type="dxa"/>
            <w:tcBorders/>
            <w:vAlign w:val="center"/>
          </w:tcPr>
          <w:p>
            <w:pPr>
              <w:pStyle w:val="TableContents"/>
              <w:bidi w:val="0"/>
              <w:spacing w:before="0" w:after="283"/>
              <w:jc w:val="left"/>
              <w:rPr/>
            </w:pPr>
            <w:r>
              <w:rPr/>
              <w:t>Section 10.02.  </w:t>
            </w:r>
            <w:r>
              <w:rPr>
                <w:i/>
              </w:rPr>
              <w:t>Notices</w:t>
            </w:r>
          </w:p>
        </w:tc>
        <w:tc>
          <w:tcPr>
            <w:tcW w:w="275" w:type="dxa"/>
            <w:tcBorders/>
            <w:vAlign w:val="center"/>
          </w:tcPr>
          <w:p>
            <w:pPr>
              <w:pStyle w:val="TableContents"/>
              <w:bidi w:val="0"/>
              <w:spacing w:before="0" w:after="283"/>
              <w:ind w:left="0" w:right="0" w:hanging="720"/>
              <w:jc w:val="right"/>
              <w:rPr/>
            </w:pPr>
            <w:r>
              <w:rPr/>
              <w:t>45</w:t>
            </w:r>
          </w:p>
        </w:tc>
      </w:tr>
      <w:tr>
        <w:trPr/>
        <w:tc>
          <w:tcPr>
            <w:tcW w:w="9930" w:type="dxa"/>
            <w:tcBorders/>
            <w:vAlign w:val="center"/>
          </w:tcPr>
          <w:p>
            <w:pPr>
              <w:pStyle w:val="TableContents"/>
              <w:bidi w:val="0"/>
              <w:spacing w:before="0" w:after="283"/>
              <w:jc w:val="left"/>
              <w:rPr/>
            </w:pPr>
            <w:r>
              <w:rPr/>
              <w:t>Section 10.03.  </w:t>
            </w:r>
            <w:r>
              <w:rPr>
                <w:i/>
              </w:rPr>
              <w:t>Certificate and Opinion as to Conditions Precedent</w:t>
            </w:r>
          </w:p>
        </w:tc>
        <w:tc>
          <w:tcPr>
            <w:tcW w:w="275" w:type="dxa"/>
            <w:tcBorders/>
            <w:vAlign w:val="center"/>
          </w:tcPr>
          <w:p>
            <w:pPr>
              <w:pStyle w:val="TableContents"/>
              <w:bidi w:val="0"/>
              <w:spacing w:before="0" w:after="283"/>
              <w:ind w:left="0" w:right="0" w:hanging="720"/>
              <w:jc w:val="right"/>
              <w:rPr/>
            </w:pPr>
            <w:r>
              <w:rPr/>
              <w:t>46</w:t>
            </w:r>
          </w:p>
        </w:tc>
      </w:tr>
      <w:tr>
        <w:trPr/>
        <w:tc>
          <w:tcPr>
            <w:tcW w:w="9930" w:type="dxa"/>
            <w:tcBorders/>
            <w:vAlign w:val="center"/>
          </w:tcPr>
          <w:p>
            <w:pPr>
              <w:pStyle w:val="TableContents"/>
              <w:bidi w:val="0"/>
              <w:spacing w:before="0" w:after="283"/>
              <w:jc w:val="left"/>
              <w:rPr/>
            </w:pPr>
            <w:r>
              <w:rPr/>
              <w:t>Section 10.04.  </w:t>
            </w:r>
            <w:r>
              <w:rPr>
                <w:i/>
              </w:rPr>
              <w:t>Statements Required in Certificate or Opinion</w:t>
            </w:r>
          </w:p>
        </w:tc>
        <w:tc>
          <w:tcPr>
            <w:tcW w:w="275" w:type="dxa"/>
            <w:tcBorders/>
            <w:vAlign w:val="center"/>
          </w:tcPr>
          <w:p>
            <w:pPr>
              <w:pStyle w:val="TableContents"/>
              <w:bidi w:val="0"/>
              <w:spacing w:before="0" w:after="283"/>
              <w:ind w:left="0" w:right="0" w:hanging="720"/>
              <w:jc w:val="right"/>
              <w:rPr/>
            </w:pPr>
            <w:r>
              <w:rPr/>
              <w:t>46</w:t>
            </w:r>
          </w:p>
        </w:tc>
      </w:tr>
      <w:tr>
        <w:trPr/>
        <w:tc>
          <w:tcPr>
            <w:tcW w:w="9930" w:type="dxa"/>
            <w:tcBorders/>
            <w:vAlign w:val="center"/>
          </w:tcPr>
          <w:p>
            <w:pPr>
              <w:pStyle w:val="TableContents"/>
              <w:bidi w:val="0"/>
              <w:spacing w:before="0" w:after="283"/>
              <w:jc w:val="left"/>
              <w:rPr/>
            </w:pPr>
            <w:r>
              <w:rPr/>
              <w:t>Section 10.05.  </w:t>
            </w:r>
            <w:r>
              <w:rPr>
                <w:i/>
              </w:rPr>
              <w:t>Evidence of Ownership</w:t>
            </w:r>
          </w:p>
        </w:tc>
        <w:tc>
          <w:tcPr>
            <w:tcW w:w="275" w:type="dxa"/>
            <w:tcBorders/>
            <w:vAlign w:val="center"/>
          </w:tcPr>
          <w:p>
            <w:pPr>
              <w:pStyle w:val="TableContents"/>
              <w:bidi w:val="0"/>
              <w:spacing w:before="0" w:after="283"/>
              <w:ind w:left="0" w:right="0" w:hanging="720"/>
              <w:jc w:val="right"/>
              <w:rPr/>
            </w:pPr>
            <w:r>
              <w:rPr/>
              <w:t>47</w:t>
            </w:r>
          </w:p>
        </w:tc>
      </w:tr>
      <w:tr>
        <w:trPr/>
        <w:tc>
          <w:tcPr>
            <w:tcW w:w="9930" w:type="dxa"/>
            <w:tcBorders/>
            <w:vAlign w:val="center"/>
          </w:tcPr>
          <w:p>
            <w:pPr>
              <w:pStyle w:val="TableContents"/>
              <w:bidi w:val="0"/>
              <w:spacing w:before="0" w:after="283"/>
              <w:jc w:val="left"/>
              <w:rPr/>
            </w:pPr>
            <w:r>
              <w:rPr/>
              <w:t>Section 10.06.  </w:t>
            </w:r>
            <w:r>
              <w:rPr>
                <w:i/>
              </w:rPr>
              <w:t>Rules by Trustee, Paying Agent or Registrar</w:t>
            </w:r>
          </w:p>
        </w:tc>
        <w:tc>
          <w:tcPr>
            <w:tcW w:w="275" w:type="dxa"/>
            <w:tcBorders/>
            <w:vAlign w:val="center"/>
          </w:tcPr>
          <w:p>
            <w:pPr>
              <w:pStyle w:val="TableContents"/>
              <w:bidi w:val="0"/>
              <w:spacing w:before="0" w:after="283"/>
              <w:ind w:left="0" w:right="0" w:hanging="720"/>
              <w:jc w:val="right"/>
              <w:rPr/>
            </w:pPr>
            <w:r>
              <w:rPr/>
              <w:t>47</w:t>
            </w:r>
          </w:p>
        </w:tc>
      </w:tr>
      <w:tr>
        <w:trPr/>
        <w:tc>
          <w:tcPr>
            <w:tcW w:w="9930" w:type="dxa"/>
            <w:tcBorders/>
            <w:vAlign w:val="center"/>
          </w:tcPr>
          <w:p>
            <w:pPr>
              <w:pStyle w:val="TableContents"/>
              <w:bidi w:val="0"/>
              <w:spacing w:before="0" w:after="283"/>
              <w:jc w:val="left"/>
              <w:rPr/>
            </w:pPr>
            <w:r>
              <w:rPr/>
              <w:t>Section 10.07.  </w:t>
            </w:r>
            <w:r>
              <w:rPr>
                <w:i/>
              </w:rPr>
              <w:t>Payment Date Other Than a Business Day</w:t>
            </w:r>
          </w:p>
        </w:tc>
        <w:tc>
          <w:tcPr>
            <w:tcW w:w="275" w:type="dxa"/>
            <w:tcBorders/>
            <w:vAlign w:val="center"/>
          </w:tcPr>
          <w:p>
            <w:pPr>
              <w:pStyle w:val="TableContents"/>
              <w:bidi w:val="0"/>
              <w:spacing w:before="0" w:after="283"/>
              <w:ind w:left="0" w:right="0" w:hanging="720"/>
              <w:jc w:val="right"/>
              <w:rPr/>
            </w:pPr>
            <w:r>
              <w:rPr/>
              <w:t>47</w:t>
            </w:r>
          </w:p>
        </w:tc>
      </w:tr>
      <w:tr>
        <w:trPr/>
        <w:tc>
          <w:tcPr>
            <w:tcW w:w="9930" w:type="dxa"/>
            <w:tcBorders/>
            <w:vAlign w:val="center"/>
          </w:tcPr>
          <w:p>
            <w:pPr>
              <w:pStyle w:val="TableContents"/>
              <w:bidi w:val="0"/>
              <w:spacing w:before="0" w:after="283"/>
              <w:jc w:val="left"/>
              <w:rPr/>
            </w:pPr>
            <w:r>
              <w:rPr/>
              <w:t>Section 10.08.  </w:t>
            </w:r>
            <w:r>
              <w:rPr>
                <w:i/>
              </w:rPr>
              <w:t>Governing Law</w:t>
            </w:r>
          </w:p>
        </w:tc>
        <w:tc>
          <w:tcPr>
            <w:tcW w:w="275" w:type="dxa"/>
            <w:tcBorders/>
            <w:vAlign w:val="center"/>
          </w:tcPr>
          <w:p>
            <w:pPr>
              <w:pStyle w:val="TableContents"/>
              <w:bidi w:val="0"/>
              <w:spacing w:before="0" w:after="283"/>
              <w:ind w:left="0" w:right="0" w:hanging="720"/>
              <w:jc w:val="right"/>
              <w:rPr/>
            </w:pPr>
            <w:r>
              <w:rPr/>
              <w:t>47</w:t>
            </w:r>
          </w:p>
        </w:tc>
      </w:tr>
      <w:tr>
        <w:trPr/>
        <w:tc>
          <w:tcPr>
            <w:tcW w:w="9930" w:type="dxa"/>
            <w:tcBorders/>
            <w:vAlign w:val="center"/>
          </w:tcPr>
          <w:p>
            <w:pPr>
              <w:pStyle w:val="TableContents"/>
              <w:bidi w:val="0"/>
              <w:spacing w:before="0" w:after="283"/>
              <w:jc w:val="left"/>
              <w:rPr/>
            </w:pPr>
            <w:r>
              <w:rPr/>
              <w:t>Section 10.09.  </w:t>
            </w:r>
            <w:r>
              <w:rPr>
                <w:i/>
              </w:rPr>
              <w:t>No Adverse Interpretation of Other Agreements</w:t>
            </w:r>
          </w:p>
        </w:tc>
        <w:tc>
          <w:tcPr>
            <w:tcW w:w="275" w:type="dxa"/>
            <w:tcBorders/>
            <w:vAlign w:val="center"/>
          </w:tcPr>
          <w:p>
            <w:pPr>
              <w:pStyle w:val="TableContents"/>
              <w:bidi w:val="0"/>
              <w:spacing w:before="0" w:after="283"/>
              <w:ind w:left="0" w:right="0" w:hanging="720"/>
              <w:jc w:val="right"/>
              <w:rPr/>
            </w:pPr>
            <w:r>
              <w:rPr/>
              <w:t>47</w:t>
            </w:r>
          </w:p>
        </w:tc>
      </w:tr>
      <w:tr>
        <w:trPr/>
        <w:tc>
          <w:tcPr>
            <w:tcW w:w="9930" w:type="dxa"/>
            <w:tcBorders/>
            <w:vAlign w:val="center"/>
          </w:tcPr>
          <w:p>
            <w:pPr>
              <w:pStyle w:val="TableContents"/>
              <w:bidi w:val="0"/>
              <w:spacing w:before="0" w:after="283"/>
              <w:jc w:val="left"/>
              <w:rPr/>
            </w:pPr>
            <w:r>
              <w:rPr/>
              <w:t>Section 10.10.  </w:t>
            </w:r>
            <w:r>
              <w:rPr>
                <w:i/>
              </w:rPr>
              <w:t>Successors</w:t>
            </w:r>
          </w:p>
        </w:tc>
        <w:tc>
          <w:tcPr>
            <w:tcW w:w="275" w:type="dxa"/>
            <w:tcBorders/>
            <w:vAlign w:val="center"/>
          </w:tcPr>
          <w:p>
            <w:pPr>
              <w:pStyle w:val="TableContents"/>
              <w:bidi w:val="0"/>
              <w:spacing w:before="0" w:after="283"/>
              <w:ind w:left="0" w:right="0" w:hanging="720"/>
              <w:jc w:val="right"/>
              <w:rPr/>
            </w:pPr>
            <w:r>
              <w:rPr/>
              <w:t>48</w:t>
            </w:r>
          </w:p>
        </w:tc>
      </w:tr>
      <w:tr>
        <w:trPr/>
        <w:tc>
          <w:tcPr>
            <w:tcW w:w="9930" w:type="dxa"/>
            <w:tcBorders/>
            <w:vAlign w:val="center"/>
          </w:tcPr>
          <w:p>
            <w:pPr>
              <w:pStyle w:val="TableContents"/>
              <w:bidi w:val="0"/>
              <w:spacing w:before="0" w:after="283"/>
              <w:jc w:val="left"/>
              <w:rPr/>
            </w:pPr>
            <w:r>
              <w:rPr/>
              <w:t>Section 10.11.  </w:t>
            </w:r>
            <w:r>
              <w:rPr>
                <w:i/>
              </w:rPr>
              <w:t>Duplicate Originals</w:t>
            </w:r>
          </w:p>
        </w:tc>
        <w:tc>
          <w:tcPr>
            <w:tcW w:w="275" w:type="dxa"/>
            <w:tcBorders/>
            <w:vAlign w:val="center"/>
          </w:tcPr>
          <w:p>
            <w:pPr>
              <w:pStyle w:val="TableContents"/>
              <w:bidi w:val="0"/>
              <w:spacing w:before="0" w:after="283"/>
              <w:ind w:left="0" w:right="0" w:hanging="720"/>
              <w:jc w:val="right"/>
              <w:rPr/>
            </w:pPr>
            <w:r>
              <w:rPr/>
              <w:t>48</w:t>
            </w:r>
          </w:p>
        </w:tc>
      </w:tr>
      <w:tr>
        <w:trPr/>
        <w:tc>
          <w:tcPr>
            <w:tcW w:w="9930" w:type="dxa"/>
            <w:tcBorders/>
            <w:vAlign w:val="center"/>
          </w:tcPr>
          <w:p>
            <w:pPr>
              <w:pStyle w:val="TableContents"/>
              <w:bidi w:val="0"/>
              <w:spacing w:before="0" w:after="283"/>
              <w:jc w:val="left"/>
              <w:rPr/>
            </w:pPr>
            <w:r>
              <w:rPr/>
              <w:t>Section 10.12.  </w:t>
            </w:r>
            <w:r>
              <w:rPr>
                <w:i/>
              </w:rPr>
              <w:t>Separability</w:t>
            </w:r>
          </w:p>
        </w:tc>
        <w:tc>
          <w:tcPr>
            <w:tcW w:w="275" w:type="dxa"/>
            <w:tcBorders/>
            <w:vAlign w:val="center"/>
          </w:tcPr>
          <w:p>
            <w:pPr>
              <w:pStyle w:val="TableContents"/>
              <w:bidi w:val="0"/>
              <w:spacing w:before="0" w:after="283"/>
              <w:ind w:left="0" w:right="0" w:hanging="720"/>
              <w:jc w:val="right"/>
              <w:rPr/>
            </w:pPr>
            <w:r>
              <w:rPr/>
              <w:t>48</w:t>
            </w:r>
          </w:p>
        </w:tc>
      </w:tr>
      <w:tr>
        <w:trPr/>
        <w:tc>
          <w:tcPr>
            <w:tcW w:w="9930" w:type="dxa"/>
            <w:tcBorders/>
            <w:vAlign w:val="center"/>
          </w:tcPr>
          <w:p>
            <w:pPr>
              <w:pStyle w:val="TableContents"/>
              <w:bidi w:val="0"/>
              <w:spacing w:before="0" w:after="283"/>
              <w:jc w:val="left"/>
              <w:rPr/>
            </w:pPr>
            <w:r>
              <w:rPr/>
              <w:t>Section 10.13.  </w:t>
            </w:r>
            <w:r>
              <w:rPr>
                <w:i/>
              </w:rPr>
              <w:t>Table of Contents, Headings, Etc</w:t>
            </w:r>
          </w:p>
        </w:tc>
        <w:tc>
          <w:tcPr>
            <w:tcW w:w="275" w:type="dxa"/>
            <w:tcBorders/>
            <w:vAlign w:val="center"/>
          </w:tcPr>
          <w:p>
            <w:pPr>
              <w:pStyle w:val="TableContents"/>
              <w:bidi w:val="0"/>
              <w:spacing w:before="0" w:after="283"/>
              <w:ind w:left="0" w:right="0" w:hanging="720"/>
              <w:jc w:val="right"/>
              <w:rPr/>
            </w:pPr>
            <w:r>
              <w:rPr/>
              <w:t>48</w:t>
            </w:r>
          </w:p>
        </w:tc>
      </w:tr>
      <w:tr>
        <w:trPr/>
        <w:tc>
          <w:tcPr>
            <w:tcW w:w="9930" w:type="dxa"/>
            <w:tcBorders/>
            <w:vAlign w:val="center"/>
          </w:tcPr>
          <w:p>
            <w:pPr>
              <w:pStyle w:val="TableContents"/>
              <w:bidi w:val="0"/>
              <w:spacing w:before="0" w:after="283"/>
              <w:jc w:val="left"/>
              <w:rPr/>
            </w:pPr>
            <w:r>
              <w:rPr/>
              <w:t>Section 10.14.  </w:t>
            </w:r>
            <w:r>
              <w:rPr>
                <w:i/>
              </w:rPr>
              <w:t>Incorporators, Stockholders, Officers and Directors of Company Exempt from Individual Liability</w:t>
            </w:r>
          </w:p>
        </w:tc>
        <w:tc>
          <w:tcPr>
            <w:tcW w:w="275" w:type="dxa"/>
            <w:tcBorders/>
            <w:vAlign w:val="center"/>
          </w:tcPr>
          <w:p>
            <w:pPr>
              <w:pStyle w:val="TableContents"/>
              <w:bidi w:val="0"/>
              <w:spacing w:before="0" w:after="283"/>
              <w:ind w:left="0" w:right="0" w:hanging="720"/>
              <w:jc w:val="right"/>
              <w:rPr/>
            </w:pPr>
            <w:r>
              <w:rPr/>
              <w:t>48</w:t>
            </w:r>
          </w:p>
        </w:tc>
      </w:tr>
      <w:tr>
        <w:trPr/>
        <w:tc>
          <w:tcPr>
            <w:tcW w:w="9930" w:type="dxa"/>
            <w:tcBorders/>
            <w:vAlign w:val="center"/>
          </w:tcPr>
          <w:p>
            <w:pPr>
              <w:pStyle w:val="TableContents"/>
              <w:bidi w:val="0"/>
              <w:spacing w:before="0" w:after="283"/>
              <w:jc w:val="left"/>
              <w:rPr/>
            </w:pPr>
            <w:r>
              <w:rPr/>
              <w:t>Section 10.15.  </w:t>
            </w:r>
            <w:r>
              <w:rPr>
                <w:i/>
              </w:rPr>
              <w:t>Judgment Currency</w:t>
            </w:r>
          </w:p>
        </w:tc>
        <w:tc>
          <w:tcPr>
            <w:tcW w:w="275" w:type="dxa"/>
            <w:tcBorders/>
            <w:vAlign w:val="center"/>
          </w:tcPr>
          <w:p>
            <w:pPr>
              <w:pStyle w:val="TableContents"/>
              <w:bidi w:val="0"/>
              <w:spacing w:before="0" w:after="283"/>
              <w:ind w:left="0" w:right="0" w:hanging="720"/>
              <w:jc w:val="right"/>
              <w:rPr/>
            </w:pPr>
            <w:r>
              <w:rPr/>
              <w:t>48</w:t>
            </w:r>
          </w:p>
        </w:tc>
      </w:tr>
      <w:tr>
        <w:trPr/>
        <w:tc>
          <w:tcPr>
            <w:tcW w:w="9930" w:type="dxa"/>
            <w:tcBorders/>
            <w:vAlign w:val="center"/>
          </w:tcPr>
          <w:p>
            <w:pPr>
              <w:pStyle w:val="TableContents"/>
              <w:bidi w:val="0"/>
              <w:spacing w:before="0" w:after="283"/>
              <w:jc w:val="left"/>
              <w:rPr/>
            </w:pPr>
            <w:r>
              <w:rPr/>
              <w:t>Section 10.16.  </w:t>
            </w:r>
            <w:r>
              <w:rPr>
                <w:i/>
              </w:rPr>
              <w:t>Waiver of Jury Trial</w:t>
            </w:r>
          </w:p>
        </w:tc>
        <w:tc>
          <w:tcPr>
            <w:tcW w:w="275" w:type="dxa"/>
            <w:tcBorders/>
            <w:vAlign w:val="center"/>
          </w:tcPr>
          <w:p>
            <w:pPr>
              <w:pStyle w:val="TableContents"/>
              <w:bidi w:val="0"/>
              <w:spacing w:before="0" w:after="283"/>
              <w:ind w:left="0" w:right="0" w:hanging="720"/>
              <w:jc w:val="right"/>
              <w:rPr/>
            </w:pPr>
            <w:r>
              <w:rPr/>
              <w:t>49</w:t>
            </w:r>
          </w:p>
        </w:tc>
      </w:tr>
      <w:tr>
        <w:trPr/>
        <w:tc>
          <w:tcPr>
            <w:tcW w:w="9930" w:type="dxa"/>
            <w:tcBorders/>
            <w:vAlign w:val="center"/>
          </w:tcPr>
          <w:p>
            <w:pPr>
              <w:pStyle w:val="TableContents"/>
              <w:bidi w:val="0"/>
              <w:spacing w:before="0" w:after="283"/>
              <w:jc w:val="left"/>
              <w:rPr/>
            </w:pPr>
            <w:r>
              <w:rPr/>
              <w:t>Section 10.17.  </w:t>
            </w:r>
            <w:r>
              <w:rPr>
                <w:i/>
              </w:rPr>
              <w:t>Force Majeure</w:t>
            </w:r>
          </w:p>
        </w:tc>
        <w:tc>
          <w:tcPr>
            <w:tcW w:w="275" w:type="dxa"/>
            <w:tcBorders/>
            <w:vAlign w:val="center"/>
          </w:tcPr>
          <w:p>
            <w:pPr>
              <w:pStyle w:val="TableContents"/>
              <w:bidi w:val="0"/>
              <w:spacing w:before="0" w:after="283"/>
              <w:jc w:val="right"/>
              <w:rPr/>
            </w:pPr>
            <w:r>
              <w:rPr/>
              <w:t>49</w:t>
            </w:r>
          </w:p>
        </w:tc>
      </w:tr>
      <w:tr>
        <w:trPr/>
        <w:tc>
          <w:tcPr>
            <w:tcW w:w="10205" w:type="dxa"/>
            <w:gridSpan w:val="2"/>
            <w:tcBorders/>
            <w:vAlign w:val="center"/>
          </w:tcPr>
          <w:p>
            <w:pPr>
              <w:pStyle w:val="TableContents"/>
              <w:bidi w:val="0"/>
              <w:spacing w:before="0" w:after="283"/>
              <w:ind w:left="0" w:right="0" w:hanging="720"/>
              <w:jc w:val="center"/>
              <w:rPr/>
            </w:pPr>
            <w:r>
              <w:rPr/>
              <w:t xml:space="preserve">Article 11 </w:t>
              <w:br/>
              <w:t>SUBORDINATION OF SECURITIES</w:t>
            </w:r>
          </w:p>
        </w:tc>
      </w:tr>
      <w:tr>
        <w:trPr/>
        <w:tc>
          <w:tcPr>
            <w:tcW w:w="9930" w:type="dxa"/>
            <w:tcBorders/>
            <w:vAlign w:val="center"/>
          </w:tcPr>
          <w:p>
            <w:pPr>
              <w:pStyle w:val="TableContents"/>
              <w:bidi w:val="0"/>
              <w:spacing w:before="0" w:after="283"/>
              <w:jc w:val="left"/>
              <w:rPr/>
            </w:pPr>
            <w:r>
              <w:rPr/>
              <w:t>Section 11.01.  </w:t>
            </w:r>
            <w:r>
              <w:rPr>
                <w:i/>
              </w:rPr>
              <w:t>Agreement to Subordinate</w:t>
            </w:r>
          </w:p>
        </w:tc>
        <w:tc>
          <w:tcPr>
            <w:tcW w:w="275" w:type="dxa"/>
            <w:tcBorders/>
            <w:vAlign w:val="center"/>
          </w:tcPr>
          <w:p>
            <w:pPr>
              <w:pStyle w:val="TableContents"/>
              <w:bidi w:val="0"/>
              <w:spacing w:before="0" w:after="283"/>
              <w:ind w:left="0" w:right="0" w:hanging="720"/>
              <w:jc w:val="right"/>
              <w:rPr/>
            </w:pPr>
            <w:r>
              <w:rPr/>
              <w:t>49</w:t>
            </w:r>
          </w:p>
        </w:tc>
      </w:tr>
      <w:tr>
        <w:trPr/>
        <w:tc>
          <w:tcPr>
            <w:tcW w:w="9930" w:type="dxa"/>
            <w:tcBorders/>
            <w:vAlign w:val="center"/>
          </w:tcPr>
          <w:p>
            <w:pPr>
              <w:pStyle w:val="TableContents"/>
              <w:bidi w:val="0"/>
              <w:spacing w:before="0" w:after="283"/>
              <w:jc w:val="left"/>
              <w:rPr/>
            </w:pPr>
            <w:r>
              <w:rPr/>
              <w:t>Section 11.02.  </w:t>
            </w:r>
            <w:r>
              <w:rPr>
                <w:i/>
              </w:rPr>
              <w:t>Payments to Securityholders</w:t>
            </w:r>
          </w:p>
        </w:tc>
        <w:tc>
          <w:tcPr>
            <w:tcW w:w="275" w:type="dxa"/>
            <w:tcBorders/>
            <w:vAlign w:val="center"/>
          </w:tcPr>
          <w:p>
            <w:pPr>
              <w:pStyle w:val="TableContents"/>
              <w:bidi w:val="0"/>
              <w:spacing w:before="0" w:after="283"/>
              <w:ind w:left="0" w:right="0" w:hanging="720"/>
              <w:jc w:val="right"/>
              <w:rPr/>
            </w:pPr>
            <w:r>
              <w:rPr/>
              <w:t>49</w:t>
            </w:r>
          </w:p>
        </w:tc>
      </w:tr>
      <w:tr>
        <w:trPr/>
        <w:tc>
          <w:tcPr>
            <w:tcW w:w="9930" w:type="dxa"/>
            <w:tcBorders/>
            <w:vAlign w:val="center"/>
          </w:tcPr>
          <w:p>
            <w:pPr>
              <w:pStyle w:val="TableContents"/>
              <w:bidi w:val="0"/>
              <w:spacing w:before="0" w:after="283"/>
              <w:jc w:val="left"/>
              <w:rPr/>
            </w:pPr>
            <w:r>
              <w:rPr/>
              <w:t>Section 11.03.  </w:t>
            </w:r>
            <w:r>
              <w:rPr>
                <w:i/>
              </w:rPr>
              <w:t>Subrogation</w:t>
            </w:r>
          </w:p>
        </w:tc>
        <w:tc>
          <w:tcPr>
            <w:tcW w:w="275" w:type="dxa"/>
            <w:tcBorders/>
            <w:vAlign w:val="center"/>
          </w:tcPr>
          <w:p>
            <w:pPr>
              <w:pStyle w:val="TableContents"/>
              <w:bidi w:val="0"/>
              <w:spacing w:before="0" w:after="283"/>
              <w:jc w:val="right"/>
              <w:rPr/>
            </w:pPr>
            <w:r>
              <w:rPr/>
              <w:t>51</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iii</w:t>
      </w:r>
    </w:p>
    <w:p>
      <w:pPr>
        <w:pStyle w:val="TextBody"/>
        <w:bidi w:val="0"/>
        <w:spacing w:before="0" w:after="0"/>
        <w:ind w:left="0" w:right="0" w:hanging="0"/>
        <w:jc w:val="left"/>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5450"/>
        <w:gridCol w:w="275"/>
      </w:tblGrid>
      <w:tr>
        <w:trPr/>
        <w:tc>
          <w:tcPr>
            <w:tcW w:w="5450" w:type="dxa"/>
            <w:tcBorders/>
            <w:vAlign w:val="center"/>
          </w:tcPr>
          <w:p>
            <w:pPr>
              <w:pStyle w:val="TableContents"/>
              <w:bidi w:val="0"/>
              <w:spacing w:before="0" w:after="283"/>
              <w:ind w:left="0" w:right="0" w:hanging="720"/>
              <w:jc w:val="left"/>
              <w:rPr/>
            </w:pPr>
            <w:r>
              <w:rPr/>
              <w:t>Section 11.04.  </w:t>
            </w:r>
            <w:r>
              <w:rPr>
                <w:i/>
              </w:rPr>
              <w:t>Authorization by Securityholders</w:t>
            </w:r>
          </w:p>
        </w:tc>
        <w:tc>
          <w:tcPr>
            <w:tcW w:w="275" w:type="dxa"/>
            <w:tcBorders/>
            <w:vAlign w:val="center"/>
          </w:tcPr>
          <w:p>
            <w:pPr>
              <w:pStyle w:val="TableContents"/>
              <w:bidi w:val="0"/>
              <w:spacing w:before="0" w:after="283"/>
              <w:ind w:left="0" w:right="0" w:hanging="720"/>
              <w:jc w:val="right"/>
              <w:rPr/>
            </w:pPr>
            <w:r>
              <w:rPr/>
              <w:t>52</w:t>
            </w:r>
          </w:p>
        </w:tc>
      </w:tr>
      <w:tr>
        <w:trPr/>
        <w:tc>
          <w:tcPr>
            <w:tcW w:w="5450" w:type="dxa"/>
            <w:tcBorders/>
            <w:vAlign w:val="center"/>
          </w:tcPr>
          <w:p>
            <w:pPr>
              <w:pStyle w:val="TableContents"/>
              <w:bidi w:val="0"/>
              <w:spacing w:before="0" w:after="283"/>
              <w:jc w:val="left"/>
              <w:rPr/>
            </w:pPr>
            <w:r>
              <w:rPr/>
              <w:t>Section 11.05.  </w:t>
            </w:r>
            <w:r>
              <w:rPr>
                <w:i/>
              </w:rPr>
              <w:t>Notice to Trustee</w:t>
            </w:r>
          </w:p>
        </w:tc>
        <w:tc>
          <w:tcPr>
            <w:tcW w:w="275" w:type="dxa"/>
            <w:tcBorders/>
            <w:vAlign w:val="center"/>
          </w:tcPr>
          <w:p>
            <w:pPr>
              <w:pStyle w:val="TableContents"/>
              <w:bidi w:val="0"/>
              <w:spacing w:before="0" w:after="283"/>
              <w:ind w:left="0" w:right="0" w:hanging="720"/>
              <w:jc w:val="right"/>
              <w:rPr/>
            </w:pPr>
            <w:r>
              <w:rPr/>
              <w:t>52</w:t>
            </w:r>
          </w:p>
        </w:tc>
      </w:tr>
      <w:tr>
        <w:trPr/>
        <w:tc>
          <w:tcPr>
            <w:tcW w:w="5450" w:type="dxa"/>
            <w:tcBorders/>
            <w:vAlign w:val="center"/>
          </w:tcPr>
          <w:p>
            <w:pPr>
              <w:pStyle w:val="TableContents"/>
              <w:bidi w:val="0"/>
              <w:spacing w:before="0" w:after="283"/>
              <w:jc w:val="left"/>
              <w:rPr/>
            </w:pPr>
            <w:r>
              <w:rPr/>
              <w:t>Section 11.06.  </w:t>
            </w:r>
            <w:r>
              <w:rPr>
                <w:i/>
              </w:rPr>
              <w:t>Trustee’s Relation to Senior Indebtedness</w:t>
            </w:r>
          </w:p>
        </w:tc>
        <w:tc>
          <w:tcPr>
            <w:tcW w:w="275" w:type="dxa"/>
            <w:tcBorders/>
            <w:vAlign w:val="center"/>
          </w:tcPr>
          <w:p>
            <w:pPr>
              <w:pStyle w:val="TableContents"/>
              <w:bidi w:val="0"/>
              <w:spacing w:before="0" w:after="283"/>
              <w:ind w:left="0" w:right="0" w:hanging="720"/>
              <w:jc w:val="right"/>
              <w:rPr/>
            </w:pPr>
            <w:r>
              <w:rPr/>
              <w:t>53</w:t>
            </w:r>
          </w:p>
        </w:tc>
      </w:tr>
      <w:tr>
        <w:trPr/>
        <w:tc>
          <w:tcPr>
            <w:tcW w:w="5450" w:type="dxa"/>
            <w:tcBorders/>
            <w:vAlign w:val="center"/>
          </w:tcPr>
          <w:p>
            <w:pPr>
              <w:pStyle w:val="TableContents"/>
              <w:bidi w:val="0"/>
              <w:spacing w:before="0" w:after="283"/>
              <w:jc w:val="left"/>
              <w:rPr/>
            </w:pPr>
            <w:r>
              <w:rPr/>
              <w:t>Section 11.07.  </w:t>
            </w:r>
            <w:r>
              <w:rPr>
                <w:i/>
              </w:rPr>
              <w:t>No Impairment of Subordination</w:t>
            </w:r>
          </w:p>
        </w:tc>
        <w:tc>
          <w:tcPr>
            <w:tcW w:w="275" w:type="dxa"/>
            <w:tcBorders/>
            <w:vAlign w:val="center"/>
          </w:tcPr>
          <w:p>
            <w:pPr>
              <w:pStyle w:val="TableContents"/>
              <w:bidi w:val="0"/>
              <w:spacing w:before="0" w:after="283"/>
              <w:jc w:val="right"/>
              <w:rPr/>
            </w:pPr>
            <w:r>
              <w:rPr/>
              <w:t>54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SUBORDINATED INDENTURE, dated as of                   , 20    , between Figure Technology Solutions, Inc., a Nevada corporation, as the Company, and                 , as Trustee.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 OF 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has duly authorized the issue from time to time of its subordinated debentures, notes or other evidences of indebtedness to be issued in one or more series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up to such principal amount or amounts as may from time to time be authorized in accordance with the terms of this Indenture and to provide, among other things, for the authentication, delivery and administration thereof, the Company has duly authorized the execution and delivery of this Indenture;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all things necessary to make this Indenture a valid indenture and agreement according to its terms have been done;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 premises and the purchases of the Securities by the holders thereof, the Company and the Trustee mutually covenant and agree for the equal and proportionate benefit of the respective holders from time to time of the Securities or of any and all series thereof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1</w:t>
      </w:r>
      <w:r>
        <w:rPr>
          <w:rFonts w:ascii="Times New Roman;Times;Serif" w:hAnsi="Times New Roman;Times;Serif"/>
          <w:b w:val="false"/>
          <w:i w:val="false"/>
          <w:smallCaps/>
          <w:sz w:val="20"/>
        </w:rPr>
        <w:br/>
        <w:t>DEFINITIONS AND INCORPORATION BY REFERENCE</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w:t>
        <w:tab/>
      </w:r>
      <w:r>
        <w:rPr>
          <w:rFonts w:ascii="Times New Roman;Times;Serif" w:hAnsi="Times New Roman;Times;Serif"/>
          <w:b w:val="false"/>
          <w:i/>
          <w:caps w:val="false"/>
          <w:smallCaps w:val="false"/>
          <w:sz w:val="20"/>
        </w:rPr>
        <w:t>Definitions.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of any Person means any other Person directly or indirectly controlling or controlled by or under direct or indirect common control with such Person.  For the purposes of this definition, “control” (including, with correlative meanings, the terms “controlling”, “controlled by” and “under common control with”) when used with respect to any Person means the possession, directly or indirectly, of the power to direct or cause the direction of the management and policies of such Person, whether through the ownership of voting securities, by contract or otherwise.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Agent</w:t>
      </w:r>
      <w:r>
        <w:rPr>
          <w:rFonts w:ascii="Times New Roman;Times;Serif" w:hAnsi="Times New Roman;Times;Serif"/>
          <w:b w:val="false"/>
          <w:i w:val="false"/>
          <w:caps w:val="false"/>
          <w:smallCaps w:val="false"/>
          <w:sz w:val="20"/>
        </w:rPr>
        <w:t>” means any Registrar, Paying Agent, transfer agent or Authenticating Agent.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Board Resolution</w:t>
      </w:r>
      <w:r>
        <w:rPr>
          <w:rFonts w:ascii="Times New Roman;Times;Serif" w:hAnsi="Times New Roman;Times;Serif"/>
          <w:b w:val="false"/>
          <w:i w:val="false"/>
          <w:caps w:val="false"/>
          <w:smallCaps w:val="false"/>
          <w:sz w:val="20"/>
        </w:rPr>
        <w:t>” means one or more resolutions of the board of directors of the Company or any authorized committee thereof, certified by the secretary or an assistant secretary to have been duly adopted and to be in full force and effect on the date of certification, and delivered to the Trustee.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other than a Saturday or Sunday, that is neither a legal holiday nor a day on which banking institutions are authorized or required by law or regulation to close in The City of New York, with respect to any Security the interest on which is based on the offered quotations in the interbank Eurodollar market for dollar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deposits in London, or with respect to Securities denominated in a specified currency other than United States dollars, in the principal financial center of the country of the specified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means the party named as such in the first paragraph of this Indenture until a successor replaces it pursuant to Article 5 of this Indenture and thereafter means the successor.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Corporate Trust Office</w:t>
      </w:r>
      <w:r>
        <w:rPr>
          <w:rFonts w:ascii="Times New Roman;Times;Serif" w:hAnsi="Times New Roman;Times;Serif"/>
          <w:b w:val="false"/>
          <w:i w:val="false"/>
          <w:caps w:val="false"/>
          <w:smallCaps w:val="false"/>
          <w:sz w:val="20"/>
        </w:rPr>
        <w:t>” means the office of the Trustee at which the corporate trust business of the Trustee shall, at any particular time, be administered, which office is, at the date of this Indenture, located at       Attention: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Default</w:t>
      </w:r>
      <w:r>
        <w:rPr>
          <w:rFonts w:ascii="Times New Roman;Times;Serif" w:hAnsi="Times New Roman;Times;Serif"/>
          <w:b w:val="false"/>
          <w:i w:val="false"/>
          <w:caps w:val="false"/>
          <w:smallCaps w:val="false"/>
          <w:sz w:val="20"/>
        </w:rPr>
        <w:t>” means any event that is, or after notice or passage of time or both would be, an Event of Default.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 means, with respect to the Securities of any series issuable or issued in the form of one or more Registered Global Securities, the Person designated as Depositary by the Company pursuant to Section 2.03 until a successor Depositary shall have become such pursuant to the applicable provisions of this Indenture, and thereafter “</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 shall mean or include each Person who is then a Depositary hereunder, and if at any time there is more than one such Person, “</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 as used with respect to the Securities of any such series shall mean the Depositary with respect to the Registered Global Securities of that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Guarantee</w:t>
      </w:r>
      <w:r>
        <w:rPr>
          <w:rFonts w:ascii="Times New Roman;Times;Serif" w:hAnsi="Times New Roman;Times;Serif"/>
          <w:b w:val="false"/>
          <w:i w:val="false"/>
          <w:caps w:val="false"/>
          <w:smallCaps w:val="false"/>
          <w:sz w:val="20"/>
        </w:rPr>
        <w:t xml:space="preserve">” by any Person means any obligation, contingent or otherwise, of such Person directly or indirectly guaranteeing any Indebtedness or other obligation of any other Person and, without limiting the generality of the foregoing, any obligation, direct or indirect, contingent or otherwise, of such Person (i) to purchase or pay (or advance or supply funds for the purchase or payment of) such Indebtedness or other obligation (whether arising by virtue of partnership arrangements, by agreement to keep well, to purchase assets, goods, securities or services, to take-or-pay, or to maintain financial statement conditions or otherwise) or (ii) entered into for the purpose of assuring in any other manner the obligee of such Indebtedness or other obligation of the payment thereof or to protect such obligee against loss in respect thereof (in whole or in part), provided that the term </w:t>
      </w:r>
      <w:r>
        <w:rPr>
          <w:rFonts w:ascii="Times New Roman;Times;Serif" w:hAnsi="Times New Roman;Times;Serif"/>
          <w:b/>
          <w:i w:val="false"/>
          <w:caps w:val="false"/>
          <w:smallCaps w:val="false"/>
          <w:sz w:val="20"/>
        </w:rPr>
        <w:t>Guarantee</w:t>
      </w:r>
      <w:r>
        <w:rPr>
          <w:rFonts w:ascii="Times New Roman;Times;Serif" w:hAnsi="Times New Roman;Times;Serif"/>
          <w:b w:val="false"/>
          <w:i w:val="false"/>
          <w:caps w:val="false"/>
          <w:smallCaps w:val="false"/>
          <w:sz w:val="20"/>
        </w:rPr>
        <w:t xml:space="preserve"> shall not include endorsements for collection or deposit in the ordinary course of business.  The term “</w:t>
      </w:r>
      <w:r>
        <w:rPr>
          <w:rFonts w:ascii="Times New Roman;Times;Serif" w:hAnsi="Times New Roman;Times;Serif"/>
          <w:b/>
          <w:i w:val="false"/>
          <w:caps w:val="false"/>
          <w:smallCaps w:val="false"/>
          <w:sz w:val="20"/>
        </w:rPr>
        <w:t>Guarantee</w:t>
      </w:r>
      <w:r>
        <w:rPr>
          <w:rFonts w:ascii="Times New Roman;Times;Serif" w:hAnsi="Times New Roman;Times;Serif"/>
          <w:b w:val="false"/>
          <w:i w:val="false"/>
          <w:caps w:val="false"/>
          <w:smallCaps w:val="false"/>
          <w:sz w:val="20"/>
        </w:rPr>
        <w:t>” when used as a verb has a corresponding meaning.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Securityholder</w:t>
      </w:r>
      <w:r>
        <w:rPr>
          <w:rFonts w:ascii="Times New Roman;Times;Serif" w:hAnsi="Times New Roman;Times;Serif"/>
          <w:b w:val="false"/>
          <w:i w:val="false"/>
          <w:caps w:val="false"/>
          <w:smallCaps w:val="false"/>
          <w:sz w:val="20"/>
        </w:rPr>
        <w:t>” means the registered holder of any Security.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IFRS</w:t>
      </w:r>
      <w:r>
        <w:rPr>
          <w:rFonts w:ascii="Times New Roman;Times;Serif" w:hAnsi="Times New Roman;Times;Serif"/>
          <w:b w:val="false"/>
          <w:i w:val="false"/>
          <w:caps w:val="false"/>
          <w:smallCaps w:val="false"/>
          <w:sz w:val="20"/>
        </w:rPr>
        <w:t>” means International Financial Reporting Standards as issued by the International Accounting Standards Board, as in effect as of the date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Indebtedness</w:t>
      </w:r>
      <w:r>
        <w:rPr>
          <w:rFonts w:ascii="Times New Roman;Times;Serif" w:hAnsi="Times New Roman;Times;Serif"/>
          <w:b w:val="false"/>
          <w:i w:val="false"/>
          <w:caps w:val="false"/>
          <w:smallCaps w:val="false"/>
          <w:sz w:val="20"/>
        </w:rPr>
        <w:t>” of any Person means at any date, without duplication (i) all obligations of such Person for borrowed money, (ii) all obligations of such Person evidenced by bonds, debentures, notes or similar instruments, (iii) all obligations of such Person in respect of letters of credit or other similar instruments (or reimbursement obligations with respect thereto), (iv) all obligations of such Person to pay the deferred purchase price of property or services, except Trade Payables, (v) all obligations of such Person as a lessee under capital leases, (vi) all Indebtedness of others secured by a lien on any asset of such Person, whether or not such Indebtedness is assumed by such Person, (vii) all Indebtedness of others Guaranteed by such Person.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means this Indenture as originally executed and delivered or as it may be amended or supplemented from time to time by one or more indentures supplemental to this Indenture entered into pursuant to the applicable provisions of this Indenture and shall include the forms and terms of the Securities of each series established as contemplated pursuant to Sections 2.01 and 2.03.</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Officer</w:t>
      </w:r>
      <w:r>
        <w:rPr>
          <w:rFonts w:ascii="Times New Roman;Times;Serif" w:hAnsi="Times New Roman;Times;Serif"/>
          <w:b w:val="false"/>
          <w:i w:val="false"/>
          <w:caps w:val="false"/>
          <w:smallCaps w:val="false"/>
          <w:sz w:val="20"/>
        </w:rPr>
        <w:t>” means, with respect to the Company, the chairman of the board of directors, the president or chief executive officer, any executive vice president, any senior vice president, any vice president, the chief financial officer, the treasurer or any assistant treasurer, or the secretary or any assistant secretary.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Officers’ Certificate</w:t>
      </w:r>
      <w:r>
        <w:rPr>
          <w:rFonts w:ascii="Times New Roman;Times;Serif" w:hAnsi="Times New Roman;Times;Serif"/>
          <w:b w:val="false"/>
          <w:i w:val="false"/>
          <w:caps w:val="false"/>
          <w:smallCaps w:val="false"/>
          <w:sz w:val="20"/>
        </w:rPr>
        <w:t>” means a certificate signed in the name of the Company (i) by the chairman of the board of directors, the president or chief executive officer, an executive vice president, a senior vice president or a vice president and (ii) by the chief financial officer, the treasurer or any assistant treasurer, or the secretary or any assistant secretary, and delivered to the Trustee.  Each such certificate shall comply with Section 314 of the Trust Indenture Act, if applicable, and include (except as otherwise expressly provided in this Indenture) the statements provided in Section 10.04, if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Opinion of Counsel</w:t>
      </w:r>
      <w:r>
        <w:rPr>
          <w:rFonts w:ascii="Times New Roman;Times;Serif" w:hAnsi="Times New Roman;Times;Serif"/>
          <w:b w:val="false"/>
          <w:i w:val="false"/>
          <w:caps w:val="false"/>
          <w:smallCaps w:val="false"/>
          <w:sz w:val="20"/>
        </w:rPr>
        <w:t>” means a written opinion signed by legal counsel, who may be an employee of or counsel to the Company, satisfactory to the Trustee.  Each such opinion shall comply with Section 314 of the Trust Indenture Act, if applicable, and include the statements provided in Section 10.04, if and to the extent required thereby.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Original Issue Date</w:t>
      </w:r>
      <w:r>
        <w:rPr>
          <w:rFonts w:ascii="Times New Roman;Times;Serif" w:hAnsi="Times New Roman;Times;Serif"/>
          <w:b w:val="false"/>
          <w:i w:val="false"/>
          <w:caps w:val="false"/>
          <w:smallCaps w:val="false"/>
          <w:sz w:val="20"/>
        </w:rPr>
        <w:t>” of any Security (or portion thereof) means the earlier of (a) the date of authentication of such Security or (b) the date of any Security (or portion thereof) for which such Security was issued (directly or indirectly) on registration of transfer, exchange or substitution.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Original Issue Discount Security</w:t>
      </w:r>
      <w:r>
        <w:rPr>
          <w:rFonts w:ascii="Times New Roman;Times;Serif" w:hAnsi="Times New Roman;Times;Serif"/>
          <w:b w:val="false"/>
          <w:i w:val="false"/>
          <w:caps w:val="false"/>
          <w:smallCaps w:val="false"/>
          <w:sz w:val="20"/>
        </w:rPr>
        <w:t>” means any Security that provides for an amount less than the principal amount thereof to be due and payable upon a declaration of acceleration of the maturity thereof pursuant to Section 6.02.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Periodic Offering</w:t>
      </w:r>
      <w:r>
        <w:rPr>
          <w:rFonts w:ascii="Times New Roman;Times;Serif" w:hAnsi="Times New Roman;Times;Serif"/>
          <w:b w:val="false"/>
          <w:i w:val="false"/>
          <w:caps w:val="false"/>
          <w:smallCaps w:val="false"/>
          <w:sz w:val="20"/>
        </w:rPr>
        <w:t>” means an offering of Securities of a series from time to time, the specific terms of which Securities, including, without limitation, the rate or rates 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if any, thereon, the stated maturity or maturities thereof and the redemption provisions, if any, with respect thereto, are to be determined by the Company or its agents upon the issuance of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a corporation, a partnership, a limited liability company, an association, a trust or any other entity or organization, including a government or political subdivision or an agency or instrumentality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Principal</w:t>
      </w:r>
      <w:r>
        <w:rPr>
          <w:rFonts w:ascii="Times New Roman;Times;Serif" w:hAnsi="Times New Roman;Times;Serif"/>
          <w:b w:val="false"/>
          <w:i w:val="false"/>
          <w:caps w:val="false"/>
          <w:smallCaps w:val="false"/>
          <w:sz w:val="20"/>
        </w:rPr>
        <w:t>” of a Security means the principal amount of, and, unless the context indicates otherwise, includes any premium payable on, the Security.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Registered Global Security</w:t>
      </w:r>
      <w:r>
        <w:rPr>
          <w:rFonts w:ascii="Times New Roman;Times;Serif" w:hAnsi="Times New Roman;Times;Serif"/>
          <w:b w:val="false"/>
          <w:i w:val="false"/>
          <w:caps w:val="false"/>
          <w:smallCaps w:val="false"/>
          <w:sz w:val="20"/>
        </w:rPr>
        <w:t>” means a Security evidencing all or a part of a series of Securities, issued to the Depositary for such series in accordance with Section 2.02, and bearing the legend prescribed in Section 2.02.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Responsible Officer</w:t>
      </w:r>
      <w:r>
        <w:rPr>
          <w:rFonts w:ascii="Times New Roman;Times;Serif" w:hAnsi="Times New Roman;Times;Serif"/>
          <w:b w:val="false"/>
          <w:i w:val="false"/>
          <w:caps w:val="false"/>
          <w:smallCaps w:val="false"/>
          <w:sz w:val="20"/>
        </w:rPr>
        <w:t>” when used with respect to the Trustee, shall mean an officer of the Trustee in the Corporate Trust Office, having direct responsibility for the administration of this Indenture, and also, with respect to a particular matter, any other officer to whom such matter is referred because of such officer’s knowledge of and familiarity with the particular subject.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means any of the securities, as defined in the first paragraph of the recitals hereof, that are authenticated and delivered under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Senior Indebtedness</w:t>
      </w:r>
      <w:r>
        <w:rPr>
          <w:rFonts w:ascii="Times New Roman;Times;Serif" w:hAnsi="Times New Roman;Times;Serif"/>
          <w:b w:val="false"/>
          <w:i w:val="false"/>
          <w:caps w:val="false"/>
          <w:smallCaps w:val="false"/>
          <w:sz w:val="20"/>
        </w:rPr>
        <w:t>” means all Indebtedness of the Company (other than the Securities) including principal and interest (including, without limitation, any interest that would accrue but for the filing of a petition initiating any proceeding referred to in Section 11.02 hereof) on such Indebtedness, created, incurred or assumed on or after the date of the first issuance of any Securities, unless such Indebtedness, but its terms or the terms of the instrument creating or evidencing it, is subordinate in right of payment to, or pari passu with, the Securities; provided, that the term Senior Indebtedness shall not include (a) any Indebtedness of the Company which, when incurred and without respect to any election under Section 111(b) of Title II, United States Code, with or without recourse to the Company, (b) any Indebtedness of the Company to a Subsidiary, (c) Indebtedness to any employee of the Company and (d) Trade Payables.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with respect to any Person, any corporation, association or other business entity of which a majority of the capital stock or other ownership interests having ordinary voting power to elect a majority of the board of directors or other persons performing similar functions are at the time directly or indirectly owned by such Person.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Trade Payables</w:t>
      </w:r>
      <w:r>
        <w:rPr>
          <w:rFonts w:ascii="Times New Roman;Times;Serif" w:hAnsi="Times New Roman;Times;Serif"/>
          <w:b w:val="false"/>
          <w:i w:val="false"/>
          <w:caps w:val="false"/>
          <w:smallCaps w:val="false"/>
          <w:sz w:val="20"/>
        </w:rPr>
        <w:t>” means, with respect to any Person, any accounts payable or any other indebtedness or monetary obligation to trade creditors created, assumed or Guaranteed by such Person or any of its Subsidiaries arising in the ordinary course of business in connection with the acquisition of goods or services.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means the party named as such in the first paragraph of this Indenture until a successor replaces it in accordance with the provisions of Article 7 and thereafter shall mean or include each Person who is then a Trustee hereunder, and if at any time there is more than one such Person, “Trustee” as used with respect to the Securities of any series shall mean the Trustee with respect to Securities of that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Trust Indenture Act</w:t>
      </w:r>
      <w:r>
        <w:rPr>
          <w:rFonts w:ascii="Times New Roman;Times;Serif" w:hAnsi="Times New Roman;Times;Serif"/>
          <w:b w:val="false"/>
          <w:i w:val="false"/>
          <w:caps w:val="false"/>
          <w:smallCaps w:val="false"/>
          <w:sz w:val="20"/>
        </w:rPr>
        <w:t>” means the Trust Indenture Act of 1939, as amended (15 U.S. Code §§ 77aaa-77bbbb), as it may be amended from time to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U.S. Government Obligations</w:t>
      </w:r>
      <w:r>
        <w:rPr>
          <w:rFonts w:ascii="Times New Roman;Times;Serif" w:hAnsi="Times New Roman;Times;Serif"/>
          <w:b w:val="false"/>
          <w:i w:val="false"/>
          <w:caps w:val="false"/>
          <w:smallCaps w:val="false"/>
          <w:sz w:val="20"/>
        </w:rPr>
        <w:t>” means securities that are (i) direct obligations of the United States of America for the payment of which its full faith and credit is pledged or (ii) obligations of an agency or instrumentality of the United States of America the payment of which is unconditionally guaranteed as a full faith and credit obligation by the United States of America,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Yield to Maturity</w:t>
      </w:r>
      <w:r>
        <w:rPr>
          <w:rFonts w:ascii="Times New Roman;Times;Serif" w:hAnsi="Times New Roman;Times;Serif"/>
          <w:b w:val="false"/>
          <w:i w:val="false"/>
          <w:caps w:val="false"/>
          <w:smallCaps w:val="false"/>
          <w:sz w:val="20"/>
        </w:rPr>
        <w:t>” means, as the context may require, the yield to maturity (i) on a series of Securities or (ii) if the Securities of a series are issuable from time to time, on a Security of such series, calculated at the time of issuance of such series in the case of clause (i) or at the time of issuance of such Security of such series in the case of clause (ii), or, if applicable, at the most recent redetermination of interest on such series or on such Security, and calculated in accordance with the constant interest method or such other accepted financial practice as is specified in the terms of such Security.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w:t>
        <w:tab/>
      </w:r>
      <w:r>
        <w:rPr>
          <w:rFonts w:ascii="Times New Roman;Times;Serif" w:hAnsi="Times New Roman;Times;Serif"/>
          <w:b w:val="false"/>
          <w:i/>
          <w:caps w:val="false"/>
          <w:smallCaps w:val="false"/>
          <w:sz w:val="20"/>
        </w:rPr>
        <w:t>Other Definitions</w:t>
      </w:r>
      <w:r>
        <w:rPr>
          <w:rFonts w:ascii="Times New Roman;Times;Serif" w:hAnsi="Times New Roman;Times;Serif"/>
          <w:b w:val="false"/>
          <w:i w:val="false"/>
          <w:caps w:val="false"/>
          <w:smallCaps w:val="false"/>
          <w:sz w:val="20"/>
        </w:rPr>
        <w:t>.  Each of the following terms is defined in the section set forth opposite such term:</w:t>
      </w:r>
    </w:p>
    <w:p>
      <w:pPr>
        <w:pStyle w:val="TextBody"/>
        <w:bidi w:val="0"/>
        <w:spacing w:before="0" w:after="0"/>
        <w:ind w:left="0" w:right="0" w:firstLine="720"/>
        <w:jc w:val="left"/>
        <w:rPr>
          <w:caps w:val="false"/>
          <w:smallCaps w:val="false"/>
        </w:rPr>
      </w:pPr>
      <w:r>
        <w:rPr>
          <w:caps w:val="false"/>
          <w:smallCaps w:val="false"/>
        </w:rPr>
        <w:t> </w:t>
      </w:r>
    </w:p>
    <w:tbl>
      <w:tblPr>
        <w:tblW w:w="3985" w:type="dxa"/>
        <w:jc w:val="left"/>
        <w:tblInd w:w="0" w:type="dxa"/>
        <w:tblLayout w:type="fixed"/>
        <w:tblCellMar>
          <w:top w:w="0" w:type="dxa"/>
          <w:left w:w="0" w:type="dxa"/>
          <w:bottom w:w="0" w:type="dxa"/>
          <w:right w:w="0" w:type="dxa"/>
        </w:tblCellMar>
      </w:tblPr>
      <w:tblGrid>
        <w:gridCol w:w="3155"/>
        <w:gridCol w:w="830"/>
      </w:tblGrid>
      <w:tr>
        <w:trPr/>
        <w:tc>
          <w:tcPr>
            <w:tcW w:w="315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 </w:t>
            </w:r>
          </w:p>
        </w:tc>
        <w:tc>
          <w:tcPr>
            <w:tcW w:w="830"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w:t>
            </w:r>
          </w:p>
        </w:tc>
      </w:tr>
      <w:tr>
        <w:trPr/>
        <w:tc>
          <w:tcPr>
            <w:tcW w:w="3155" w:type="dxa"/>
            <w:tcBorders/>
            <w:vAlign w:val="center"/>
          </w:tcPr>
          <w:p>
            <w:pPr>
              <w:pStyle w:val="TableContents"/>
              <w:bidi w:val="0"/>
              <w:spacing w:before="0" w:after="283"/>
              <w:jc w:val="left"/>
              <w:rPr/>
            </w:pPr>
            <w:r>
              <w:rPr/>
              <w:t>Authenticating Agent</w:t>
            </w:r>
          </w:p>
        </w:tc>
        <w:tc>
          <w:tcPr>
            <w:tcW w:w="830" w:type="dxa"/>
            <w:tcBorders/>
            <w:vAlign w:val="center"/>
          </w:tcPr>
          <w:p>
            <w:pPr>
              <w:pStyle w:val="TableContents"/>
              <w:bidi w:val="0"/>
              <w:spacing w:before="0" w:after="283"/>
              <w:jc w:val="center"/>
              <w:rPr/>
            </w:pPr>
            <w:r>
              <w:rPr/>
              <w:t>‎</w:t>
            </w:r>
            <w:r>
              <w:rPr/>
              <w:t>2.02</w:t>
            </w:r>
          </w:p>
        </w:tc>
      </w:tr>
      <w:tr>
        <w:trPr/>
        <w:tc>
          <w:tcPr>
            <w:tcW w:w="3155" w:type="dxa"/>
            <w:tcBorders/>
            <w:vAlign w:val="center"/>
          </w:tcPr>
          <w:p>
            <w:pPr>
              <w:pStyle w:val="TableContents"/>
              <w:bidi w:val="0"/>
              <w:spacing w:before="0" w:after="283"/>
              <w:jc w:val="left"/>
              <w:rPr/>
            </w:pPr>
            <w:r>
              <w:rPr/>
              <w:t>Cash Transaction</w:t>
            </w:r>
          </w:p>
        </w:tc>
        <w:tc>
          <w:tcPr>
            <w:tcW w:w="830" w:type="dxa"/>
            <w:tcBorders/>
            <w:vAlign w:val="center"/>
          </w:tcPr>
          <w:p>
            <w:pPr>
              <w:pStyle w:val="TableContents"/>
              <w:bidi w:val="0"/>
              <w:spacing w:before="0" w:after="283"/>
              <w:jc w:val="center"/>
              <w:rPr/>
            </w:pPr>
            <w:r>
              <w:rPr/>
              <w:t>‎</w:t>
            </w:r>
            <w:r>
              <w:rPr/>
              <w:t>7.03</w:t>
            </w:r>
          </w:p>
        </w:tc>
      </w:tr>
      <w:tr>
        <w:trPr/>
        <w:tc>
          <w:tcPr>
            <w:tcW w:w="3155" w:type="dxa"/>
            <w:tcBorders/>
            <w:vAlign w:val="center"/>
          </w:tcPr>
          <w:p>
            <w:pPr>
              <w:pStyle w:val="TableContents"/>
              <w:bidi w:val="0"/>
              <w:spacing w:before="0" w:after="283"/>
              <w:jc w:val="left"/>
              <w:rPr/>
            </w:pPr>
            <w:r>
              <w:rPr/>
              <w:t>Event of Default</w:t>
            </w:r>
          </w:p>
        </w:tc>
        <w:tc>
          <w:tcPr>
            <w:tcW w:w="830" w:type="dxa"/>
            <w:tcBorders/>
            <w:vAlign w:val="center"/>
          </w:tcPr>
          <w:p>
            <w:pPr>
              <w:pStyle w:val="TableContents"/>
              <w:bidi w:val="0"/>
              <w:spacing w:before="0" w:after="283"/>
              <w:jc w:val="center"/>
              <w:rPr/>
            </w:pPr>
            <w:r>
              <w:rPr/>
              <w:t>‎</w:t>
            </w:r>
            <w:r>
              <w:rPr/>
              <w:t>6.01</w:t>
            </w:r>
          </w:p>
        </w:tc>
      </w:tr>
      <w:tr>
        <w:trPr/>
        <w:tc>
          <w:tcPr>
            <w:tcW w:w="3155" w:type="dxa"/>
            <w:tcBorders/>
            <w:vAlign w:val="center"/>
          </w:tcPr>
          <w:p>
            <w:pPr>
              <w:pStyle w:val="TableContents"/>
              <w:bidi w:val="0"/>
              <w:spacing w:before="0" w:after="283"/>
              <w:jc w:val="left"/>
              <w:rPr/>
            </w:pPr>
            <w:r>
              <w:rPr/>
              <w:t>Judgment Currency</w:t>
            </w:r>
          </w:p>
        </w:tc>
        <w:tc>
          <w:tcPr>
            <w:tcW w:w="830" w:type="dxa"/>
            <w:tcBorders/>
            <w:vAlign w:val="center"/>
          </w:tcPr>
          <w:p>
            <w:pPr>
              <w:pStyle w:val="TableContents"/>
              <w:bidi w:val="0"/>
              <w:spacing w:before="0" w:after="283"/>
              <w:jc w:val="center"/>
              <w:rPr/>
            </w:pPr>
            <w:r>
              <w:rPr/>
              <w:t>‎</w:t>
            </w:r>
            <w:r>
              <w:rPr/>
              <w:t>10.15(a)</w:t>
            </w:r>
          </w:p>
        </w:tc>
      </w:tr>
      <w:tr>
        <w:trPr/>
        <w:tc>
          <w:tcPr>
            <w:tcW w:w="3155" w:type="dxa"/>
            <w:tcBorders/>
            <w:vAlign w:val="center"/>
          </w:tcPr>
          <w:p>
            <w:pPr>
              <w:pStyle w:val="TableContents"/>
              <w:bidi w:val="0"/>
              <w:spacing w:before="0" w:after="283"/>
              <w:jc w:val="left"/>
              <w:rPr/>
            </w:pPr>
            <w:r>
              <w:rPr/>
              <w:t>mandatory sinking fund payment</w:t>
            </w:r>
          </w:p>
        </w:tc>
        <w:tc>
          <w:tcPr>
            <w:tcW w:w="830" w:type="dxa"/>
            <w:tcBorders/>
            <w:vAlign w:val="center"/>
          </w:tcPr>
          <w:p>
            <w:pPr>
              <w:pStyle w:val="TableContents"/>
              <w:bidi w:val="0"/>
              <w:spacing w:before="0" w:after="283"/>
              <w:jc w:val="center"/>
              <w:rPr/>
            </w:pPr>
            <w:r>
              <w:rPr/>
              <w:t>‎</w:t>
            </w:r>
            <w:r>
              <w:rPr/>
              <w:t>3.05</w:t>
            </w:r>
          </w:p>
        </w:tc>
      </w:tr>
      <w:tr>
        <w:trPr/>
        <w:tc>
          <w:tcPr>
            <w:tcW w:w="3155" w:type="dxa"/>
            <w:tcBorders/>
            <w:vAlign w:val="center"/>
          </w:tcPr>
          <w:p>
            <w:pPr>
              <w:pStyle w:val="TableContents"/>
              <w:bidi w:val="0"/>
              <w:spacing w:before="0" w:after="283"/>
              <w:jc w:val="left"/>
              <w:rPr/>
            </w:pPr>
            <w:r>
              <w:rPr/>
              <w:t>optional sinking fund payment</w:t>
            </w:r>
          </w:p>
        </w:tc>
        <w:tc>
          <w:tcPr>
            <w:tcW w:w="830" w:type="dxa"/>
            <w:tcBorders/>
            <w:vAlign w:val="center"/>
          </w:tcPr>
          <w:p>
            <w:pPr>
              <w:pStyle w:val="TableContents"/>
              <w:bidi w:val="0"/>
              <w:spacing w:before="0" w:after="283"/>
              <w:jc w:val="center"/>
              <w:rPr/>
            </w:pPr>
            <w:r>
              <w:rPr/>
              <w:t>‎</w:t>
            </w:r>
            <w:r>
              <w:rPr/>
              <w:t>3.05</w:t>
            </w:r>
          </w:p>
        </w:tc>
      </w:tr>
      <w:tr>
        <w:trPr/>
        <w:tc>
          <w:tcPr>
            <w:tcW w:w="3155" w:type="dxa"/>
            <w:tcBorders/>
            <w:vAlign w:val="center"/>
          </w:tcPr>
          <w:p>
            <w:pPr>
              <w:pStyle w:val="TableContents"/>
              <w:bidi w:val="0"/>
              <w:spacing w:before="0" w:after="283"/>
              <w:jc w:val="left"/>
              <w:rPr/>
            </w:pPr>
            <w:r>
              <w:rPr/>
              <w:t>Paying Agent</w:t>
            </w:r>
          </w:p>
        </w:tc>
        <w:tc>
          <w:tcPr>
            <w:tcW w:w="830" w:type="dxa"/>
            <w:tcBorders/>
            <w:vAlign w:val="center"/>
          </w:tcPr>
          <w:p>
            <w:pPr>
              <w:pStyle w:val="TableContents"/>
              <w:bidi w:val="0"/>
              <w:spacing w:before="0" w:after="283"/>
              <w:jc w:val="center"/>
              <w:rPr/>
            </w:pPr>
            <w:r>
              <w:rPr/>
              <w:t>‎</w:t>
            </w:r>
            <w:r>
              <w:rPr/>
              <w:t>2.05</w:t>
            </w:r>
          </w:p>
        </w:tc>
      </w:tr>
      <w:tr>
        <w:trPr/>
        <w:tc>
          <w:tcPr>
            <w:tcW w:w="3155" w:type="dxa"/>
            <w:tcBorders/>
            <w:vAlign w:val="center"/>
          </w:tcPr>
          <w:p>
            <w:pPr>
              <w:pStyle w:val="TableContents"/>
              <w:bidi w:val="0"/>
              <w:spacing w:before="0" w:after="283"/>
              <w:jc w:val="left"/>
              <w:rPr/>
            </w:pPr>
            <w:r>
              <w:rPr/>
              <w:t>record date</w:t>
            </w:r>
          </w:p>
        </w:tc>
        <w:tc>
          <w:tcPr>
            <w:tcW w:w="830" w:type="dxa"/>
            <w:tcBorders/>
            <w:vAlign w:val="center"/>
          </w:tcPr>
          <w:p>
            <w:pPr>
              <w:pStyle w:val="TableContents"/>
              <w:bidi w:val="0"/>
              <w:spacing w:before="0" w:after="283"/>
              <w:jc w:val="center"/>
              <w:rPr/>
            </w:pPr>
            <w:r>
              <w:rPr/>
              <w:t>‎</w:t>
            </w:r>
            <w:r>
              <w:rPr/>
              <w:t>2.04</w:t>
            </w:r>
          </w:p>
        </w:tc>
      </w:tr>
      <w:tr>
        <w:trPr/>
        <w:tc>
          <w:tcPr>
            <w:tcW w:w="3155" w:type="dxa"/>
            <w:tcBorders/>
            <w:vAlign w:val="center"/>
          </w:tcPr>
          <w:p>
            <w:pPr>
              <w:pStyle w:val="TableContents"/>
              <w:bidi w:val="0"/>
              <w:spacing w:before="0" w:after="283"/>
              <w:jc w:val="left"/>
              <w:rPr/>
            </w:pPr>
            <w:r>
              <w:rPr/>
              <w:t>Registrar</w:t>
            </w:r>
          </w:p>
        </w:tc>
        <w:tc>
          <w:tcPr>
            <w:tcW w:w="830" w:type="dxa"/>
            <w:tcBorders/>
            <w:vAlign w:val="center"/>
          </w:tcPr>
          <w:p>
            <w:pPr>
              <w:pStyle w:val="TableContents"/>
              <w:bidi w:val="0"/>
              <w:spacing w:before="0" w:after="283"/>
              <w:jc w:val="center"/>
              <w:rPr/>
            </w:pPr>
            <w:r>
              <w:rPr/>
              <w:t>‎</w:t>
            </w:r>
            <w:r>
              <w:rPr/>
              <w:t>2.05</w:t>
            </w:r>
          </w:p>
        </w:tc>
      </w:tr>
      <w:tr>
        <w:trPr/>
        <w:tc>
          <w:tcPr>
            <w:tcW w:w="3155" w:type="dxa"/>
            <w:tcBorders/>
            <w:vAlign w:val="center"/>
          </w:tcPr>
          <w:p>
            <w:pPr>
              <w:pStyle w:val="TableContents"/>
              <w:bidi w:val="0"/>
              <w:spacing w:before="0" w:after="283"/>
              <w:jc w:val="left"/>
              <w:rPr/>
            </w:pPr>
            <w:r>
              <w:rPr/>
              <w:t>Required Currency</w:t>
            </w:r>
          </w:p>
        </w:tc>
        <w:tc>
          <w:tcPr>
            <w:tcW w:w="830" w:type="dxa"/>
            <w:tcBorders/>
            <w:vAlign w:val="center"/>
          </w:tcPr>
          <w:p>
            <w:pPr>
              <w:pStyle w:val="TableContents"/>
              <w:bidi w:val="0"/>
              <w:spacing w:before="0" w:after="283"/>
              <w:jc w:val="center"/>
              <w:rPr/>
            </w:pPr>
            <w:r>
              <w:rPr/>
              <w:t>‎</w:t>
            </w:r>
            <w:r>
              <w:rPr/>
              <w:t>10.15(a)</w:t>
            </w:r>
          </w:p>
        </w:tc>
      </w:tr>
      <w:tr>
        <w:trPr/>
        <w:tc>
          <w:tcPr>
            <w:tcW w:w="3155" w:type="dxa"/>
            <w:tcBorders/>
            <w:vAlign w:val="center"/>
          </w:tcPr>
          <w:p>
            <w:pPr>
              <w:pStyle w:val="TableContents"/>
              <w:bidi w:val="0"/>
              <w:spacing w:before="0" w:after="283"/>
              <w:jc w:val="left"/>
              <w:rPr/>
            </w:pPr>
            <w:r>
              <w:rPr/>
              <w:t>Security Register</w:t>
            </w:r>
          </w:p>
        </w:tc>
        <w:tc>
          <w:tcPr>
            <w:tcW w:w="830" w:type="dxa"/>
            <w:tcBorders/>
            <w:vAlign w:val="center"/>
          </w:tcPr>
          <w:p>
            <w:pPr>
              <w:pStyle w:val="TableContents"/>
              <w:bidi w:val="0"/>
              <w:spacing w:before="0" w:after="283"/>
              <w:jc w:val="center"/>
              <w:rPr/>
            </w:pPr>
            <w:r>
              <w:rPr/>
              <w:t>‎</w:t>
            </w:r>
            <w:r>
              <w:rPr/>
              <w:t>2.05</w:t>
            </w:r>
          </w:p>
        </w:tc>
      </w:tr>
      <w:tr>
        <w:trPr/>
        <w:tc>
          <w:tcPr>
            <w:tcW w:w="3155" w:type="dxa"/>
            <w:tcBorders/>
            <w:vAlign w:val="center"/>
          </w:tcPr>
          <w:p>
            <w:pPr>
              <w:pStyle w:val="TableContents"/>
              <w:bidi w:val="0"/>
              <w:spacing w:before="0" w:after="283"/>
              <w:jc w:val="left"/>
              <w:rPr/>
            </w:pPr>
            <w:r>
              <w:rPr/>
              <w:t>self-liquidating paper</w:t>
            </w:r>
          </w:p>
        </w:tc>
        <w:tc>
          <w:tcPr>
            <w:tcW w:w="830" w:type="dxa"/>
            <w:tcBorders/>
            <w:vAlign w:val="center"/>
          </w:tcPr>
          <w:p>
            <w:pPr>
              <w:pStyle w:val="TableContents"/>
              <w:bidi w:val="0"/>
              <w:spacing w:before="0" w:after="283"/>
              <w:jc w:val="center"/>
              <w:rPr/>
            </w:pPr>
            <w:r>
              <w:rPr/>
              <w:t>‎</w:t>
            </w:r>
            <w:r>
              <w:rPr/>
              <w:t>7.03</w:t>
            </w:r>
          </w:p>
        </w:tc>
      </w:tr>
      <w:tr>
        <w:trPr/>
        <w:tc>
          <w:tcPr>
            <w:tcW w:w="3155" w:type="dxa"/>
            <w:tcBorders/>
            <w:vAlign w:val="center"/>
          </w:tcPr>
          <w:p>
            <w:pPr>
              <w:pStyle w:val="TableContents"/>
              <w:bidi w:val="0"/>
              <w:spacing w:before="0" w:after="283"/>
              <w:jc w:val="left"/>
              <w:rPr/>
            </w:pPr>
            <w:r>
              <w:rPr/>
              <w:t>sinking fund payment date</w:t>
            </w:r>
          </w:p>
        </w:tc>
        <w:tc>
          <w:tcPr>
            <w:tcW w:w="830" w:type="dxa"/>
            <w:tcBorders/>
            <w:vAlign w:val="center"/>
          </w:tcPr>
          <w:p>
            <w:pPr>
              <w:pStyle w:val="TableContents"/>
              <w:bidi w:val="0"/>
              <w:spacing w:before="0" w:after="283"/>
              <w:jc w:val="center"/>
              <w:rPr/>
            </w:pPr>
            <w:r>
              <w:rPr/>
              <w:t>‎</w:t>
            </w:r>
            <w:r>
              <w:rPr/>
              <w:t>3.05</w:t>
            </w:r>
          </w:p>
        </w:tc>
      </w:tr>
      <w:tr>
        <w:trPr/>
        <w:tc>
          <w:tcPr>
            <w:tcW w:w="3155" w:type="dxa"/>
            <w:tcBorders/>
            <w:vAlign w:val="center"/>
          </w:tcPr>
          <w:p>
            <w:pPr>
              <w:pStyle w:val="TableContents"/>
              <w:bidi w:val="0"/>
              <w:spacing w:before="0" w:after="283"/>
              <w:jc w:val="left"/>
              <w:rPr/>
            </w:pPr>
            <w:r>
              <w:rPr/>
              <w:t>Surviving Entity</w:t>
            </w:r>
          </w:p>
        </w:tc>
        <w:tc>
          <w:tcPr>
            <w:tcW w:w="830" w:type="dxa"/>
            <w:tcBorders/>
            <w:vAlign w:val="center"/>
          </w:tcPr>
          <w:p>
            <w:pPr>
              <w:pStyle w:val="TableContents"/>
              <w:bidi w:val="0"/>
              <w:spacing w:before="0" w:after="283"/>
              <w:jc w:val="center"/>
              <w:rPr/>
            </w:pPr>
            <w:r>
              <w:rPr/>
              <w:t>5.01(a)</w:t>
            </w:r>
          </w:p>
        </w:tc>
      </w:tr>
      <w:tr>
        <w:trPr/>
        <w:tc>
          <w:tcPr>
            <w:tcW w:w="3155" w:type="dxa"/>
            <w:tcBorders/>
            <w:vAlign w:val="center"/>
          </w:tcPr>
          <w:p>
            <w:pPr>
              <w:pStyle w:val="TableContents"/>
              <w:bidi w:val="0"/>
              <w:spacing w:before="0" w:after="283"/>
              <w:jc w:val="left"/>
              <w:rPr/>
            </w:pPr>
            <w:r>
              <w:rPr/>
              <w:t>tranche</w:t>
            </w:r>
          </w:p>
        </w:tc>
        <w:tc>
          <w:tcPr>
            <w:tcW w:w="830" w:type="dxa"/>
            <w:tcBorders/>
            <w:vAlign w:val="center"/>
          </w:tcPr>
          <w:p>
            <w:pPr>
              <w:pStyle w:val="TableContents"/>
              <w:bidi w:val="0"/>
              <w:spacing w:before="0" w:after="283"/>
              <w:jc w:val="center"/>
              <w:rPr/>
            </w:pPr>
            <w:r>
              <w:rPr/>
              <w:t>‎</w:t>
            </w:r>
            <w:r>
              <w:rPr/>
              <w:t>2.14</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1.03.</w:t>
        <w:tab/>
      </w:r>
      <w:r>
        <w:rPr>
          <w:rFonts w:ascii="Times New Roman;Times;Serif" w:hAnsi="Times New Roman;Times;Serif"/>
          <w:b w:val="false"/>
          <w:i/>
          <w:caps w:val="false"/>
          <w:smallCaps w:val="false"/>
          <w:sz w:val="20"/>
        </w:rPr>
        <w:t>Incorporation by Reference of Trust Indenture Act</w:t>
      </w:r>
      <w:r>
        <w:rPr>
          <w:rFonts w:ascii="Times New Roman;Times;Serif" w:hAnsi="Times New Roman;Times;Serif"/>
          <w:b w:val="false"/>
          <w:i w:val="false"/>
          <w:caps w:val="false"/>
          <w:smallCaps w:val="false"/>
          <w:sz w:val="20"/>
        </w:rPr>
        <w:t>.  Whenever this Indenture refers to a provision of the Trust Indenture Act, the provision is incorporated by reference in and made a part of this Indenture.  The following terms used in this Indenture that are defined by the Trust Indenture Act have the following meanings: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indenture securities</w:t>
      </w:r>
      <w:r>
        <w:rPr>
          <w:rFonts w:ascii="Times New Roman;Times;Serif" w:hAnsi="Times New Roman;Times;Serif"/>
          <w:b w:val="false"/>
          <w:i w:val="false"/>
          <w:caps w:val="false"/>
          <w:smallCaps w:val="false"/>
          <w:sz w:val="20"/>
        </w:rPr>
        <w:t>” means the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indenture security holder</w:t>
      </w:r>
      <w:r>
        <w:rPr>
          <w:rFonts w:ascii="Times New Roman;Times;Serif" w:hAnsi="Times New Roman;Times;Serif"/>
          <w:b w:val="false"/>
          <w:i w:val="false"/>
          <w:caps w:val="false"/>
          <w:smallCaps w:val="false"/>
          <w:sz w:val="20"/>
        </w:rPr>
        <w:t>” means a Holder or a Securityholder;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indenture to be qualified</w:t>
      </w:r>
      <w:r>
        <w:rPr>
          <w:rFonts w:ascii="Times New Roman;Times;Serif" w:hAnsi="Times New Roman;Times;Serif"/>
          <w:b w:val="false"/>
          <w:i w:val="false"/>
          <w:caps w:val="false"/>
          <w:smallCaps w:val="false"/>
          <w:sz w:val="20"/>
        </w:rPr>
        <w:t>” means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indenture trustee</w:t>
      </w:r>
      <w:r>
        <w:rPr>
          <w:rFonts w:ascii="Times New Roman;Times;Serif" w:hAnsi="Times New Roman;Times;Serif"/>
          <w:b w:val="false"/>
          <w:i w:val="false"/>
          <w:caps w:val="false"/>
          <w:smallCaps w:val="false"/>
          <w:sz w:val="20"/>
        </w:rPr>
        <w:t>” or “institutional trustee” means the Trustee;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obligor</w:t>
      </w:r>
      <w:r>
        <w:rPr>
          <w:rFonts w:ascii="Times New Roman;Times;Serif" w:hAnsi="Times New Roman;Times;Serif"/>
          <w:b w:val="false"/>
          <w:i w:val="false"/>
          <w:caps w:val="false"/>
          <w:smallCaps w:val="false"/>
          <w:sz w:val="20"/>
        </w:rPr>
        <w:t>” on the indenture securities means the Company or any other obligor on the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terms used in this Indenture that are defined by the Trust Indenture Act, defined by reference in the Trust Indenture Act to another statute or defined by a rule of the Commission and not otherwise defined herein have the meanings assigned to them therein.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1.04.</w:t>
        <w:tab/>
      </w:r>
      <w:r>
        <w:rPr>
          <w:rFonts w:ascii="Times New Roman;Times;Serif" w:hAnsi="Times New Roman;Times;Serif"/>
          <w:b w:val="false"/>
          <w:i/>
          <w:caps w:val="false"/>
          <w:smallCaps w:val="false"/>
          <w:sz w:val="20"/>
        </w:rPr>
        <w:t>Rules of Construction</w:t>
      </w:r>
      <w:r>
        <w:rPr>
          <w:rFonts w:ascii="Times New Roman;Times;Serif" w:hAnsi="Times New Roman;Times;Serif"/>
          <w:b w:val="false"/>
          <w:i w:val="false"/>
          <w:caps w:val="false"/>
          <w:smallCaps w:val="false"/>
          <w:sz w:val="20"/>
        </w:rPr>
        <w:t>.  Unless the context otherwise requires: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 accounting term not otherwise defined has the meaning assigned to it in accordance with IFRS;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words in the singular include the plural, and words in the plural include the singular;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“herein,” “hereof” and other words of similar import refer to this Indenture as a whole and not to any particular Article, Section or other subdivision;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references to Sections or Articles refer to Sections or Articles of this Indenture unless otherwise indicated;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use of masculine, feminine or neuter pronouns should not be deemed a limitation, and the use of any such pronouns should be construed to include, where appropriate, the other pronouns.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2</w:t>
      </w:r>
      <w:r>
        <w:rPr>
          <w:rFonts w:ascii="Times New Roman;Times;Serif" w:hAnsi="Times New Roman;Times;Serif"/>
          <w:b w:val="false"/>
          <w:i w:val="false"/>
          <w:smallCaps/>
          <w:sz w:val="20"/>
        </w:rPr>
        <w:br/>
        <w:t>THE SECURITIES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w:t>
        <w:tab/>
      </w:r>
      <w:r>
        <w:rPr>
          <w:rFonts w:ascii="Times New Roman;Times;Serif" w:hAnsi="Times New Roman;Times;Serif"/>
          <w:b w:val="false"/>
          <w:i/>
          <w:caps w:val="false"/>
          <w:smallCaps w:val="false"/>
          <w:sz w:val="20"/>
        </w:rPr>
        <w:t>Form and Dating</w:t>
      </w:r>
      <w:r>
        <w:rPr>
          <w:rFonts w:ascii="Times New Roman;Times;Serif" w:hAnsi="Times New Roman;Times;Serif"/>
          <w:b w:val="false"/>
          <w:i w:val="false"/>
          <w:caps w:val="false"/>
          <w:smallCaps w:val="false"/>
          <w:sz w:val="20"/>
        </w:rPr>
        <w:t>.  The Securities of each series shall be substantially in such form or forms (not inconsistent with this Indenture) as shall be established by or pursuant to one or more Board Resolutions or in one or more indentures supplemental hereto, in each case with such appropriate insertions, omissions, substitutions and other variations as are required or permitted by this Indenture and may have imprinted or otherwise reproduced thereon such legend or legends or endorsements,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inconsistent with the provisions of this Indenture, as may be required to comply with any law, or with any rules of any securities exchange or usage, all as may be determined by the officers executing such Securities as evidenced by their execution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w:t>
        <w:tab/>
      </w:r>
      <w:r>
        <w:rPr>
          <w:rFonts w:ascii="Times New Roman;Times;Serif" w:hAnsi="Times New Roman;Times;Serif"/>
          <w:b w:val="false"/>
          <w:i/>
          <w:caps w:val="false"/>
          <w:smallCaps w:val="false"/>
          <w:sz w:val="20"/>
        </w:rPr>
        <w:t>Execution And Authentication</w:t>
      </w:r>
      <w:r>
        <w:rPr>
          <w:rFonts w:ascii="Times New Roman;Times;Serif" w:hAnsi="Times New Roman;Times;Serif"/>
          <w:b w:val="false"/>
          <w:i w:val="false"/>
          <w:caps w:val="false"/>
          <w:smallCaps w:val="false"/>
          <w:sz w:val="20"/>
        </w:rPr>
        <w:t>.  Two Officers shall execute the Securities for the Company by facsimile or manual signature in the name and on behalf of the Company.  If an Officer whose signature is on a Security no longer holds that office at the time the Security is authenticated, the Security shall nevertheless be valid.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at the expense of the Company, may appoint an authenticating agent (the “</w:t>
      </w:r>
      <w:r>
        <w:rPr>
          <w:rFonts w:ascii="Times New Roman;Times;Serif" w:hAnsi="Times New Roman;Times;Serif"/>
          <w:b/>
          <w:i w:val="false"/>
          <w:caps w:val="false"/>
          <w:smallCaps w:val="false"/>
          <w:sz w:val="20"/>
        </w:rPr>
        <w:t>Authenticating Agent</w:t>
      </w:r>
      <w:r>
        <w:rPr>
          <w:rFonts w:ascii="Times New Roman;Times;Serif" w:hAnsi="Times New Roman;Times;Serif"/>
          <w:b w:val="false"/>
          <w:i w:val="false"/>
          <w:caps w:val="false"/>
          <w:smallCaps w:val="false"/>
          <w:sz w:val="20"/>
        </w:rPr>
        <w:t>”) to authenticate Securities.  The Authenticating Agent may authenticate Securities whenever the Trustee may do so.  Each reference in this Indenture to authentication by the Trustee includes authentication by such Authenticating Agent.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Security shall not be valid until the Trustee or Authenticating Agent manually signs the certificate of authentication on the Security.  The signature shall be conclusive evidence that the Security has been authenticated under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and from time to time after the execution and delivery of this Indenture, the Company may deliver Securities of any series executed by the Company to the Trustee for authentication together with the applicable documents referred to below in this Section, and the Trustee shall thereupon authenticate and deliver such Securities to or upon the written order of the Company.  In authenticating any Securities of a series, the Trustee shall be entitled to receive prior to the authentication of any Securities of such series, and (subject to Article 7) shall be fully protected in relying upon, unless and until such documents have been superseded or revoked: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Board Resolution and/or executed supplemental indenture referred to in Sections 2.01 and 2.03 by or pursuant to which the forms and terms of the Securities of that series were established;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 Officers’ Certificate setting forth the form or forms and terms of the Securities, stating that the form or forms and terms of the Securities of such series have been, or, in the case of a Periodic Offering, will be when established in accordance with such procedures as shall be referred to therein, established in compliance with this Indenture;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 Opinion of Counsel substantially to the effect that the form or forms and terms of the Securities of such series have been, or, in the case of a Periodic Offering, will be when established in accordance with such procedures as shall be referred to therein, established in compliance with this Indenture and that the supplemental indenture, to the extent applicable, and Securities have been duly authorized and, if executed and authenticated in accordance with the provisions of the Indenture and delivered to and duly paid for by the purchasers thereof on the date of such opinion, would be entitled to the benefits of the Indenture and would be valid and binding obligations of the Company, enforceable against the Company in accordance with their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respective terms, subject to bankruptcy, insolvency, reorganization, receivership, moratorium and other similar laws affecting creditors’ rights generally, general principles of equity, and covering such other matters as shall be specified therein and as shall be reasonably requested by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not be required to authenticate such Securities if the issue of such Securities pursuant to this Indenture will affect the Trustee’s own rights, duties or immunities under the Securities and this Indenture or otherwise in a manner which is not reasonably acceptable to the Trustee.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provisions of Sections 2.01 and 2.02, if, in connection with a Periodic Offering, all Securities of a series are not to be originally issued at one time, it shall not be necessary to deliver the Board Resolution otherwise required pursuant to Section 2.01 or the written order, Officers’ Certificate and Opinion of Counsel otherwise required pursuant to Section 2.02 at or prior to the authentication of each Security of such series if such documents are delivered at or prior to the authentication upon original issuance of the first Security of such series to be issued.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Securities of a series offered in a Periodic Offering, the Trustee may rely, as to the authorization by the Company of any of such Securities, the forms and terms thereof and the legality, validity, binding effect and enforceability thereof, upon the Opinion of Counsel and the other documents delivered pursuant to Sections 2.01 and 2.02, as applicable, in connection with the first authentication of Securities of such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shall establish pursuant to Section 2.03 that the Securities of a series or a portion thereof are to be issued in the form of one or more Registered Global Securities, then the Company shall execute and the Trustee shall authenticate and deliver one or more Registered Global Securities that (i) shall represent and shall be denominated in an amount equal to the aggregate principal amount of all of the Securities of such series issued in such form and not yet cancelled, (ii) shall be registered in the name of the Depositary for such Registered Global Security or Securities or the nominee of such Depositary, (iii) shall be delivered by the Trustee to such Depositary or its custodian or pursuant to such Depositary’s instructions and (iv) shall (unless provided otherwise in the form of such Security) bear a legend substantially to the following effect:  “Unless and until it is exchanged in whole or in part for Securities in definitive registered form, this Security may not be transferred except as a whole by the Depositary to the nominee of the Depositary or by a nominee of the Depositary to the Depositary or another nominee of the Depositary or by the Depositary or any such nominee to a successor Depositary or a nominee of such successor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w:t>
        <w:tab/>
      </w:r>
      <w:r>
        <w:rPr>
          <w:rFonts w:ascii="Times New Roman;Times;Serif" w:hAnsi="Times New Roman;Times;Serif"/>
          <w:b w:val="false"/>
          <w:i/>
          <w:caps w:val="false"/>
          <w:smallCaps w:val="false"/>
          <w:sz w:val="20"/>
        </w:rPr>
        <w:t>Amount Unlimited; Issuable in Series</w:t>
      </w:r>
      <w:r>
        <w:rPr>
          <w:rFonts w:ascii="Times New Roman;Times;Serif" w:hAnsi="Times New Roman;Times;Serif"/>
          <w:b w:val="false"/>
          <w:i w:val="false"/>
          <w:caps w:val="false"/>
          <w:smallCaps w:val="false"/>
          <w:sz w:val="20"/>
        </w:rPr>
        <w:t>.  The aggregate principal amount of Securities which may be authenticated and delivered under this Indenture is unlimited.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may be issued in one or more series and each such series shall rank equally and pari passu with the Securities of each other series, but all Securities hereunder shall be subordinate and junior in right of payment, to the extent and manner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in Article 11, to all Senior Indebtedness. There shall be established in or pursuant to Board Resolution or one or more indentures supplemental hereto, prior to the initial issuance of Securities of any series, subject to the last sentence of this Section 2.03,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designation of the Securities of the series, which shall distinguish the Securities of the series from the Securities of all other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limit upon the aggregate principal amount of the Securities of the series that may be authenticated and delivered under this Indenture and any limitation on the ability of the Company to increase such aggregate principal amount after the initial issuance of the Securities of that series (except for Securities authenticated and delivered upon registration of transfer of, or in exchange for, or in lieu of, or upon redemption of, other Securities of the series pursuant hereto);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date or dates on which the principal of the Securities of the series is payable (which date or dates may be fixed or extendible);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rate or rates (which may be fixed or variable) per annum at which the Securities of the series shall bear interest, if any, the date or dates from which such interest shall accrue, on which such interest shall be payable and on which a record shall be taken for the determination of Holders to whom interest is payable and/or the method by which such rate or rates or date or dates shall be determined;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other than as provided in Section 4.02, the place or places where the principal of and any interest on Securities of the series shall be payable, any Securities of the series may be surrendered for exchange, notices, demands to or upon the Company in respect of the Securities of the series and this Indenture may be served;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right, if any, of the Company to redeem Securities of the series, in whole or in part, at its option and the period or periods within which, the price or prices at which and any terms and conditions upon which Securities of the series may be so redeemed, pursuant to any sinking fund or otherwise;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obligation, if any, of the Company to redeem, purchase or repay Securities of the series pursuant to any mandatory redemption, sinking fund or analogous provisions or at the option of a Holder thereof and the price or prices at which and the period or periods within which and any of the terms and conditions upon which Securities of the series shall be redeemed, purchased or repaid, in whole or in part, pursuant to such obligation;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if other than denominations of $2,000 and any higher integral multiple of $1,000, the denominations in which Securities of the series shall be issuable;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other than the principal amount thereof, the portion of the principal amount of Securities of the series which shall be payable upon declaration of acceleration of the maturity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if other than the coin or currency in which the Securities of the series are denominated, the coin or currency in which payment of the principal of or interest on the Securities of the series shall be payable or if the amount of payments of principal of and/or interest on the Securities of the series may be determined with reference to an index based on a coin or currency other than that in which the Securities of the series are denominated, the manner in which such amounts shall be determined;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if other than the currency of the United States of America, the currency or currencies, including composite currencies, in which payment of the Principal of and interest on the Securities of the series shall be payable, and the manner in which any such currencies shall be valued against other currencies in which any other Securities shall be payable;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whether the Securities of the series or any portion thereof will be issuable as Global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whether the Securities of the series may be exchangeable for and/or convertible into the common stock of the Company or any other security;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whether and under what circumstances the Company will pay additional amounts on the Securities of the series held by a person who is not a U.S. person in respect of any tax, assessment or governmental charge withheld or deducted and, if so, whether the Company will have the option to redeem such Securities rather than pay such additional amounts;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if the Securities of the series are to be issuable in definitive form (whether upon original issue or upon exchange of a temporary Security of such series) only upon receipt of certain certificates or other documents or satisfaction of other conditions, the form and terms of such certificates, documents or conditions;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any trustees, depositaries, authenticating or paying agents, transfer agents or the registrar or any other agents with respect to the Securities of the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provisions, if any, for the defeasance of the Securities of the series (including provisions permitting defeasance of less than all Securities of the series), which provisions may be in addition to, in substitution for, or in modification of (or any combination of the foregoing) the provisions of Article 8;</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if the Securities of the series are issuable in whole or in part as one or more Registered Global Securities, the identity of the Depositary or common Depositary for such Registered Global Security or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any other Events of Default or covenants with respect to the Securities of the series;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any other terms of the Securities of the series (which terms shall not be inconsistent with the provisions of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of any one series shall be substantially identical, except as to date and denomination, except in the case of any Periodic Offering and except as may otherwise be provided by or pursuant to the Board Resolution referred to above or as set forth in any such indenture supplemental hereto.  All Securities of any one series need not be issued at the same time and may be issued from time to time, consistent with the terms of this Indenture, if so provided by or pursuant to such Board Resolution or in any such indenture supplemental hereto and any forms and terms of Securities to be issued from time to time may be completed and established from time to time prior to the issuance thereof by procedures described in such Board Resolution or supplemental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expressly provided with respect to a series of Securities, the aggregate principal amount of a series of Securities may be increased and additional Securities of such series may be issued up to the maximum aggregate principal amount authorized with respect to such series as increased.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2.04.</w:t>
        <w:tab/>
      </w:r>
      <w:r>
        <w:rPr>
          <w:rFonts w:ascii="Times New Roman;Times;Serif" w:hAnsi="Times New Roman;Times;Serif"/>
          <w:b w:val="false"/>
          <w:i/>
          <w:caps w:val="false"/>
          <w:smallCaps w:val="false"/>
          <w:sz w:val="20"/>
        </w:rPr>
        <w:t>Denomination and Date of Securities; Payments of Interest</w:t>
      </w:r>
      <w:r>
        <w:rPr>
          <w:rFonts w:ascii="Times New Roman;Times;Serif" w:hAnsi="Times New Roman;Times;Serif"/>
          <w:b w:val="false"/>
          <w:i w:val="false"/>
          <w:caps w:val="false"/>
          <w:smallCaps w:val="false"/>
          <w:sz w:val="20"/>
        </w:rPr>
        <w:t>.  The Securities of each series shall be issuable in denominations established as contemplated by Section 2.03 or, if not so established with respect to Securities of any series, in denominations of $2,000 and any higher integral multiple of $1,000.  The Securities of each series shall be numbered, lettered or otherwise distinguished in such manner or in accordance with such plan as the Officers of the Company executing the same may determine, as evidenced by their execution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with respect to a series of Securities, each Security shall be dated the date of its authentication.  The Securities of each series shall bear interest, if any, from the date, and such interest and shall be payable on the dates, established as contemplated by Section 2.03.</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person in whose name any Security of any series is registered at the close of business on any record date applicable to a particular series with respect to any interest payment date for such series shall be entitled to receive the interest, if any, payable on such interest payment date notwithstanding any transfer or exchange of such Security subsequent to the record date and prior to such interest payment date, except if and to the extent the Company shall default in the payment of the interest due on such interest payment date for such series, in which case the provisions of Section 2.13 shall apply.  The term “</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as used with respect to any interest payment date (except a date for payment of defaulted interest) for the Securities of any series shall mean the date specified as such in the terms of the Securities of such series established as contemplated by Section 2.03, or, if no such date is so established, the fifteenth day next preceding such interest payment date, whether or not such record date is a Business Day.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2.05.</w:t>
        <w:tab/>
      </w:r>
      <w:r>
        <w:rPr>
          <w:rFonts w:ascii="Times New Roman;Times;Serif" w:hAnsi="Times New Roman;Times;Serif"/>
          <w:b w:val="false"/>
          <w:i/>
          <w:caps w:val="false"/>
          <w:smallCaps w:val="false"/>
          <w:sz w:val="20"/>
        </w:rPr>
        <w:t>Registrar and Paying Agent; Agents Generally</w:t>
      </w:r>
      <w:r>
        <w:rPr>
          <w:rFonts w:ascii="Times New Roman;Times;Serif" w:hAnsi="Times New Roman;Times;Serif"/>
          <w:b w:val="false"/>
          <w:i w:val="false"/>
          <w:caps w:val="false"/>
          <w:smallCaps w:val="false"/>
          <w:sz w:val="20"/>
        </w:rPr>
        <w:t>.  The Company shall maintain an office or agency where Securities may be presented for registration, registration of transfer or for exchange (the “</w:t>
      </w:r>
      <w:r>
        <w:rPr>
          <w:rFonts w:ascii="Times New Roman;Times;Serif" w:hAnsi="Times New Roman;Times;Serif"/>
          <w:b/>
          <w:i w:val="false"/>
          <w:caps w:val="false"/>
          <w:smallCaps w:val="false"/>
          <w:sz w:val="20"/>
        </w:rPr>
        <w:t>Registrar</w:t>
      </w:r>
      <w:r>
        <w:rPr>
          <w:rFonts w:ascii="Times New Roman;Times;Serif" w:hAnsi="Times New Roman;Times;Serif"/>
          <w:b w:val="false"/>
          <w:i w:val="false"/>
          <w:caps w:val="false"/>
          <w:smallCaps w:val="false"/>
          <w:sz w:val="20"/>
        </w:rPr>
        <w:t>”) and an office or agency where Securities may be presented for payment (the “</w:t>
      </w:r>
      <w:r>
        <w:rPr>
          <w:rFonts w:ascii="Times New Roman;Times;Serif" w:hAnsi="Times New Roman;Times;Serif"/>
          <w:b/>
          <w:i w:val="false"/>
          <w:caps w:val="false"/>
          <w:smallCaps w:val="false"/>
          <w:sz w:val="20"/>
        </w:rPr>
        <w:t>Paying Agent</w:t>
      </w:r>
      <w:r>
        <w:rPr>
          <w:rFonts w:ascii="Times New Roman;Times;Serif" w:hAnsi="Times New Roman;Times;Serif"/>
          <w:b w:val="false"/>
          <w:i w:val="false"/>
          <w:caps w:val="false"/>
          <w:smallCaps w:val="false"/>
          <w:sz w:val="20"/>
        </w:rPr>
        <w:t>”), which shall be in the Borough of Manhattan, The City of New York.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cause the Registrar to keep a register of the Securities and of their registration, transfer and exchange (the “</w:t>
      </w:r>
      <w:r>
        <w:rPr>
          <w:rFonts w:ascii="Times New Roman;Times;Serif" w:hAnsi="Times New Roman;Times;Serif"/>
          <w:b/>
          <w:i w:val="false"/>
          <w:caps w:val="false"/>
          <w:smallCaps w:val="false"/>
          <w:sz w:val="20"/>
        </w:rPr>
        <w:t>Security Register</w:t>
      </w:r>
      <w:r>
        <w:rPr>
          <w:rFonts w:ascii="Times New Roman;Times;Serif" w:hAnsi="Times New Roman;Times;Serif"/>
          <w:b w:val="false"/>
          <w:i w:val="false"/>
          <w:caps w:val="false"/>
          <w:smallCaps w:val="false"/>
          <w:sz w:val="20"/>
        </w:rPr>
        <w:t>”).  The Company may have one or more additional Paying Agents or transfer agents with respect to any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shall enter into an appropriate agency agreement with any Agent not a party to this Indenture.  The agreement shall implement the provisions of this Indenture and the Trust Indenture Act that relate to such Agent.  The Company shall give prompt written notice to the Trustee of the name and address of any Agent and any change in the name or address of an Agent.  If the Company fails to maintain a Registrar or Paying Agent, the Trustee shall act as such.  The Company may remove any Agent upon written notice to such Agent and the Trustee;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such removal shall become effective until (i) the acceptance of an appointment by a successor Agent to such Agent as evidenced by an appropriate agency agreement entered into by the Company and such successor Agent and delivered to the Trustee or (ii) notification to the Trustee that the Trustee shall serve as such Agent until the appointment of a successor Agent in accordance with clause (i) of this proviso.  The Company or any affiliate of the Company may act as Paying Agent or Registrar;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neither the Company nor an affiliate of the Company shall act as Paying Agent in connection with the defeasance of the Securities or the discharge of this Indenture under Article 8.</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initially appoints the Trustee as Registrar, Paying Agent and Authenticating Agent.  If, at any time, the Trustee is not the Registrar, the Registrar shall make available to the Trustee ten days prior to each interest payment date and at such other times as the Trustee may reasonably request the names and addresses of the Holders as they appear in the Security Register.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2.06.</w:t>
        <w:tab/>
      </w:r>
      <w:r>
        <w:rPr>
          <w:rFonts w:ascii="Times New Roman;Times;Serif" w:hAnsi="Times New Roman;Times;Serif"/>
          <w:b w:val="false"/>
          <w:i/>
          <w:caps w:val="false"/>
          <w:smallCaps w:val="false"/>
          <w:sz w:val="20"/>
        </w:rPr>
        <w:t>Paying Agent to Hold Money in Trust</w:t>
      </w:r>
      <w:r>
        <w:rPr>
          <w:rFonts w:ascii="Times New Roman;Times;Serif" w:hAnsi="Times New Roman;Times;Serif"/>
          <w:b w:val="false"/>
          <w:i w:val="false"/>
          <w:caps w:val="false"/>
          <w:smallCaps w:val="false"/>
          <w:sz w:val="20"/>
        </w:rPr>
        <w:t>.  Not later than 10:00 a.m. New York City time on each due date of any Principal or interest on any Securities, the Company shall deposit with the Paying Agent money in immediately available funds sufficient to pay such Principal or interest.  The Company shall require each Paying Agent other than the Trustee to agree in writing that such Paying Agent shall hold in trust for the benefit of the Holders of such Securities or the Trustee all money held by the Paying Agent for the payment of Principal of and interest on such Securities and shall promptly notify the Trustee of any default by the Company in making any such payment.  The Company at any time may require a Paying Agent to pay all money held by it to the Trustee and account for any funds disbursed, and the Trustee may at any time during the continuance of any payment default, upon written request to a Paying Agent, require such Paying Agent to pay all money held by it to the Trustee and to account for any funds disbursed.  Upon doing so, the Paying Agent shall have no further liability for the money so paid over to the Trustee.  If the Company or any affiliate of the Company acts as Paying Agent, it will, on or before each due date of any Principal of or interest on any Securities, segregate and hold in a separate trust fund for the benefit of the Holders thereof a sum of money sufficient to pay such Principal or interest so becoming due until such sum of money shall be paid to such Holders or otherwise disposed of as provided in this Indenture, and will promptly notify the Trustee in writing of its action or failure to act as required by this Section.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2.07.</w:t>
        <w:tab/>
      </w:r>
      <w:r>
        <w:rPr>
          <w:rFonts w:ascii="Times New Roman;Times;Serif" w:hAnsi="Times New Roman;Times;Serif"/>
          <w:b w:val="false"/>
          <w:i/>
          <w:caps w:val="false"/>
          <w:smallCaps w:val="false"/>
          <w:sz w:val="20"/>
        </w:rPr>
        <w:t>Transfer and Exchange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option of the Holder thereof, Securities of any series (other than a Registered Global Security, except as set forth below) may be exchanged for a Security or Securities of such series and tenor having authorized denominations and an equal aggregate principal amount, upon surrender of such Securities to be exchanged at the agency of the Company that shall be maintained for such purpose in accordance with Section 2.05 and upon payment, if the Company shall so require, of the charges hereinafter provided.  Whenever any Securities are so surrendered for exchange, the Company shall execute, and the Trustee shall authenticate and deliver, the Securities which the Holder making the exchange is entitled to receive.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surrender for registration of transfer of any Security of a series at the agency of the Company that shall be maintained for that purpose in accordance with Section 2.05 and upon payment, if the Company shall so require, of the charges hereinafter provided, the Company shall execute, and the Trustee shall authenticate and deliver, in the name of the designated transferee or transferees, one or more new Securities of the same series, of any authorized denominations and of like tenor and aggregate principal amount.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presented for registration of transfer, exchange, redemption or payment shall be duly endorsed by, or be accompanied by a written instrument or instruments of transfer in form satisfactory to the Company and the Trustee duly executed by, the holder or his attorney duly authorized in writing.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require payment of a sum sufficient to cover any tax or other governmental charge that may be imposed in connection with any exchange or registration of transfer of Securities.  No service charge shall be made for any such transaction.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of this Section 2.07, unless and until it is exchanged in whole or in part for Securities in definitive registered form, a Registered Global Security representing all or a portion of the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the Depositary for any Registered Global Securities of any series notifies the Company that it is unwilling or unable to continue as Depositary for such Registered Global Securities or if at any time the Depositary for such Registered Global Securities shall no longer be eligible under applicable law, the Company shall appoint a successor Depositary eligible under applicable law with respect to such Registered Global Securities.  If a successor Depositary eligible under applicable law for such Registered Global Securities is not appointed by the Company within 90 days after the Company receives such notice or becomes aware of such ineligibility, the Company will execute, and the Trustee, upon receipt of the Company’s order for the authentication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definitive Securities of such series and tenor, will authenticate and deliver certificated Securities of such series and tenor, in any authorized denominations, in an aggregate principal amount equal to the principal amount of such Registered Global Securities, in exchange for such Registered Global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at any time and in its sole discretion and subject to the procedures of the Depositary determine that any Registered Global Securities of any series shall no longer be maintained in global form.  In such event the Company will execute, and the Trustee, upon receipt of the Company’s order for the authentication and delivery of definitive Securities of such series and tenor, will authenticate and deliver, certificated Securities of such series and tenor in any authorized denominations, in an aggregate principal amount equal to the principal amount of such Registered Global Securities, in exchange for such Registered Global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time the Securities of any series are not in the form of Registered Global Securities pursuant to the preceding two paragraphs, the Company agrees to supply the Trustee with a reasonable supply of certificated Securities without the legend required by Section 2.02 and the Trustee agrees to hold such Securities in safekeeping until authenticated and delivered pursuant to the terms of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established by the Company pursuant to Section 2.03 with respect to any Registered Global Security, the Depositary for such Registered Global Security may surrender such Registered Global Security in exchange in whole or in part for Securities of the same series and tenor in definitive registered form on such terms as are acceptable to the Company and such Depositary.  Thereupon, the Company shall execute, and the Trustee shall authenticate and deliver, without service charge,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Person specified by such Depositary new certificated Securities of the same series and tenor, of any authorized denominations as requested by such Person, in an aggregate principal amount equal to and in exchange for such Person’s beneficial interest in the Registered Global Security; and</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such Depositary a new Registered Global Security in a denomination equal to the difference, if any, between the principal amount of the surrendered Registered Global Security and the aggregate principal amount of certificated Securities authenticated and delivered pursuant to clause (a) above.</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Certificated Securities issued in exchange for a Registered Global Security pursuant to this Section 2.07 shall be registered in such names and in such authorized denominations as the Depositary for such Registered Global Security, pursuant to instructions from its direct or indirect participants or otherwise, shall instruct the Trustee or an agent of the Company or the Trustee.  The Trustee or such agent shall deliver such Securities to or as directed by the Persons in whose names such Securities are so registered.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issued upon any transfer or exchange of Securities shall be valid obligations of the Company, evidencing the same debt, and entitled to the same benefits under this Indenture, as the Securities surrendered upon such transfer or exchange.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Registrar shall not be required (i) to issue, authenticate, register the transfer of or exchange Securities of any series for a period of 15 days before a selection of such Securities to be redeemed or (ii) to register the transfer of or exchange any Security selected for redemption in whole or in part.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2.08.</w:t>
        <w:tab/>
      </w:r>
      <w:r>
        <w:rPr>
          <w:rFonts w:ascii="Times New Roman;Times;Serif" w:hAnsi="Times New Roman;Times;Serif"/>
          <w:b w:val="false"/>
          <w:i/>
          <w:caps w:val="false"/>
          <w:smallCaps w:val="false"/>
          <w:sz w:val="20"/>
        </w:rPr>
        <w:t>Replacement Securities</w:t>
      </w:r>
      <w:r>
        <w:rPr>
          <w:rFonts w:ascii="Times New Roman;Times;Serif" w:hAnsi="Times New Roman;Times;Serif"/>
          <w:b w:val="false"/>
          <w:i w:val="false"/>
          <w:caps w:val="false"/>
          <w:smallCaps w:val="false"/>
          <w:sz w:val="20"/>
        </w:rPr>
        <w:t>.  If any mutilated Security is surrendered to the Trustee, the Company shall execute and the Trustee shall authenticate and deliver, in exchange for such mutilated Security, a new Security of the same series and of like tenor and principal amount and bearing a number not contemporaneously outstanding.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shall be delivered to the Company and the Trustee (i) evidence to their satisfaction of the destruction, loss or theft of any Security and (ii) such security or indemnity as may be required by them to save each of them and any agent of any of them harmless, then, in the absence of notice to the Company or the Trustee that such Security has been acquired by a bona fide purchaser, the Company shall execute and the Trustee shall authenticate and deliver, in lieu of any such destroyed, lost or stolen Security, a new Security of the same series and of like tenor and principal amount and bearing a number not contemporaneously outstanding.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such mutilated, destroyed, lost or stolen Security has become or is about to become due and payable, the Company in its discretion may, instead of issuing a new Security, pay such Security (without surrender thereof except in the case of a mutilated Security) if the applicant for such payment shall furnish to the Company and the Trustee such security or indemnity as may be required by them to save each of them and any agent of any of them harmless, and in the case of destruction, loss or theft, evidence satisfactory to the Company and the Trustee and any agent of them of the destruction, loss or theft of such Security and the ownership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issuance of any new Security under this Section, the Company may require payment of a sum sufficient to cover any tax or other governmental charge that may be imposed in relation thereto and any other expenses (including the fees and expenses of the Trustee) connected therewith.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new Security of any series issued pursuant to this Section in lieu of any destroyed, lost or stolen Security or in exchange for any mutilated Security shall constitute an original additional contractual obligation of the Company, whether or not the mutilated, destroyed, lost or stolen Security shall be at any time enforceable by anyone, and any such new Security shall be entitled to all the benefits of this Indenture equally and proportionately with any and all other Securities of that series duly issued 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Section are exclusive and shall preclude (to the extent lawful) any other rights and remedies with respect to the replacement or payment of mutilated, destroyed, lost or stolen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2.09.</w:t>
        <w:tab/>
      </w:r>
      <w:r>
        <w:rPr>
          <w:rFonts w:ascii="Times New Roman;Times;Serif" w:hAnsi="Times New Roman;Times;Serif"/>
          <w:b w:val="false"/>
          <w:i/>
          <w:caps w:val="false"/>
          <w:smallCaps w:val="false"/>
          <w:sz w:val="20"/>
        </w:rPr>
        <w:t>Outstanding Securities</w:t>
      </w:r>
      <w:r>
        <w:rPr>
          <w:rFonts w:ascii="Times New Roman;Times;Serif" w:hAnsi="Times New Roman;Times;Serif"/>
          <w:b w:val="false"/>
          <w:i w:val="false"/>
          <w:caps w:val="false"/>
          <w:smallCaps w:val="false"/>
          <w:sz w:val="20"/>
        </w:rPr>
        <w:t>.  Securities outstanding at any time are all Securities that have been authenticated by the Trustee except for those cancelled by it, those delivered to it for cancellation, those described in this Section as not outstanding and those that have been defeased pursuant to Section 8.05.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Security is replaced pursuant to Section 2.08, it ceases to be outstanding unless and until the Trustee and the Company receive proof satisfactory to them that the replaced Security is held by a holder in due course.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Paying Agent (other than the Company or an affiliate of the Company) holds on the maturity date or any redemption date or date for repurchase of the Securities money sufficient to pay Securities payable or to be redeemed or repurchased on that date, then on and after that date such Securities cease to be outstanding and interest on them shall cease to accrue.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Security does not cease to be outstanding because the Company or one of its affiliates holds such Security,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 determining whether the Holders of the requisite principal amount of the outstanding Securities have given any request, demand,  authorization, direction, notice, consent or waiver hereunder, Securities owned by the Company or any affiliate of the Company shall be disregarded and deemed not to be outstanding, except that, in determining whether the Trustee shall be protected in relying upon any such request, demand, authorization, direction, notice, consent or waiver, only Securities as to which a Responsible Officer of the Trustee has received written notice to be so owned shall be so disregarded.  Any Securities so owned which are pledged by the Company, or by any affiliate of the Company, as security for loans or other obligations, otherwise than to another such affiliate of the Company, shall be deemed to be outstanding, if the pledgee is entitled pursuant to the terms of its pledge agreement and is free to exercise in its or his discretion the right to vote such securities, uncontrolled by the Company or by any such affiliate.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2.10.</w:t>
        <w:tab/>
      </w:r>
      <w:r>
        <w:rPr>
          <w:rFonts w:ascii="Times New Roman;Times;Serif" w:hAnsi="Times New Roman;Times;Serif"/>
          <w:b w:val="false"/>
          <w:i/>
          <w:caps w:val="false"/>
          <w:smallCaps w:val="false"/>
          <w:sz w:val="20"/>
        </w:rPr>
        <w:t>Temporary Securities</w:t>
      </w:r>
      <w:r>
        <w:rPr>
          <w:rFonts w:ascii="Times New Roman;Times;Serif" w:hAnsi="Times New Roman;Times;Serif"/>
          <w:b w:val="false"/>
          <w:i w:val="false"/>
          <w:caps w:val="false"/>
          <w:smallCaps w:val="false"/>
          <w:sz w:val="20"/>
        </w:rPr>
        <w:t>.  Until definitive Securities of any series are ready for delivery, the Company may prepare and the Trustee shall authenticate temporary Securities of such series.  Temporary Securities of any series shall be substantially in the form of definitive Securities of such series but may have insertions, substitutions, omissions and other variations determined to be appropriate by the Officers executing the temporary Securities, as evidenced by their execution of such temporary Securities.  If temporary Securities of any series are issued, the Company will cause definitive Securities of such series to be prepared without unreasonable delay.  After the preparation of definitive Securities of any series, the temporary Securities of such series shall be exchangeable for definitive Securities of such series and tenor upon surrender of such temporary Securities at the office or agency of the Company  designated for such purpose pursuant to Section 4.02, without charge to the Holder.  Upon surrender for cancellation of any one or more temporary Securities of any series the Company shall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 and the Trustee shall authenticate and deliver in exchange therefor a like principal amount of definitive Securities of such series and tenor and authorized denominations.  Until so exchanged, the temporary Securities of any series shall be entitled to the same benefits under this Indenture as definitive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2.11.</w:t>
        <w:tab/>
      </w:r>
      <w:r>
        <w:rPr>
          <w:rFonts w:ascii="Times New Roman;Times;Serif" w:hAnsi="Times New Roman;Times;Serif"/>
          <w:b w:val="false"/>
          <w:i/>
          <w:caps w:val="false"/>
          <w:smallCaps w:val="false"/>
          <w:sz w:val="20"/>
        </w:rPr>
        <w:t>Cancellation</w:t>
      </w:r>
      <w:r>
        <w:rPr>
          <w:rFonts w:ascii="Times New Roman;Times;Serif" w:hAnsi="Times New Roman;Times;Serif"/>
          <w:b w:val="false"/>
          <w:i w:val="false"/>
          <w:caps w:val="false"/>
          <w:smallCaps w:val="false"/>
          <w:sz w:val="20"/>
        </w:rPr>
        <w:t>.  The Company at any time may deliver to the Trustee for cancellation any Securities previously authenticated and delivered hereunder which the Company may have acquired in any manner whatsoever, and may deliver to the Trustee for cancellation any Securities previously authenticated hereunder which the Company has not issued and sold.  The Registrar, any transfer agent and the Paying Agent shall forward to the Trustee any Securities surrendered to them for transfer, exchange or payment.  The Trustee shall cancel and dispose of in accordance with its customary procedures all Securities surrendered for transfer, exchange, payment or cancellation and shall deliver a certificate of disposition to the Company.  The Company may not issue new Securities to replace Securities it has paid in full or delivered to the Trustee for cancellation.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2.12.</w:t>
        <w:tab/>
      </w:r>
      <w:r>
        <w:rPr>
          <w:rFonts w:ascii="Times New Roman;Times;Serif" w:hAnsi="Times New Roman;Times;Serif"/>
          <w:b w:val="false"/>
          <w:i/>
          <w:caps w:val="false"/>
          <w:smallCaps w:val="false"/>
          <w:sz w:val="20"/>
        </w:rPr>
        <w:t>CUSIP Numbers</w:t>
      </w:r>
      <w:r>
        <w:rPr>
          <w:rFonts w:ascii="Times New Roman;Times;Serif" w:hAnsi="Times New Roman;Times;Serif"/>
          <w:b w:val="false"/>
          <w:i w:val="false"/>
          <w:caps w:val="false"/>
          <w:smallCaps w:val="false"/>
          <w:sz w:val="20"/>
        </w:rPr>
        <w:t>.  The Company in issuing the Securities may use “CUSIP,” “ISIN” and/or “CINS” numbers (if then generally in use), and the Trustee shall use CUSIP numbers, ISIN numbers or CINS numbers, as the case may be, in notices of redemption or exchange as a convenience to Holders and no representation shall be made as to the correctness of such  numbers either as printed on the Securities or as contained  in any notice of redemption or exchange.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2.13.</w:t>
        <w:tab/>
      </w:r>
      <w:r>
        <w:rPr>
          <w:rFonts w:ascii="Times New Roman;Times;Serif" w:hAnsi="Times New Roman;Times;Serif"/>
          <w:b w:val="false"/>
          <w:i/>
          <w:caps w:val="false"/>
          <w:smallCaps w:val="false"/>
          <w:sz w:val="20"/>
        </w:rPr>
        <w:t>Defaulted Interest</w:t>
      </w:r>
      <w:r>
        <w:rPr>
          <w:rFonts w:ascii="Times New Roman;Times;Serif" w:hAnsi="Times New Roman;Times;Serif"/>
          <w:b w:val="false"/>
          <w:i w:val="false"/>
          <w:caps w:val="false"/>
          <w:smallCaps w:val="false"/>
          <w:sz w:val="20"/>
        </w:rPr>
        <w:t>.  If the Company defaults in a payment of interest on the Securities, it shall pay, or shall deposit with the Paying Agent money in immediately available funds sufficient to pay, the defaulted interest plus (to the extent lawful) any interest payable on the defaulted interest (as may be specified in the terms thereof, established pursuant to Section 2.03) to the Persons who are Holders on a subsequent special record date, which shall mean the 15th day next preceding the date fixed by the Company for the payment of defaulted interest, whether or not such day is a Business Day.  At least 15 days before such special record date, the Company shall mail to each Holder of such Securities and to the Trustee a notice that states the special record date, the payment date and the amount of defaulted interest to be paid.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2.14.</w:t>
        <w:tab/>
      </w:r>
      <w:r>
        <w:rPr>
          <w:rFonts w:ascii="Times New Roman;Times;Serif" w:hAnsi="Times New Roman;Times;Serif"/>
          <w:b w:val="false"/>
          <w:i/>
          <w:caps w:val="false"/>
          <w:smallCaps w:val="false"/>
          <w:sz w:val="20"/>
        </w:rPr>
        <w:t>Series May Include Tranches</w:t>
      </w:r>
      <w:r>
        <w:rPr>
          <w:rFonts w:ascii="Times New Roman;Times;Serif" w:hAnsi="Times New Roman;Times;Serif"/>
          <w:b w:val="false"/>
          <w:i w:val="false"/>
          <w:caps w:val="false"/>
          <w:smallCaps w:val="false"/>
          <w:sz w:val="20"/>
        </w:rPr>
        <w:t>.  A series of Securities may include one or more tranches (each a “</w:t>
      </w:r>
      <w:r>
        <w:rPr>
          <w:rFonts w:ascii="Times New Roman;Times;Serif" w:hAnsi="Times New Roman;Times;Serif"/>
          <w:b/>
          <w:i w:val="false"/>
          <w:caps w:val="false"/>
          <w:smallCaps w:val="false"/>
          <w:sz w:val="20"/>
        </w:rPr>
        <w:t>tranche</w:t>
      </w:r>
      <w:r>
        <w:rPr>
          <w:rFonts w:ascii="Times New Roman;Times;Serif" w:hAnsi="Times New Roman;Times;Serif"/>
          <w:b w:val="false"/>
          <w:i w:val="false"/>
          <w:caps w:val="false"/>
          <w:smallCaps w:val="false"/>
          <w:sz w:val="20"/>
        </w:rPr>
        <w:t>”) of Securities, including Securities issued in a Periodic Offering.  The Securities of different tranches may have one or more different terms, including authentication dates and public offering prices, but all the Securities within each such tranche shall have identical terms, including authentication date and public offering price.  Notwithstanding any other provision of this Indenture, with respect to Sections 2.02 (other than the fourth, sixth and seventh paragraphs thereof) through 2.04, 2.07, 2.08, 2.10, 3.01 through 3.05, 4.02, 6.01 through 6.14, 8.01 through 8.07, 9.02 and 10.07, if any series of Securities includes more than one tranche, all provisions of such sections applicable to any series of Securities shall be deemed equally applicable to each tranche of any series of Securities in the same manner as though originally designated a series unless otherwise provided with respect to such series or tranche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2.03.  In particular, and without limiting the scope of the next preceding sentence, any of the provisions of such sections which provide for or permit action to be taken with respect to a series of Securities shall also be deemed to provide for and permit such action to be taken instead only with respect to Securities of one or more tranches within that series (and such provisions shall be deemed satisfied thereby), even if no comparable action is taken with respect to Securities in the remaining tranches of that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3</w:t>
      </w:r>
      <w:r>
        <w:rPr>
          <w:rFonts w:ascii="Times New Roman;Times;Serif" w:hAnsi="Times New Roman;Times;Serif"/>
          <w:b w:val="false"/>
          <w:i w:val="false"/>
          <w:smallCaps/>
          <w:sz w:val="20"/>
        </w:rPr>
        <w:br/>
        <w:t>REDEMPTION</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w:t>
        <w:tab/>
      </w:r>
      <w:r>
        <w:rPr>
          <w:rFonts w:ascii="Times New Roman;Times;Serif" w:hAnsi="Times New Roman;Times;Serif"/>
          <w:b w:val="false"/>
          <w:i/>
          <w:caps w:val="false"/>
          <w:smallCaps w:val="false"/>
          <w:sz w:val="20"/>
        </w:rPr>
        <w:t>Applicability of Article</w:t>
      </w:r>
      <w:r>
        <w:rPr>
          <w:rFonts w:ascii="Times New Roman;Times;Serif" w:hAnsi="Times New Roman;Times;Serif"/>
          <w:b w:val="false"/>
          <w:i w:val="false"/>
          <w:caps w:val="false"/>
          <w:smallCaps w:val="false"/>
          <w:sz w:val="20"/>
        </w:rPr>
        <w:t>.  The provisions of this Article shall be applicable to the Securities of any series which are redeemable before their maturity or to any sinking fund for the retirement of Securities of a series except as otherwise specified as contemplated by Section 2.03 for Securities of such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3.02.</w:t>
        <w:tab/>
      </w:r>
      <w:r>
        <w:rPr>
          <w:rFonts w:ascii="Times New Roman;Times;Serif" w:hAnsi="Times New Roman;Times;Serif"/>
          <w:b w:val="false"/>
          <w:i/>
          <w:caps w:val="false"/>
          <w:smallCaps w:val="false"/>
          <w:sz w:val="20"/>
        </w:rPr>
        <w:t>Notice of Redemption; Partial Redemptions</w:t>
      </w:r>
      <w:r>
        <w:rPr>
          <w:rFonts w:ascii="Times New Roman;Times;Serif" w:hAnsi="Times New Roman;Times;Serif"/>
          <w:b w:val="false"/>
          <w:i w:val="false"/>
          <w:caps w:val="false"/>
          <w:smallCaps w:val="false"/>
          <w:sz w:val="20"/>
        </w:rPr>
        <w:t>.  Notice of redemption to the Holders of Securities of any series to be redeemed as a whole or in part at the option of the Company shall be given by mailing notice of such redemption by first class mail, postage prepaid, at least 30 days and not more than 60 days prior to the date fixed for redemption to such Holders of Securities of such series at their last addresses as they shall appear upon the Security Register.  Any notice which is mailed or published in the manner herein provided shall be conclusively presumed to have been duly given, whether or not the Holder receives the notice.  Failure to give notice by mail, or any defect in the notice to the Holder of any Security of a series designated for redemption as a whole or in part shall not affect the validity of the proceedings for the redemption of any other Security of such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of redemption to each such Holder shall specify the principal amount of each Security of such series held by such Holder to be redeemed, the CUSIP numbers of the Securities to be redeemed, the date fixed for redemption, the redemption price, or if not then ascertainable, the manner of calculation thereof, the place or places of payment, that payment will be made upon presentation and surrender of such Securities, that such redemption is pursuant to the mandatory or optional sinking fund, or both, if such be the case, that interest accrued to the date fixed for redemption will be paid as specified in such notice and that on and after said date interest thereon or on the portions thereof to be redeemed will cease to accrue.  In case any Security of a series is to be redeemed in part only, the notice of redemption shall state the portion of the principal amount thereof to be redeemed and shall state that on and after the date fixed for redemption, upon surrender of such Security, a new Security or Securities of such series and tenor in principal amount equal to the unredeemed portion thereof will be issued.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of redemption of Securities of any series to be redeemed at the option of the Company shall be given by the Company or, at the Company’s request, by the Trustee in the name and at the expense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before 10:00 a.m. New York City time on the redemption date specified in the notice of redemption given as provided in this Section, the Company will deposit with the Trustee or with one or more Paying Agents (or, if the Company is acting as its own Paying Agent, set aside, segregate and hold in trust as provided in Section 2.06) an amount of money sufficient to redeem on the redemption date all the Securities of such series so called for redemption at the appropriate redemption price, together with accrued interest to the date fixed for redemption.  If all of the outstanding Securities of a series are to be redeemed, the Company will deliver to the Trustee at least 10 days prior to the last date on which notice of redemption may be given to Holders pursuant to the first paragraph of this Section 3.02 (or such shorter period as shall be acceptable to the Trustee) an Officers’ Certificate stating that all such Securities are to be redeemed.  If less than all the outstanding Securities of a series are to be redeemed, the Company will deliver to the Trustee at least 15 days prior to the last date on which notice of redemption may be given to Holders pursuant to the first paragraph of this Section 3.02 (or such shorter period as shall be acceptable to the Trustee) an Officers’ Certificate stating the aggregate principal amount of such Securities to be redeemed.  In the case of any redemption of Securities (a) prior to the expiration of any restriction on such redemption provided in the terms of such Securities or elsewhere in this Indenture, or (b) pursuant to an election of the Company which is subject to a condition specified in the terms of such Securities or elsewhere in this Indenture, the Company shall deliver to the Trustee, prior to the giving of any notice of redemption to Holders pursuant to this Section,  an Officers’ Certificate evidencing compliance with such restriction or condition.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less than all the Securities of a series are to be redeemed, the Trustee shall select, pro rata, by lot or in such manner as it shall deem appropriate and fair, Securities of such series to be redeemed in whole or in part.  Securities may be redeemed in part in principal amounts equal to authorized denominations for Securities of such series.  The Trustee shall promptly notify the Company in writing of the Securities of such series selected for redemption and, in the case of any Securities of such series selected for partial redemption, the principal amount thereof to be redeemed.  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3.03.</w:t>
        <w:tab/>
      </w:r>
      <w:r>
        <w:rPr>
          <w:rFonts w:ascii="Times New Roman;Times;Serif" w:hAnsi="Times New Roman;Times;Serif"/>
          <w:b w:val="false"/>
          <w:i/>
          <w:caps w:val="false"/>
          <w:smallCaps w:val="false"/>
          <w:sz w:val="20"/>
        </w:rPr>
        <w:t>Payment Of Securities Called For Redemption</w:t>
      </w:r>
      <w:r>
        <w:rPr>
          <w:rFonts w:ascii="Times New Roman;Times;Serif" w:hAnsi="Times New Roman;Times;Serif"/>
          <w:b w:val="false"/>
          <w:i w:val="false"/>
          <w:caps w:val="false"/>
          <w:smallCaps w:val="false"/>
          <w:sz w:val="20"/>
        </w:rPr>
        <w:t>.  If notice of redemption has been given as above provided, the Securities or portions of Securities specified in such notice shall become due and payable on the date and at the place stated in such notice at the applicable redemption price, together with interest accrued to the date fixed for redemption, and on and after such date (unless the Company shall default in the payment of such Securities at the redemption price, together with interest accrued to such date) interest on the Securities or portions of Securities so called for redemption shall cease to accrue, and, except as provided in Sections 7.12 and 8.02, such Securities shall cease from and after the date fixed for redemption to be entitled to any benefit under this Indenture, and the Holders thereof shall have no right in respect of such Securities except the right to receive the redemption price thereof and unpaid interest to the date fixed for redemption.  On presentation and surrender of such Securities at a place 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specified in said notice, said Securities or the specified portions thereof shall be paid and redeemed by the Company at the applicable redemption price, together with interest accrued thereon to the date fixed for redemption; provided that payment of interest becoming due on or prior to the date fixed for redemption shall be payable to the Holders registered as such on the relevant record date subject to the terms and provisions of Sections 2.04 and 2.13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Security called for redemption shall not be so paid upon surrender thereof for redemption, the principal shall, until paid or duly provided for, bear interest from the date fixed for redemption at the rate of interest or Yield to Maturity (in the case of an Original Issue Discount Security) borne by such Security.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presentation of any Security of any series redeemed in part only, the Company shall execute and the Trustee shall authenticate and deliver to or on the order of the Holder thereof, at the expense of the Company, a new Security or Securities of such series and tenor, of authorized denominations, in principal amount equal to the unredeemed portion of the Security so presented.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3.04.</w:t>
        <w:tab/>
      </w:r>
      <w:r>
        <w:rPr>
          <w:rFonts w:ascii="Times New Roman;Times;Serif" w:hAnsi="Times New Roman;Times;Serif"/>
          <w:b w:val="false"/>
          <w:i/>
          <w:caps w:val="false"/>
          <w:smallCaps w:val="false"/>
          <w:sz w:val="20"/>
        </w:rPr>
        <w:t>Exclusion of Certain Securities from Eligibility for Selection for Redemption</w:t>
      </w:r>
      <w:r>
        <w:rPr>
          <w:rFonts w:ascii="Times New Roman;Times;Serif" w:hAnsi="Times New Roman;Times;Serif"/>
          <w:b w:val="false"/>
          <w:i w:val="false"/>
          <w:caps w:val="false"/>
          <w:smallCaps w:val="false"/>
          <w:sz w:val="20"/>
        </w:rPr>
        <w:t>.  Unless otherwise provided with respect to any series of Securities, Securities shall be excluded from eligibility for selection for redemption if they are identified by registration and certificate number in a written statement signed by an authorized officer of the Company and delivered to the Trustee at least 40 days prior to the last date on which notice of redemption may be given as being owned of record and beneficially by, and not pledged or hypothecated by, either (a) the Company or (b) an entity specifically identified in such written statement as directly or indirectly controlling or controlled by or under direct or indirect common control with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3.05.</w:t>
        <w:tab/>
      </w:r>
      <w:r>
        <w:rPr>
          <w:rFonts w:ascii="Times New Roman;Times;Serif" w:hAnsi="Times New Roman;Times;Serif"/>
          <w:b w:val="false"/>
          <w:i/>
          <w:caps w:val="false"/>
          <w:smallCaps w:val="false"/>
          <w:sz w:val="20"/>
        </w:rPr>
        <w:t>Mandatory and Optional Sinking Funds</w:t>
      </w:r>
      <w:r>
        <w:rPr>
          <w:rFonts w:ascii="Times New Roman;Times;Serif" w:hAnsi="Times New Roman;Times;Serif"/>
          <w:b w:val="false"/>
          <w:i w:val="false"/>
          <w:caps w:val="false"/>
          <w:smallCaps w:val="false"/>
          <w:sz w:val="20"/>
        </w:rPr>
        <w:t>.  The minimum amount of any sinking fund payment provided for by the terms of Securities of any series is herein referred to as a “</w:t>
      </w:r>
      <w:r>
        <w:rPr>
          <w:rFonts w:ascii="Times New Roman;Times;Serif" w:hAnsi="Times New Roman;Times;Serif"/>
          <w:b/>
          <w:i w:val="false"/>
          <w:caps w:val="false"/>
          <w:smallCaps w:val="false"/>
          <w:sz w:val="20"/>
        </w:rPr>
        <w:t>mandatory sinking fund payment</w:t>
      </w:r>
      <w:r>
        <w:rPr>
          <w:rFonts w:ascii="Times New Roman;Times;Serif" w:hAnsi="Times New Roman;Times;Serif"/>
          <w:b w:val="false"/>
          <w:i w:val="false"/>
          <w:caps w:val="false"/>
          <w:smallCaps w:val="false"/>
          <w:sz w:val="20"/>
        </w:rPr>
        <w:t>”, and any payment in excess of such minimum amount provided for by the terms of the Securities of any series is herein referred to as an “</w:t>
      </w:r>
      <w:r>
        <w:rPr>
          <w:rFonts w:ascii="Times New Roman;Times;Serif" w:hAnsi="Times New Roman;Times;Serif"/>
          <w:b/>
          <w:i w:val="false"/>
          <w:caps w:val="false"/>
          <w:smallCaps w:val="false"/>
          <w:sz w:val="20"/>
        </w:rPr>
        <w:t>optional sinking fund payment</w:t>
      </w:r>
      <w:r>
        <w:rPr>
          <w:rFonts w:ascii="Times New Roman;Times;Serif" w:hAnsi="Times New Roman;Times;Serif"/>
          <w:b w:val="false"/>
          <w:i w:val="false"/>
          <w:caps w:val="false"/>
          <w:smallCaps w:val="false"/>
          <w:sz w:val="20"/>
        </w:rPr>
        <w:t>”.  The date on which a sinking fund payment is to be made is herein referred to as the “</w:t>
      </w:r>
      <w:r>
        <w:rPr>
          <w:rFonts w:ascii="Times New Roman;Times;Serif" w:hAnsi="Times New Roman;Times;Serif"/>
          <w:b/>
          <w:i w:val="false"/>
          <w:caps w:val="false"/>
          <w:smallCaps w:val="false"/>
          <w:sz w:val="20"/>
        </w:rPr>
        <w:t>sinking fund payment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lieu of making all or any part of any mandatory sinking fund payment with respect to any series of Securities in cash, the Company may at its option (a) deliver to the Trustee Securities of such series theretofore purchased or otherwise acquired (except through a mandatory sinking fund payment) by the Company or receive credit for Securities of such series (not previously so credited) theretofore purchased or otherwise acquired (except as aforesaid) by the Company and delivered to the Trustee for cancellation pursuant to Section 2.11, (b) receive credit for optional sinking fund payments (not previously so credited) made pursuant to this Section, or (c) receive credit for Securities of such series (not previously so credited) redeemed by the Company at the option of the Company pursuant to the terms of such Securities or through any optional sinking fund payment.  Securities so delivered or credited shall be received or credited by the Trustee at the sinking fund redemption price specified in such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before the sixtieth day next preceding each sinking fund payment date for any series, or such shorter period as shall be acceptable to the Trustee, the Company will deliver to the Trustee an Officers’ Certificate (a) specifying the portion of the mandatory sinking fund payment to be satisfied by payment of cash and the portion to be satisfied by credit of specified Securities of such series and the basis for such credit, (b) stating that none of the specified Securities of such series has theretofore been so credited, (c) stating that no defaults in the payment of interest or Events of Default with respect to such series have occurred (which have not been waived or cured) and are continuing and (d) stating whether or not the Company intends to exercise its right to make an optional sinking fund payment with respect to such series and, if so, specifying the amount of such optional sinking fund payment which the Company intends to pay on or before the next succeeding sinking fund payment date.  Any Securities of such series to be credited and required to be delivered to the Trustee in order for the Company to be entitled to credit therefor as aforesaid which have not theretofore been delivered to the Trustee shall be delivered for cancellation pursuant to Section 2.11 to the Trustee with such Officers’ Certificate (or reasonably promptly thereafter if acceptable to the Trustee).  Such Officers’ Certificate shall be irrevocable and upon its receipt by the Trustee the Company shall become unconditionally obligated to make all the cash payments or delivery of Securities therein referred to, if any, on or before the next succeeding sinking fund payment date.  Failure of the Company, on or before any such sixtieth day, to deliver such Officer’s Certificate and Securities specified in this paragraph, if any, shall not constitute a default but shall constitute, on and as of such date, the irrevocable election of the Company (i) that the mandatory sinking fund payment for such series due on the next succeeding sinking fund payment date shall be paid entirely in cash without the option to deliver or credit Securities of such series in respect thereof and (ii) that the Company will make no optional sinking fund payment with respect to such series as provided in this Section.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sinking fund payment or payments (mandatory or optional or both) to be made in cash on the next succeeding sinking fund payment date plus any unused balance of any preceding sinking fund payments made in cash shall exceed $50,000 (or a lesser sum if the Company shall so request with respect to the Securities of any series), such cash shall be applied on the next succeeding sinking fund payment date to the redemption of Securities of such series at the sinking fund redemption price thereof together with accrued interest thereon to the date fixed for redemption.  If such amount shall be $50,000 (or such lesser sum) or less and the Company makes no such request then it shall be carried over until a sum in excess of $50,000 (or such lesser sum) is available.  The Trustee shall select, in the manner provided in Section 3.02, for redemption on such sinking fund payment date a sufficient principal amount of Securities of such series to absorb said cash, as nearly as may be, and shall (if requested in writing by the Company) inform the Company of the serial numbers of the Securities of such series (or portions thereof) so selected.  Securities shall be excluded from eligibility for redemption under this Section if they are identified by registration and certificate number in an Officers’ Certificate delivered to the Trustee at least 60 days prior to the sinking fund payment date as being owned of record and beneficially by, and not pledged or hypothecated by either (a) the Company or (b) an entity specifically identified in such Officers’ Certificate as directly or indirectly controlling or controlled by or under direct or indirect common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control with the Company.  The Trustee, in the name and at the expense of the Company (or the Company, if it shall so request the Trustee in writing) shall cause notice of redemption of the Securities of such series to be given in substantially the manner provided in Section 3.02 (and with the effect provided in Section 3.03) for the redemption of Securities of such series in part at the option of the Company.  The amount of any sinking fund payments not so applied or allocated to the redemption of Securities of such series shall be added to the next cash sinking fund payment for such series and, together with such payment, shall be applied in accordance with the provisions of this Section.  Any and all sinking fund moneys held on the stated maturity date of the Securities of any particular series (or earlier, if such maturity is accelerated), which are not held for the payment or redemption of particular Securities of such series shall be applied, together with other moneys, if necessary, sufficient for the purpose, to the payment of the Principal of, and interest on, the Securities of such series at maturity.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before 10:00 a.m. New York City time on each sinking fund payment date, the Company shall pay to the Trustee in cash or shall otherwise provide for the payment of all interest accrued to the date fixed for redemption on Securities to be redeemed on the next following sinking fund payment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not redeem or cause to be redeemed any Securities of a series with sinking fund moneys or mail any notice of redemption of Securities of such series by operation of the sinking fund during the continuance of a Default in payment of interest on such Securities or of any Event of Default except that, where the mailing of notice of redemption of any Securities shall theretofore have been made, the Trustee shall redeem or cause to be redeemed such Securities, provided that it shall have received from the Company a sum sufficient for such redemption.  Except as aforesaid, any moneys in the sinking fund for such series at the time when any such Default or Event of Default shall occur, and any moneys thereafter paid into the sinking fund, shall, during the continuance of such Default or Event of Default, be deemed to have been collected under Article 6 and held for the payment of all such Securities.  In case such Event of Default shall have been waived as provided in Section 6.04 or the Default cured on or before the sixtieth day preceding the sinking fund payment date in any year, such moneys shall thereafter be applied on the next succeeding sinking fund payment date in accordance with this Section to the redemption of such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4</w:t>
      </w:r>
      <w:r>
        <w:rPr>
          <w:rFonts w:ascii="Times New Roman;Times;Serif" w:hAnsi="Times New Roman;Times;Serif"/>
          <w:b w:val="false"/>
          <w:i w:val="false"/>
          <w:smallCaps/>
          <w:sz w:val="20"/>
        </w:rPr>
        <w:br/>
        <w:t>COVENANTS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4.01.</w:t>
        <w:tab/>
      </w:r>
      <w:r>
        <w:rPr>
          <w:rFonts w:ascii="Times New Roman;Times;Serif" w:hAnsi="Times New Roman;Times;Serif"/>
          <w:b w:val="false"/>
          <w:i/>
          <w:caps w:val="false"/>
          <w:smallCaps w:val="false"/>
          <w:sz w:val="20"/>
        </w:rPr>
        <w:t>Payment of Securities</w:t>
      </w:r>
      <w:r>
        <w:rPr>
          <w:rFonts w:ascii="Times New Roman;Times;Serif" w:hAnsi="Times New Roman;Times;Serif"/>
          <w:b w:val="false"/>
          <w:i w:val="false"/>
          <w:caps w:val="false"/>
          <w:smallCaps w:val="false"/>
          <w:sz w:val="20"/>
        </w:rPr>
        <w:t>.  The Company shall pay the Principal of and interest on the Securities on the dates and in the manner provided in the Securities and this Indenture.  The interest on Securities (together with any additional amounts payable pursuant to the terms of such Securities) shall be payable only to the Holders thereof (subject to Section 2.04) and at the option of the Company may be paid by mailing checks for such interest payable to or upon the written order of such Holders at their last addresses as they appear on the Security Register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provisions of this Indenture and the Securities of any series to the contrary, if the Company and a Holder of any Security so agree, payments of interest on, and any portion of the Principal of, such Holder’s Security (other than interest payable at maturity or on any redemption or repayment date or the final payment of Principal on such Security) shall be made by the Paying Agent, upon receipt from the Company of immediately available funds by 11:00 A.M., New York City time (or such other time as may be agreed to between the Company and the Paying Agent), directly to the Holder of such Security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  The Trustee shall be entitled to rely on the last instruction delivered by the Holder pursuant to this Section 4.01 unless a new instruction is delivered 15 days prior to a payment date.  The Company will indemnify and hold each of the Trustee and any Paying Agent harmless against any loss, liability or expense (including attorneys’ fees) resulting from any act or omission to act on the part of the Company or any such Holder in connection with any such agreement or from making any payment in accordance with any such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pay interest on overdue Principal, and interest on overdue installments of interest, to the extent lawful, at the rate per annum specified in the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4.02.</w:t>
        <w:tab/>
      </w:r>
      <w:r>
        <w:rPr>
          <w:rFonts w:ascii="Times New Roman;Times;Serif" w:hAnsi="Times New Roman;Times;Serif"/>
          <w:b w:val="false"/>
          <w:i/>
          <w:caps w:val="false"/>
          <w:smallCaps w:val="false"/>
          <w:sz w:val="20"/>
        </w:rPr>
        <w:t>Maintenance of Office or Agency</w:t>
      </w:r>
      <w:r>
        <w:rPr>
          <w:rFonts w:ascii="Times New Roman;Times;Serif" w:hAnsi="Times New Roman;Times;Serif"/>
          <w:b w:val="false"/>
          <w:i w:val="false"/>
          <w:caps w:val="false"/>
          <w:smallCaps w:val="false"/>
          <w:sz w:val="20"/>
        </w:rPr>
        <w:t>.  The Company will maintain in the United States of America an office or agency where Securities may be surrendered for registration of transfer or exchange or for presentation for payment and where notices and demands to or upon the Company in respect of the Securities and this Indenture may be served.  The Company hereby initially designates the      , located in         , as such office or agency of the Company.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address of the Trustee set forth in Section 10.02.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also from time to time designate one or more other offices or agencies where the Securities of any series may be presented or surrendered for any or all such purposes and may from time to time rescind such designations; provided that no such designation or rescission shall in any manner relieve the Company of its obligation to maintain an office or agency in the United States of America for such purposes.  The Company will give prompt written notice to the Trustee of any such designation or rescission and of any change in the location of any such other office or agency.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4.03.</w:t>
        <w:tab/>
      </w:r>
      <w:r>
        <w:rPr>
          <w:rFonts w:ascii="Times New Roman;Times;Serif" w:hAnsi="Times New Roman;Times;Serif"/>
          <w:b w:val="false"/>
          <w:i/>
          <w:caps w:val="false"/>
          <w:smallCaps w:val="false"/>
          <w:sz w:val="20"/>
        </w:rPr>
        <w:t>Securityholders’ Lists</w:t>
      </w:r>
      <w:r>
        <w:rPr>
          <w:rFonts w:ascii="Times New Roman;Times;Serif" w:hAnsi="Times New Roman;Times;Serif"/>
          <w:b w:val="false"/>
          <w:i w:val="false"/>
          <w:caps w:val="false"/>
          <w:smallCaps w:val="false"/>
          <w:sz w:val="20"/>
        </w:rPr>
        <w:t>.  The Company will furnish or cause to be furnished to the Trustee a list in such form as the Trustee may reasonably require of the names and addresses of the holders of the Securities pursuant to Section 312 of the Trust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 Act of 1939 (a) semi-annually not more than 15 days after each record date for the payment of semi-annual interest on the Securities, as hereinabove specified, as of such record date, and (b) at such other times as the Trustee may request in writing, within thirty days after receipt by the Company of any such request as of a date not more than 15 days prior to the time such information is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4.04.</w:t>
        <w:tab/>
      </w:r>
      <w:r>
        <w:rPr>
          <w:rFonts w:ascii="Times New Roman;Times;Serif" w:hAnsi="Times New Roman;Times;Serif"/>
          <w:b w:val="false"/>
          <w:i/>
          <w:caps w:val="false"/>
          <w:smallCaps w:val="false"/>
          <w:sz w:val="20"/>
        </w:rPr>
        <w:t>Certificate to Trustee</w:t>
      </w:r>
      <w:r>
        <w:rPr>
          <w:rFonts w:ascii="Times New Roman;Times;Serif" w:hAnsi="Times New Roman;Times;Serif"/>
          <w:b w:val="false"/>
          <w:i w:val="false"/>
          <w:caps w:val="false"/>
          <w:smallCaps w:val="false"/>
          <w:sz w:val="20"/>
        </w:rPr>
        <w:t>.  The Company will furnish to the Trustee annually, on or before a date not more than four months after the end of its fiscal year (which, on the date hereof, is a calendar year), a brief certificate (which need not contain the statements required by Section 10.04) from its principal executive, financial or accounting officer as to his or her knowledge of the compliance of the Company with all conditions and covenants under this Indenture (such compliance to be determined without regard to any period of grace or requirement of notice provided under this Indenture) which certificate shall comply with the requirements of the Trust Indenture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4.05.</w:t>
        <w:tab/>
      </w:r>
      <w:r>
        <w:rPr>
          <w:rFonts w:ascii="Times New Roman;Times;Serif" w:hAnsi="Times New Roman;Times;Serif"/>
          <w:b w:val="false"/>
          <w:i/>
          <w:caps w:val="false"/>
          <w:smallCaps w:val="false"/>
          <w:sz w:val="20"/>
        </w:rPr>
        <w:t>Reports by the Company</w:t>
      </w:r>
      <w:r>
        <w:rPr>
          <w:rFonts w:ascii="Times New Roman;Times;Serif" w:hAnsi="Times New Roman;Times;Serif"/>
          <w:b w:val="false"/>
          <w:i w:val="false"/>
          <w:caps w:val="false"/>
          <w:smallCaps w:val="false"/>
          <w:sz w:val="20"/>
        </w:rPr>
        <w:t>.  The Company covenants to file with the Trustee, within 15 days after the Company files the same with the Commission, copies of the annual reports and of the information, documents, and other reports which the Company may be required to file with the Commission pursuant to Section 13 or Section 15(d) of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4.06.</w:t>
        <w:tab/>
      </w:r>
      <w:r>
        <w:rPr>
          <w:rFonts w:ascii="Times New Roman;Times;Serif" w:hAnsi="Times New Roman;Times;Serif"/>
          <w:b w:val="false"/>
          <w:i/>
          <w:caps w:val="false"/>
          <w:smallCaps w:val="false"/>
          <w:sz w:val="20"/>
        </w:rPr>
        <w:t>Additional Amounts</w:t>
      </w:r>
      <w:r>
        <w:rPr>
          <w:rFonts w:ascii="Times New Roman;Times;Serif" w:hAnsi="Times New Roman;Times;Serif"/>
          <w:b w:val="false"/>
          <w:i w:val="false"/>
          <w:caps w:val="false"/>
          <w:smallCaps w:val="false"/>
          <w:sz w:val="20"/>
        </w:rPr>
        <w:t>.  If the Securities of a series provide for the payment of additional amounts, at least 10 days prior to the first interest payment date with respect to that series of Securities and at least 10 days prior to each date of payment of Principal of or interest on the Securities of that series if there has been a change with respect to the matters set forth in the below-mentioned Officers’ Certificate, the Company shall furnish to the Trustee and the principal paying agent, if other than the Trustee, an Officers’ Certificate instructing the Trustee and such paying agent whether such payment of Principal of or interest on the Securities of that series shall be made to Holders of the Securities of that series without withholding or deduction for or on account of any tax, assessment or other governmental charge described in the Securities of that series. If any such withholding or deduction shall be required, then such Officers’ Certificate shall specify by country the amount, if any, required to be withheld or deducted on such payments to such Holders and shall certify the fact that additional amounts will be payable and the amounts so payable to each Holder, and the Company shall pay to the Trustee or such paying agent the additional amounts required to be paid by this Section. The Company covenants to indemnify the Trustee and any paying agent for, and to hold them harmless against, any loss, liability or expense reasonably incurred without negligence or bad faith on their part arising out of or in connection with actions taken or omitted by any of them in reliance on any Officers’ Certificate furnished pursuant to this Section.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in this Indenture there is mentioned, in any context, the payment of the Principal of or interest or any other amounts on, or in respect of, any Security of any series, such mention shall be deemed to include mention of the payment of additional amounts provided by the terms of such series established hereby or pursuant hereto to the extent that, in such context, additional amounts are, were or would be payable in respect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thereof pursuant to such terms, and express mention of the payment of additional amounts (if applicable) in any provision hereof shall not be construed as excluding the payment of additional amounts in those provisions hereof where such express mention is not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5</w:t>
      </w:r>
      <w:r>
        <w:rPr>
          <w:rFonts w:ascii="Times New Roman;Times;Serif" w:hAnsi="Times New Roman;Times;Serif"/>
          <w:b w:val="false"/>
          <w:i w:val="false"/>
          <w:smallCaps/>
          <w:sz w:val="20"/>
        </w:rPr>
        <w:br/>
        <w:t>SUCCESSOR CORPORATION</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5.01.</w:t>
        <w:tab/>
      </w:r>
      <w:r>
        <w:rPr>
          <w:rFonts w:ascii="Times New Roman;Times;Serif" w:hAnsi="Times New Roman;Times;Serif"/>
          <w:b w:val="false"/>
          <w:i/>
          <w:caps w:val="false"/>
          <w:smallCaps w:val="false"/>
          <w:sz w:val="20"/>
        </w:rPr>
        <w:t>When Company May Merge, Etc</w:t>
      </w:r>
      <w:r>
        <w:rPr>
          <w:rFonts w:ascii="Times New Roman;Times;Serif" w:hAnsi="Times New Roman;Times;Serif"/>
          <w:b w:val="false"/>
          <w:i w:val="false"/>
          <w:caps w:val="false"/>
          <w:smallCaps w:val="false"/>
          <w:sz w:val="20"/>
        </w:rPr>
        <w:t>.  Unless otherwise provided pursuant to Section 2.03 in connection with the establishment of a series, the Company shall not consolidate or combine with, merge with or into, directly or indirectly, or sell, assign, convey, transfer, lease or otherwise dispose of all or substantially all of its property and assets to any Person or Persons in a single transaction or through a series of transactions unless: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be the continuing Person or, if the Company is not the continuing Person, the resulting, surviving or transferee Person (the “</w:t>
      </w:r>
      <w:r>
        <w:rPr>
          <w:rFonts w:ascii="Times New Roman;Times;Serif" w:hAnsi="Times New Roman;Times;Serif"/>
          <w:b/>
          <w:i w:val="false"/>
          <w:caps w:val="false"/>
          <w:smallCaps w:val="false"/>
          <w:sz w:val="20"/>
        </w:rPr>
        <w:t>Surviving Entity</w:t>
      </w:r>
      <w:r>
        <w:rPr>
          <w:rFonts w:ascii="Times New Roman;Times;Serif" w:hAnsi="Times New Roman;Times;Serif"/>
          <w:b w:val="false"/>
          <w:i w:val="false"/>
          <w:caps w:val="false"/>
          <w:smallCaps w:val="false"/>
          <w:sz w:val="20"/>
        </w:rPr>
        <w:t>”) is a company organized and existing under the laws of any member state of the European Union or the United States of America or any State or territory thereof;</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Surviving Entity shall expressly assume all of the Company’s obligations under the Securities and this Indenture, and shall, if required by law to effectuate the assumption, execute supplemental indentures which shall be delivered to the Trustee and shall be in form and substance reasonably satisfactory to the Trustee;</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immediately after giving effect to such transaction or series of transactions on a pro forma basis, no Default has occurred and is continuing; and</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or the Surviving Entity shall have delivered to the Trustee an Officers’ Certificate and Opinion of Counsel stating that (x) the transaction or series of transactions and such supplemental indenture, if any, complies with this Section 5.01, (y) such supplemental indenture (if any) constitutes the legal, valid and binding obligation of the Company and such Surviving Entity enforceable against such Surviving Entity in accordance with its terms, subject to customary exceptions and (z) all conditions precedent in this Indenture relating to the transaction or series of transactions have been satisfied.</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5.02.</w:t>
        <w:tab/>
      </w:r>
      <w:r>
        <w:rPr>
          <w:rFonts w:ascii="Times New Roman;Times;Serif" w:hAnsi="Times New Roman;Times;Serif"/>
          <w:b w:val="false"/>
          <w:i/>
          <w:caps w:val="false"/>
          <w:smallCaps w:val="false"/>
          <w:sz w:val="20"/>
        </w:rPr>
        <w:t>Successor Substituted</w:t>
      </w:r>
      <w:r>
        <w:rPr>
          <w:rFonts w:ascii="Times New Roman;Times;Serif" w:hAnsi="Times New Roman;Times;Serif"/>
          <w:b w:val="false"/>
          <w:i w:val="false"/>
          <w:caps w:val="false"/>
          <w:smallCaps w:val="false"/>
          <w:sz w:val="20"/>
        </w:rPr>
        <w:t>.  Upon any consolidation, combination or merger, or any sale, assignment, conveyance, transfer, lease or other disposition of all or substantially all of the property and assets of the Company in accordance with Section 5.01 of this Indenture, the Surviving Entity shall succeed to, and be substituted for, and may exercise every right and power of, the Company under this Indenture with the same effect as if such Surviving Entity had been named as the Company herein and thereafter the predecessor Person, except in the case of (x) a lease or (y) any sale, assignment, conveyance, transfer, lease or other disposition to one or more Subsidiaries of the Company, shall be discharged from all obligations and covenants under this Indenture and the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6</w:t>
      </w:r>
      <w:r>
        <w:rPr>
          <w:rFonts w:ascii="Times New Roman;Times;Serif" w:hAnsi="Times New Roman;Times;Serif"/>
          <w:b w:val="false"/>
          <w:i w:val="false"/>
          <w:smallCaps/>
          <w:sz w:val="20"/>
        </w:rPr>
        <w:br/>
        <w:t>DEFAULT AND REMEDIES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w:t>
        <w:tab/>
      </w:r>
      <w:r>
        <w:rPr>
          <w:rFonts w:ascii="Times New Roman;Times;Serif" w:hAnsi="Times New Roman;Times;Serif"/>
          <w:b w:val="false"/>
          <w:i/>
          <w:caps w:val="false"/>
          <w:smallCaps w:val="false"/>
          <w:sz w:val="20"/>
        </w:rPr>
        <w:t>Events of Default</w:t>
      </w:r>
      <w:r>
        <w:rPr>
          <w:rFonts w:ascii="Times New Roman;Times;Serif" w:hAnsi="Times New Roman;Times;Serif"/>
          <w:b w:val="false"/>
          <w:i w:val="false"/>
          <w:caps w:val="false"/>
          <w:smallCaps w:val="false"/>
          <w:sz w:val="20"/>
        </w:rPr>
        <w:t>.  An “</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shall occur with respect to the Securities of any series if: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defaults in the payment of the Principal of any Security of such series when the same becomes due and payable at maturity, upon acceleration, redemption or mandatory repurchase, including as a sinking fund installment, or otherwise;</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defaults in the payment of interest on any Security of such series when the same becomes due and payable, and such default continues for a period of 30 days;</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defaults in the performance of or breaches any other covenant or agreement of the Company in this Indenture with respect to any Security of such series or in the Securities of such series (other than a covenant or agreement in respect of which noncompliance by the Company would otherwise be an Event of Default) and such default or breach continues for a period of 90 consecutive days or more after written notice to the Company by the Trustee or to the Company and the Trustee by the Holders of 25% or more in aggregate principal amount of the Securities of all series affected thereby specifying such default or breach and requiring it to be remedied and stating that such notice is a “Notice of Default” hereunder;</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court having jurisdiction in the premises shall enter a decree or order for relief in respect of the Company in an involuntary case under any applicable bankruptcy, insolvency or other similar law now or hereafter in effect, or appointing a receiver, liquidator, assignee, custodian, trustee, sequestrator (or similar official) of the Company or for any substantial part of its property or ordering the winding up or liquidation of its affairs, and such decree or order shall remain unstayed and in effect for a period of 60 consecutive days;</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(i) commences a voluntary case under any applicable bankruptcy, insolvency or other similar law now or hereafter in effect, or consents to the entry of an order for relief in an involuntary case under any such law, (ii) consents to the appointment of or taking possession by a receiver, liquidator, assignee, custodian, trustee, sequestrator or similar official of the Company or for all or substantially all of the property and assets of the Company or (iii) effects any general assignment for the benefit of creditors; or</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other Event of Default established pursuant to Section 2.03 with respect to the Securities of such series occurs.</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w:t>
        <w:tab/>
      </w:r>
      <w:r>
        <w:rPr>
          <w:rFonts w:ascii="Times New Roman;Times;Serif" w:hAnsi="Times New Roman;Times;Serif"/>
          <w:b w:val="false"/>
          <w:i/>
          <w:caps w:val="false"/>
          <w:smallCaps w:val="false"/>
          <w:sz w:val="20"/>
        </w:rPr>
        <w:t>Acceleration</w:t>
      </w:r>
      <w:r>
        <w:rPr>
          <w:rFonts w:ascii="Times New Roman;Times;Serif" w:hAnsi="Times New Roman;Times;Serif"/>
          <w:b w:val="false"/>
          <w:i w:val="false"/>
          <w:caps w:val="false"/>
          <w:smallCaps w:val="false"/>
          <w:sz w:val="20"/>
        </w:rPr>
        <w:t>.  i) If an Event of Default other than as described in clauses (d) or (e) of Section 6.01 with respect to the Securities of any series then outstanding occurs and is continuing, then, and in each and every such case, except for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series of Securities the principal of which shall have already become due and payable, either the Trustee or the Holders of not less than 25% in aggregate principal amount of the Securities of all such series then outstanding hereunder in respect of which an Event of Default has occurred (all such series voting together as a single class) by notice in writing to the Company (and to the Trustee if given by Securityholders), may declare the entire principal (or, if the Securities of any such series are Original Issue Discount Securities, such portion of the principal amount as may be specified in the terms of such series established pursuant to Section 2.03) of all Securities of the affected series, and the interest accrued thereon, if any, to be due and payable immediately, and upon any such declaration the same shall become immediately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an Event of Default described in clause (d) or (e) of Section 6.01 occurs and is continuing, then the principal amount (or, if any Securities are Original Issue Discount Securities, such portion of the principal as may be specified in the terms thereof established pursuant to Section 2.03) of all the Securities then outstanding and interest accrued thereon, if any, shall be and become immediately due and payable, without any notice or other action by any Holder or the Trustee, to the full extent permitted by applicable law.</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provisions, however, are subject to the condition that if, at any time after the principal (or, if the Securities are Original Issue Discount Securities, such portion of the principal as may be specified in the terms thereof established pursuant to Section 2.03) of the Securities of any series (or of all the Securities, as the case may be) shall have been so declared or become due and payable, and before any judgment or decree for the payment of the moneys due shall have been obtained or entered as hereinafter provided, the Company shall pay or shall deposit with the Trustee a sum sufficient to pay all matured installments of interest upon all the Securities of each such series (or of all the Securities, as the case may be) and the principal of any and all Securities of each such series (or of all the Securities, as the case may be) which shall have become due otherwise than by acceleration (with interest upon such principal and, to the extent that payment of such interest is enforceable under applicable law, on overdue installments of interest, at the same rate as the rate of interest or Yield to Maturity (in the case of Original Issue Discount Securities) specified in the Securities of each such series to the date of such payment or deposit) and such amount as shall be sufficient to cover all amounts owing the Trustee under Section 7.07, and if any and all Events of Default under the Indenture, other than the non-payment of the principal of Securities which shall have become due by acceleration, shall have been cured, waived or otherwise remedied as provided herein, then and in every such case the Holders of a majority in aggregate principal amount of all the then outstanding Securities of all such series that have been accelerated (voting as a single class), by written notice to the Company and to the Trustee, may waive all defaults with respect to all such series (or with respect to all the Securities, as the case may be) and rescind and annul such declaration and its consequences, but no such waiver or rescission and annulment shall extend to or shall affect any subsequent default or shall impair any right consequent thereon.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purposes under this Indenture, if a portion of the principal of any Original Issue Discount Securities shall have been accelerated and declared or become due and payable pursuant to the provisions hereof, then, from and after such declaration, unless such declaration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6.03.</w:t>
        <w:tab/>
      </w:r>
      <w:r>
        <w:rPr>
          <w:rFonts w:ascii="Times New Roman;Times;Serif" w:hAnsi="Times New Roman;Times;Serif"/>
          <w:b w:val="false"/>
          <w:i/>
          <w:caps w:val="false"/>
          <w:smallCaps w:val="false"/>
          <w:sz w:val="20"/>
        </w:rPr>
        <w:t>Other Remedies</w:t>
      </w:r>
      <w:r>
        <w:rPr>
          <w:rFonts w:ascii="Times New Roman;Times;Serif" w:hAnsi="Times New Roman;Times;Serif"/>
          <w:b w:val="false"/>
          <w:i w:val="false"/>
          <w:caps w:val="false"/>
          <w:smallCaps w:val="false"/>
          <w:sz w:val="20"/>
        </w:rPr>
        <w:t>.  If a payment default or an Event of Default with respect to the Securities of any series occurs and is continuing, the Trustee may pursue, in its own name or as trustee of an express trust, any available remedy by proceeding at law or in equity to collect the payment of Principal of and interest on the Securities of such series or to enforce the performance of any provision of the Securities of such series or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maintain a proceeding even if it does not possess any of the Securities or does not produce any of them in the proceeding.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6.04.</w:t>
        <w:tab/>
      </w:r>
      <w:r>
        <w:rPr>
          <w:rFonts w:ascii="Times New Roman;Times;Serif" w:hAnsi="Times New Roman;Times;Serif"/>
          <w:b w:val="false"/>
          <w:i/>
          <w:caps w:val="false"/>
          <w:smallCaps w:val="false"/>
          <w:sz w:val="20"/>
        </w:rPr>
        <w:t>Waiver of Past Defaults</w:t>
      </w:r>
      <w:r>
        <w:rPr>
          <w:rFonts w:ascii="Times New Roman;Times;Serif" w:hAnsi="Times New Roman;Times;Serif"/>
          <w:b w:val="false"/>
          <w:i w:val="false"/>
          <w:caps w:val="false"/>
          <w:smallCaps w:val="false"/>
          <w:sz w:val="20"/>
        </w:rPr>
        <w:t>.  Subject to Sections 6.02, 6.07 and 9.02, the Holders of at least a majority in principal amount (or, if the Securities are Original Issue Discount Securities, such portion of the principal as is then accelerable under Section 6.02) of the outstanding Securities of all series affected (voting as a single class), by notice to the Trustee, may waive an existing Default or Event of Default with respect to the Securities of such series and its consequences, except a Default in the payment of Principal of or interest on any Security as specified in clauses (a) or (b) of Section 6.01 or in respect of a covenant or provision of this Indenture which cannot be modified or amended without the consent of the Holder of each outstanding Security affected.  Upon any such waiver, such Default shall cease to exist, and any Event of Default with respect to the Securities of such series arising therefrom shall be deemed to have been cured, for every purpose of this Indenture; but no such waiver shall extend to any subsequent or other Default or Event of Default or impair any right consequent thereto.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6.05.</w:t>
        <w:tab/>
      </w:r>
      <w:r>
        <w:rPr>
          <w:rFonts w:ascii="Times New Roman;Times;Serif" w:hAnsi="Times New Roman;Times;Serif"/>
          <w:b w:val="false"/>
          <w:i/>
          <w:caps w:val="false"/>
          <w:smallCaps w:val="false"/>
          <w:sz w:val="20"/>
        </w:rPr>
        <w:t>Control by Majority</w:t>
      </w:r>
      <w:r>
        <w:rPr>
          <w:rFonts w:ascii="Times New Roman;Times;Serif" w:hAnsi="Times New Roman;Times;Serif"/>
          <w:b w:val="false"/>
          <w:i w:val="false"/>
          <w:caps w:val="false"/>
          <w:smallCaps w:val="false"/>
          <w:sz w:val="20"/>
        </w:rPr>
        <w:t xml:space="preserve">.  Subject to Sections 7.01 and 7.02(e), the Holders of at least a majority in aggregate principal amount (or, if any Securities are Original Issue Discount Securities, such portion of the principal as is then accelerable under Section 6.02) of the outstanding Securities of all series affected (voting as a single class) may direct the time, method and place of conducting any proceeding for any remedy available to the Trustee or exercising any trust or power conferred on the Trustee with respect to the Securities of such series by this Indenture;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Trustee may refuse to follow any direction that conflicts with law or this Indenture, that may involve the Trustee in personal liability or that the Trustee determines in good faith may be unduly prejudicial to the rights of Holders not joining in the giving of such direction; and provided further, that the Trustee may take any other action it deems proper that is not inconsistent with any directions received from Holders of Securities pursuant to this Section 6.05.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6.06.</w:t>
        <w:tab/>
      </w:r>
      <w:r>
        <w:rPr>
          <w:rFonts w:ascii="Times New Roman;Times;Serif" w:hAnsi="Times New Roman;Times;Serif"/>
          <w:b w:val="false"/>
          <w:i/>
          <w:caps w:val="false"/>
          <w:smallCaps w:val="false"/>
          <w:sz w:val="20"/>
        </w:rPr>
        <w:t>Limitation on Suits</w:t>
      </w:r>
      <w:r>
        <w:rPr>
          <w:rFonts w:ascii="Times New Roman;Times;Serif" w:hAnsi="Times New Roman;Times;Serif"/>
          <w:b w:val="false"/>
          <w:i w:val="false"/>
          <w:caps w:val="false"/>
          <w:smallCaps w:val="false"/>
          <w:sz w:val="20"/>
        </w:rPr>
        <w:t>.  No Holder of any Security of any series may institute any proceeding, judicial or otherwise, with respect to this Indenture or the Securities of such series, or for the appointment of a receiver or trustee, or for any other remedy hereunder, unless: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Holder has previously given to the Trustee written notice of a continuing Event of Default with respect to the Securities of such series;</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Holders of at least 25% in aggregate principal amount of outstanding Securities of all such series affected shall have made written request to the Trustee to institute proceedings in respect of such Event of Default in its own name as Trustee hereunder;</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such Holder or Holders have offered to the Trustee indemnity or security reasonably satisfactory to the Trustee against any costs, liabilities or expenses to be incurred in compliance with such request;</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for 60 days after its receipt of such notice, request and offer of indemnity has failed to institute any such proceeding; and</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during such 60-day period, the Holders of a majority in aggregate principal amount of the outstanding Securities of all such affected series have not given the Trustee a direction that is inconsistent with such written request.</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may not use this Indenture to prejudice the rights of another Holder or to obtain a preference or priority over such other Holder.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6.07.</w:t>
        <w:tab/>
      </w:r>
      <w:r>
        <w:rPr>
          <w:rFonts w:ascii="Times New Roman;Times;Serif" w:hAnsi="Times New Roman;Times;Serif"/>
          <w:b w:val="false"/>
          <w:i/>
          <w:caps w:val="false"/>
          <w:smallCaps w:val="false"/>
          <w:sz w:val="20"/>
        </w:rPr>
        <w:t>Rights of Holders to Receive Payment</w:t>
      </w:r>
      <w:r>
        <w:rPr>
          <w:rFonts w:ascii="Times New Roman;Times;Serif" w:hAnsi="Times New Roman;Times;Serif"/>
          <w:b w:val="false"/>
          <w:i w:val="false"/>
          <w:caps w:val="false"/>
          <w:smallCaps w:val="false"/>
          <w:sz w:val="20"/>
        </w:rPr>
        <w:t>.  Notwithstanding any other provision of this Indenture, the right of any Holder of a Security to receive payment of Principal of or interest, if any, on such Holder’s Security on or after the respective due dates expressed on such Security, or to bring suit for the enforcement of any such payment on or after such respective dates, shall not be impaired or affected without the consent of such Holder.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6.08.</w:t>
        <w:tab/>
      </w:r>
      <w:r>
        <w:rPr>
          <w:rFonts w:ascii="Times New Roman;Times;Serif" w:hAnsi="Times New Roman;Times;Serif"/>
          <w:b w:val="false"/>
          <w:i/>
          <w:caps w:val="false"/>
          <w:smallCaps w:val="false"/>
          <w:sz w:val="20"/>
        </w:rPr>
        <w:t>Collection Suit by Trustee</w:t>
      </w:r>
      <w:r>
        <w:rPr>
          <w:rFonts w:ascii="Times New Roman;Times;Serif" w:hAnsi="Times New Roman;Times;Serif"/>
          <w:b w:val="false"/>
          <w:i w:val="false"/>
          <w:caps w:val="false"/>
          <w:smallCaps w:val="false"/>
          <w:sz w:val="20"/>
        </w:rPr>
        <w:t>.  If an Event of Default with respect to the Securities of any series in payment of Principal or interest specified in clause (a) or (b) of Section 6.01  occurs and is continuing, the Trustee may recover judgment in its own name and as trustee of an express trust against the Company for the whole amount (or such portion thereof as specified in the terms established pursuant to Section 2.03 of Original Issue Discount Securities) of Principal of, and accrued interest remaining unpaid on, together with interest on overdue Principal of, and, to the extent that payment of such interest is lawful, interest on overdue installments of interest on, the Securities of such series, in each case at the rate or Yield to Maturity (in the case of Original Issue Discount Securities) specified in such Securities, and such further amount as shall be sufficient to cover all amounts owing the Trustee under Section 7.07.</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6.09.</w:t>
        <w:tab/>
      </w:r>
      <w:r>
        <w:rPr>
          <w:rFonts w:ascii="Times New Roman;Times;Serif" w:hAnsi="Times New Roman;Times;Serif"/>
          <w:b w:val="false"/>
          <w:i/>
          <w:caps w:val="false"/>
          <w:smallCaps w:val="false"/>
          <w:sz w:val="20"/>
        </w:rPr>
        <w:t>Trustee May File Proofs of Claim</w:t>
      </w:r>
      <w:r>
        <w:rPr>
          <w:rFonts w:ascii="Times New Roman;Times;Serif" w:hAnsi="Times New Roman;Times;Serif"/>
          <w:b w:val="false"/>
          <w:i w:val="false"/>
          <w:caps w:val="false"/>
          <w:smallCaps w:val="false"/>
          <w:sz w:val="20"/>
        </w:rPr>
        <w:t>.  The Trustee may file such proofs of claim and other papers or documents as may be necessary or advisable in order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have the claims of the Trustee (including any claim for amounts due the Trustee under Section 7.07) and the Holders allowed in any judicial proceedings relative to the Company (or any other obligor on the Securities), its creditors or its property and shall be entitled and empowered to collect and receive any moneys, securities or other property payable or deliverable upon conversion or exchange of the Securities or upon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to it under Section 7.07.  Nothing herein contained shall be deemed to empower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6.10.</w:t>
        <w:tab/>
      </w:r>
      <w:r>
        <w:rPr>
          <w:rFonts w:ascii="Times New Roman;Times;Serif" w:hAnsi="Times New Roman;Times;Serif"/>
          <w:b w:val="false"/>
          <w:i/>
          <w:caps w:val="false"/>
          <w:smallCaps w:val="false"/>
          <w:sz w:val="20"/>
        </w:rPr>
        <w:t>Application of Proceeds</w:t>
      </w:r>
      <w:r>
        <w:rPr>
          <w:rFonts w:ascii="Times New Roman;Times;Serif" w:hAnsi="Times New Roman;Times;Serif"/>
          <w:b w:val="false"/>
          <w:i w:val="false"/>
          <w:caps w:val="false"/>
          <w:smallCaps w:val="false"/>
          <w:sz w:val="20"/>
        </w:rPr>
        <w:t>.  Any moneys collected by the Trustee pursuant to this Article in respect of the Securities of any series shall be applied in the following order at the date or dates fixed by the Trustee and, in case of the distribution of such moneys on account of Principal or interest, upon presentation of the several Securities in respect of which moneys have been collected and noting thereon the payment, or issuing Securities of such series and tenor in reduced principal amounts in exchange for the presented Securities of such series and tenor if only partially paid, or upon surrender thereof if fully paid: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To the payment of all amounts due the Trustee under Section 7.07 applicable to the Securities of such series in respect of which moneys have been collected;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In case the principal of the Securities of such series in respect of which moneys have been collected shall not have become and be then due and payable, to the payment of interest on the Securities of such series in default in the order of the maturity of the installments of such interest, with interest (to the extent that such interest has been collected by the Trustee) upon the overdue installments of interest at the same rate as the rate of interest or Yield to Maturity (in the case of Original Issue Discount Securities) specified in such Securities, such payments to be made ratably to the persons entitled thereto, without discrimination or preference;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In case the principal of the Securities of such series in respect of which moneys have been collected shall have become and shall be then due and payable, to the payment of the whole amount then owing and unpaid upon all the Securities of such series for Principal and interest, with interest upon the overdue Principal, and (to the extent that such interest has been collected by the Trustee) upon overdue installments of interest at the same rate as the rate of interest or Yield to Maturity (in the case of Original Issue Discount Securities) specified in the Securities of such series; and in case such moneys shall be insufficient to pay in full the whole amount so due and unpaid upon the Securities of such series,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to the payment of such Principal and interest or Yield to Maturity, without preference or priority of Principal over interest or Yield to Maturity, or of interest or Yield to Maturity over Principal, or of any installment of interest over any other installment of interest, or of any Security of such series over any other Security of such series, ratably to the aggregate of such Principal and accrued and unpaid interest or Yield to Maturity; and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FOURTH:  To the payment of the remainder, if any, to the Company or any other person lawfully entitled thereto.</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6.11.</w:t>
        <w:tab/>
      </w:r>
      <w:r>
        <w:rPr>
          <w:rFonts w:ascii="Times New Roman;Times;Serif" w:hAnsi="Times New Roman;Times;Serif"/>
          <w:b w:val="false"/>
          <w:i/>
          <w:caps w:val="false"/>
          <w:smallCaps w:val="false"/>
          <w:sz w:val="20"/>
        </w:rPr>
        <w:t>Restoration of Rights and Remedies</w:t>
      </w:r>
      <w:r>
        <w:rPr>
          <w:rFonts w:ascii="Times New Roman;Times;Serif" w:hAnsi="Times New Roman;Times;Serif"/>
          <w:b w:val="false"/>
          <w:i w:val="false"/>
          <w:caps w:val="false"/>
          <w:smallCaps w:val="false"/>
          <w:sz w:val="20"/>
        </w:rPr>
        <w:t>.  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to their former positions hereunder and thereafter all rights and remedies of the Company, Trustee and the Holders shall continue as though no such proceeding had been instituted.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6.12.</w:t>
        <w:tab/>
      </w:r>
      <w:r>
        <w:rPr>
          <w:rFonts w:ascii="Times New Roman;Times;Serif" w:hAnsi="Times New Roman;Times;Serif"/>
          <w:b w:val="false"/>
          <w:i/>
          <w:caps w:val="false"/>
          <w:smallCaps w:val="false"/>
          <w:sz w:val="20"/>
        </w:rPr>
        <w:t>Undertaking for Costs</w:t>
      </w:r>
      <w:r>
        <w:rPr>
          <w:rFonts w:ascii="Times New Roman;Times;Serif" w:hAnsi="Times New Roman;Times;Serif"/>
          <w:b w:val="false"/>
          <w:i w:val="false"/>
          <w:caps w:val="false"/>
          <w:smallCaps w:val="false"/>
          <w:sz w:val="20"/>
        </w:rPr>
        <w:t>.  In any suit for the enforcement of any right or remedy under this Indenture or in any suit against the Trustee for any action taken or omitted by it as Trustee, in either case in respect to the Securities of any series, a court may require any party litigant in such suit (other than the Trustee) to file an undertaking to pay the costs of the suit, and the court may assess reasonable costs, including reasonable attorneys’ fees, against any party litigant (other than the Trustee) in the suit having due regard to the merits and good faith of the claims or defenses made by the party litigant.  This Section 6.12 does not apply to a suit by a Holder pursuant to Section 6.07, a suit instituted by the Trustee or a suit by Holders of more than 10% in principal amount of the outstanding Securities of such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6.13.</w:t>
        <w:tab/>
      </w:r>
      <w:r>
        <w:rPr>
          <w:rFonts w:ascii="Times New Roman;Times;Serif" w:hAnsi="Times New Roman;Times;Serif"/>
          <w:b w:val="false"/>
          <w:i/>
          <w:caps w:val="false"/>
          <w:smallCaps w:val="false"/>
          <w:sz w:val="20"/>
        </w:rPr>
        <w:t>Rights and Remedies Cumulative</w:t>
      </w:r>
      <w:r>
        <w:rPr>
          <w:rFonts w:ascii="Times New Roman;Times;Serif" w:hAnsi="Times New Roman;Times;Serif"/>
          <w:b w:val="false"/>
          <w:i w:val="false"/>
          <w:caps w:val="false"/>
          <w:smallCaps w:val="false"/>
          <w:sz w:val="20"/>
        </w:rPr>
        <w:t>.  Except as otherwise provided with respect to the replacement or payment of mutilated, destroyed, lost or wrongfully taken Securities in Section 2.08,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6.14.</w:t>
        <w:tab/>
      </w:r>
      <w:r>
        <w:rPr>
          <w:rFonts w:ascii="Times New Roman;Times;Serif" w:hAnsi="Times New Roman;Times;Serif"/>
          <w:b w:val="false"/>
          <w:i/>
          <w:caps w:val="false"/>
          <w:smallCaps w:val="false"/>
          <w:sz w:val="20"/>
        </w:rPr>
        <w:t>Delay or Omission not Waiver</w:t>
      </w:r>
      <w:r>
        <w:rPr>
          <w:rFonts w:ascii="Times New Roman;Times;Serif" w:hAnsi="Times New Roman;Times;Serif"/>
          <w:b w:val="false"/>
          <w:i w:val="false"/>
          <w:caps w:val="false"/>
          <w:smallCaps w:val="false"/>
          <w:sz w:val="20"/>
        </w:rPr>
        <w:t>.  No delay or omission of the Trustee or of any Holder to exercise any right or remedy accruing upon any Event of Default shall impair any such right or remedy or constitute a waiver of any such Event of Default or an acquiescence therein.  Every right and remedy given by this Article 6 or by law to the Trustee or to the Holders may be exercised from time to time, and as often as may be deemed expedient, by the Trustee or by the Holders, as the case may be.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7</w:t>
      </w:r>
      <w:r>
        <w:rPr>
          <w:rFonts w:ascii="Times New Roman;Times;Serif" w:hAnsi="Times New Roman;Times;Serif"/>
          <w:b w:val="false"/>
          <w:i w:val="false"/>
          <w:smallCaps/>
          <w:sz w:val="20"/>
        </w:rPr>
        <w:br/>
        <w:t>TRUSTEE</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7.01.</w:t>
        <w:tab/>
      </w:r>
      <w:r>
        <w:rPr>
          <w:rFonts w:ascii="Times New Roman;Times;Serif" w:hAnsi="Times New Roman;Times;Serif"/>
          <w:b w:val="false"/>
          <w:i/>
          <w:caps w:val="false"/>
          <w:smallCaps w:val="false"/>
          <w:sz w:val="20"/>
        </w:rPr>
        <w:t>General</w:t>
      </w:r>
      <w:r>
        <w:rPr>
          <w:rFonts w:ascii="Times New Roman;Times;Serif" w:hAnsi="Times New Roman;Times;Serif"/>
          <w:b w:val="false"/>
          <w:i w:val="false"/>
          <w:caps w:val="false"/>
          <w:smallCaps w:val="false"/>
          <w:sz w:val="20"/>
        </w:rPr>
        <w:t>.  The duties and responsibilities of the Trustee shall be as provided by the Trust Indenture Act and as set forth herein.  Notwithstanding the foregoing, no provision of this Indenture shall require the Trustee to expend or risk its own funds or otherwise incur any financial liability in the performance of any of its duties hereunder, or in the exercise of any of its rights or powers, unless it receives indemnity satisfactory to it against any loss, liability or expense.  Whether or not therein expressly so provided, every provision of this Indenture relating to the conduct or affecting the liability of or affording protection to the Trustee shall be subject to the provisions of this Article 7.</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7.02.</w:t>
        <w:tab/>
      </w:r>
      <w:r>
        <w:rPr>
          <w:rFonts w:ascii="Times New Roman;Times;Serif" w:hAnsi="Times New Roman;Times;Serif"/>
          <w:b w:val="false"/>
          <w:i/>
          <w:caps w:val="false"/>
          <w:smallCaps w:val="false"/>
          <w:sz w:val="20"/>
        </w:rPr>
        <w:t>Certain Rights of Trustee</w:t>
      </w:r>
      <w:r>
        <w:rPr>
          <w:rFonts w:ascii="Times New Roman;Times;Serif" w:hAnsi="Times New Roman;Times;Serif"/>
          <w:b w:val="false"/>
          <w:i w:val="false"/>
          <w:caps w:val="false"/>
          <w:smallCaps w:val="false"/>
          <w:sz w:val="20"/>
        </w:rPr>
        <w:t>.  Subject to Trust Indenture Act Sections 315(a) through (d):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may rely and shall be protected in acting or refraining from acting upon any resolution, certificate, Officers’ Certificate, Opinion of Counsel (or both), statement, instrument, opinion, report, notice, request, direction, consent, order, bond, debenture, note, other evidence of indebtedness or other paper or document believed by it to be genuine and to have been signed or presented by the proper person or persons.  The Trustee need not investigate any fact or matter stated in the document, but the Trustee, in its discretion, may make such further inquiry or investigation into such facts or matters as it may see fit;</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before the Trustee acts or refrains from acting, it may require an Officers’ Certificate and/or an Opinion of Counsel, which shall conform to Section 10.04 and shall cover such other matters as the Trustee may reasonably request.  The Trustee shall not be liable for any action it takes or omits to take in good faith in reliance on such certificate or opinion.  Subject to Sections 7.01 and 7.02, whenever in the administration of the trusts of this Indenture the Trustee shall deem it necessary or desirable that a matter be proved or established prior to taking or suffering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by it under the provisions of this Indenture upon the faith thereof;</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may act through its attorneys and agents not regularly in its employ and shall not be responsible for the misconduct or negligence of any agent or attorney appointed with due care;</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request, direction, order or demand of the Company mentioned herein shall be sufficiently evidenced by an Officers’ Certificate (unless other evidence in respect thereof be herein specifically prescribed); and any Board Resolution may be</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evidenced to the Trustee by a copy thereof certified by the Secretary or an Assistant Secretary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Trustee shall be under no obligation to exercise any of the rights or powers vested in it by this Indenture at the request, order or direction of any of the Holders, unless such Holders shall have offered to the Trustee reasonable security or indemnity against the costs, expenses and liabilities that might be incurred by it in compliance with such request or direction;</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Trustee shall not be liable for any action it takes or omits to take in good faith that it believes to be authorized or within its rights or powers or for any action it takes or omits to take in accordance with the direction of the Holders in accordance with Section 6.05 relating to the time, method and place of conducting any proceeding for any remedy available to the Trustee, or exercising any trust or power conferred upon the Trustee, under this Indenture;</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Trustee may consult with counsel and the written advice of such counsel or any Opinion of Counsel shall be full and complete authorization and protection in respect of any action taken, suffered or omitted by it hereunder in good faith and in reliance thereon; and</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prior to the occurrence of an Event of Default hereunder and after the curing or waiving of all Events of Default, the Trustee shall not be bound to make any investigation into the facts or matters stated in any resolution, certificate, Officers’ Certificate, Opinion of Counsel, Board Resolution, statement, instrument, opinion, report, notice, request, consent, order, approval, appraisal, bond, debenture, note, coupon, security, or other paper or document unless requested in writing so to do by the Holders of not less than a majority in aggregate principal amount of the Securities of all series affected then outstanding; provided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expenses or liabilities as a condition to proceeding.</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7.03.</w:t>
        <w:tab/>
      </w:r>
      <w:r>
        <w:rPr>
          <w:rFonts w:ascii="Times New Roman;Times;Serif" w:hAnsi="Times New Roman;Times;Serif"/>
          <w:b w:val="false"/>
          <w:i/>
          <w:caps w:val="false"/>
          <w:smallCaps w:val="false"/>
          <w:sz w:val="20"/>
        </w:rPr>
        <w:t>Individual Rights of Trustee</w:t>
      </w:r>
      <w:r>
        <w:rPr>
          <w:rFonts w:ascii="Times New Roman;Times;Serif" w:hAnsi="Times New Roman;Times;Serif"/>
          <w:b w:val="false"/>
          <w:i w:val="false"/>
          <w:caps w:val="false"/>
          <w:smallCaps w:val="false"/>
          <w:sz w:val="20"/>
        </w:rPr>
        <w:t>.  The Trustee, in its individual or any other capacity, may become the owner or pledgee of Securities and may otherwise deal with the Company or its Affiliates with the same rights it would have if it were not the Trustee.  Any Agent may do the same with like rights.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 Trustee is subject to Trust Indenture Act Sections 310(b) and 311.  For purposes of Trust Indenture Act Section 311(b)(4) and (6), the following terms shall mean: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cash transaction</w:t>
      </w:r>
      <w:r>
        <w:rPr>
          <w:rFonts w:ascii="Times New Roman;Times;Serif" w:hAnsi="Times New Roman;Times;Serif"/>
          <w:b w:val="false"/>
          <w:i w:val="false"/>
          <w:caps w:val="false"/>
          <w:smallCaps w:val="false"/>
          <w:sz w:val="20"/>
        </w:rPr>
        <w:t>” means any transaction in which full payment for goods or securities sold is made within seven days after delivery of the goods or securities in currency or in checks or other orders drawn upon banks or bankers and payable upon demand; and</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self-liquidating paper</w:t>
      </w:r>
      <w:r>
        <w:rPr>
          <w:rFonts w:ascii="Times New Roman;Times;Serif" w:hAnsi="Times New Roman;Times;Serif"/>
          <w:b w:val="false"/>
          <w:i w:val="false"/>
          <w:caps w:val="false"/>
          <w:smallCaps w:val="false"/>
          <w:sz w:val="20"/>
        </w:rPr>
        <w:t>” means any draft, bill of exchange, acceptance or obligation which is made, drawn, negotiated or incurred by the Company for the purpose of financing the purchase, processing, manufacturing, shipment, storage or sale of goods, wares or merchandise and which is secured by documents evidencing title to, possession of, or a lien upon, the goods, wares or merchandise or the receivables or proceeds arising from the sale of the goods, wares or merchandise previously constituting the security, provided the security is received by the Trustee simultaneously with the creation of the creditor relationship with the Company arising from the making, drawing, negotiating or incurring of the draft, bill of exchange, acceptance or obligation.</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7.04.</w:t>
        <w:tab/>
      </w:r>
      <w:r>
        <w:rPr>
          <w:rFonts w:ascii="Times New Roman;Times;Serif" w:hAnsi="Times New Roman;Times;Serif"/>
          <w:b w:val="false"/>
          <w:i/>
          <w:caps w:val="false"/>
          <w:smallCaps w:val="false"/>
          <w:sz w:val="20"/>
        </w:rPr>
        <w:t>Trustee’s Disclaimer</w:t>
      </w:r>
      <w:r>
        <w:rPr>
          <w:rFonts w:ascii="Times New Roman;Times;Serif" w:hAnsi="Times New Roman;Times;Serif"/>
          <w:b w:val="false"/>
          <w:i w:val="false"/>
          <w:caps w:val="false"/>
          <w:smallCaps w:val="false"/>
          <w:sz w:val="20"/>
        </w:rPr>
        <w:t>.  The recitals contained herein and in the Securities (except the Trustee’s certificate of authentication) shall be taken as statements of the Company and not of the Trustee and the Trustee assumes no responsibility for the correctness of the same.  Neither the Trustee nor any of its agents (a) makes any representation as to the validity or adequacy of this Indenture or the Securities and (b) shall be accountable for the Company’s use or application of the proceeds from the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7.05.</w:t>
        <w:tab/>
      </w:r>
      <w:r>
        <w:rPr>
          <w:rFonts w:ascii="Times New Roman;Times;Serif" w:hAnsi="Times New Roman;Times;Serif"/>
          <w:b w:val="false"/>
          <w:i/>
          <w:caps w:val="false"/>
          <w:smallCaps w:val="false"/>
          <w:sz w:val="20"/>
        </w:rPr>
        <w:t>Notice of Default</w:t>
      </w:r>
      <w:r>
        <w:rPr>
          <w:rFonts w:ascii="Times New Roman;Times;Serif" w:hAnsi="Times New Roman;Times;Serif"/>
          <w:b w:val="false"/>
          <w:i w:val="false"/>
          <w:caps w:val="false"/>
          <w:smallCaps w:val="false"/>
          <w:sz w:val="20"/>
        </w:rPr>
        <w:t xml:space="preserve">.  If any Default with respect to the Securities of any series occurs and is continuing and if such Default is known to the actual knowledge of a Responsible Officer with the Corporate Trust Department of the Trustee, the Trustee shall give to each Holder of Securities of such series notice of such Default within 90 days after it occurs to all Holders of Securities of such series in the manner and to the extent provided in Section 313(c) of the Trust Indenture Act, unless such Default shall have been cured or waived before the mailing or publication of such notice;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except in the case of a Default in the payment of the Principal of or interest on any Security, the Trustee shall be protected in withholding such notice if the Trustee in good faith determines that the withholding of such notice is in the interests of the Holders.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7.06.</w:t>
        <w:tab/>
      </w:r>
      <w:r>
        <w:rPr>
          <w:rFonts w:ascii="Times New Roman;Times;Serif" w:hAnsi="Times New Roman;Times;Serif"/>
          <w:b w:val="false"/>
          <w:i/>
          <w:caps w:val="false"/>
          <w:smallCaps w:val="false"/>
          <w:sz w:val="20"/>
        </w:rPr>
        <w:t>Reports by Trustee to Holders</w:t>
      </w:r>
      <w:r>
        <w:rPr>
          <w:rFonts w:ascii="Times New Roman;Times;Serif" w:hAnsi="Times New Roman;Times;Serif"/>
          <w:b w:val="false"/>
          <w:i w:val="false"/>
          <w:caps w:val="false"/>
          <w:smallCaps w:val="false"/>
          <w:sz w:val="20"/>
        </w:rPr>
        <w:t>.  The Trustee shall transmit to Holders such reports concerning the Trustee and its actions under this Indenture as may be required pursuant to the Trust Indenture Act at the times and in the manner provided pursuant thereto. If required by Section 313(a) of the Trust Indenture Act, the Trustee shall, within 60 days after each May 15 following the date of this Indenture, deliver to Holders a brief report, dated as of such May 15, which complies with the provisions of such Section 313(a).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each such report shall, at the time of such transmission to Holders, be filed by the Trustee with each stock exchange upon which any Securities are listed, with the Commission and with the Company. The Company will promptly notify the Trustee when any Securities are listed on any stock exchange.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7.07.</w:t>
        <w:tab/>
      </w:r>
      <w:r>
        <w:rPr>
          <w:rFonts w:ascii="Times New Roman;Times;Serif" w:hAnsi="Times New Roman;Times;Serif"/>
          <w:b w:val="false"/>
          <w:i/>
          <w:caps w:val="false"/>
          <w:smallCaps w:val="false"/>
          <w:sz w:val="20"/>
        </w:rPr>
        <w:t>Compensation and Indemnity</w:t>
      </w:r>
      <w:r>
        <w:rPr>
          <w:rFonts w:ascii="Times New Roman;Times;Serif" w:hAnsi="Times New Roman;Times;Serif"/>
          <w:b w:val="false"/>
          <w:i w:val="false"/>
          <w:caps w:val="false"/>
          <w:smallCaps w:val="false"/>
          <w:sz w:val="20"/>
        </w:rPr>
        <w:t>.  The Company shall pay to the Trustee such compensation as shall be agreed upon in writing from time to time for its services.  The compensation of the Trustee shall not be limited by any law on compensation of a Trustee of an express trust.  The Company shall reimburse the Trustee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any predecessor Trustee upon request for all reasonable out-of-pocket expenses, disbursements and advances incurred or made by the Trustee or such predecessor Trustee.  Such expenses shall include the reasonable compensation and expenses of the Trustee’s or such predecessor Trustee’s agents, counsel and other persons not regularly in their employ.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indemnify the Trustee and any predecessor Trustee for, and hold them harmless against, any loss or liability or expense incurred by them without negligence or bad faith on their part arising out of or in connection with the acceptance or administration of this Indenture and the Securities or the issuance of the Securities or of series thereof or the trusts hereunder and the performance of duties under this Indenture and the Securities, including the costs and expenses of defending themselves against or investigating any claim or liability and of complying with any process served upon them or any of their officers in connection with the exercise or performance of any of their powers or duties under this Indenture and the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secure the Company’s payment obligations in this Section 7.07, the Trustee shall have a lien prior to the Securities on all money or property held or collected by the Trustee, in its capacity as Trustee, except money or property held in trust to pay Principal of, and interest on particular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the Company under this Section to compensate and indemnify the Trustee and each predecessor Trustee and to pay or reimburse the Trustee and each predecessor Trustee for expenses, disbursements and advances shall constitute additional indebtedness hereunder and shall survive the satisfaction and discharge of this Indenture or the rejection or termination of this Indenture under bankruptcy law.  Such additional indebtedness shall be a senior claim to that of the Securities upon all property and funds held or collected by the Trustee as such, except funds held in trust for the benefit of the Holders of particular Securities, and the Securities are hereby subordinated to such senior claim.  Without prejudice to any other rights available to the Trustee under applicable law, if the Trustee renders services and incurs expenses following an Event of Default under Section 6.01(d) or Section 6.01(e) hereof, the parties hereto and the holders by their acceptance of the Securities hereby agree that such expenses are intended to constitute expenses of administration under any bankruptcy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7.08.</w:t>
        <w:tab/>
      </w:r>
      <w:r>
        <w:rPr>
          <w:rFonts w:ascii="Times New Roman;Times;Serif" w:hAnsi="Times New Roman;Times;Serif"/>
          <w:b w:val="false"/>
          <w:i/>
          <w:caps w:val="false"/>
          <w:smallCaps w:val="false"/>
          <w:sz w:val="20"/>
        </w:rPr>
        <w:t>Replacement of Trustee</w:t>
      </w:r>
      <w:r>
        <w:rPr>
          <w:rFonts w:ascii="Times New Roman;Times;Serif" w:hAnsi="Times New Roman;Times;Serif"/>
          <w:b w:val="false"/>
          <w:i w:val="false"/>
          <w:caps w:val="false"/>
          <w:smallCaps w:val="false"/>
          <w:sz w:val="20"/>
        </w:rPr>
        <w:t>.  A resignation or removal of the Trustee as Trustee with respect to the Securities of any series and appointment of a successor Trustee as Trustee with respect to the Securities of any series shall become effective only upon the successor Trustee’s acceptance of appointment as provided in this Section 7.08.</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Trustee may resign as Trustee with respect to the Securities of any series at any time by so notifying the Company in writing.  The Holders of a majority in principal amount of the outstanding Securities of any series may remove the Trustee as Trustee with respect to the Securities of such series by so notifying the Trustee in writing and may appoint a successor Trustee with respect thereto with the consent of the Company.  The Company may remove the Trustee as Trustee with respect to the Securities of any series if: (i) the Trustee is no longer eligible under Section 7.11 of this Indenture; (ii) the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 is adjudged a bankrupt or insolvent; (iii) a receiver or other public officer takes charge of the Trustee or its property; or (iv) the Trustee becomes incapable of acting.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resigns or is removed as Trustee with respect to the Securities of any series, or if a vacancy exists in the office of Trustee with respect to the Securities of any series for any reason, the Company shall promptly appoint a successor Trustee with respect thereto.  Within one year after the successor Trustee takes office, the Holders of a majority in principal amount of the outstanding Securities of such series may appoint a successor Trustee in respect of such Securities to replace the successor Trustee appointed by the Company.  If the successor Trustee with respect to the Securities of any series does not deliver its written acceptance required by Section 7.09 within 30 days after the retiring Trustee resigns or is removed, the retiring Trustee, the Company or the Holders of a majority in principal amount of the outstanding Securities of such series may petition any court of competent jurisdiction for the appointment of a successor Trustee with respect thereto.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give notice of any resignation and any removal of the Trustee with respect to the Securities of any series and each appointment of a successor Trustee in respect of the Securities of such series to all Holders of Securities of such series.  Each notice shall include the name of the successor Trustee and the address of its Corporate Trust Office.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replacement of the Trustee with respect to the Securities of any series pursuant to this Section 7.08 and Section 7.09, the Company’s obligations under Section 7.07 shall continue for the benefit of the retiring Trustee.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7.09.</w:t>
        <w:tab/>
      </w:r>
      <w:r>
        <w:rPr>
          <w:rFonts w:ascii="Times New Roman;Times;Serif" w:hAnsi="Times New Roman;Times;Serif"/>
          <w:b w:val="false"/>
          <w:i/>
          <w:caps w:val="false"/>
          <w:smallCaps w:val="false"/>
          <w:sz w:val="20"/>
        </w:rPr>
        <w:t>Acceptance of Appointment by Successor</w:t>
      </w:r>
      <w:r>
        <w:rPr>
          <w:rFonts w:ascii="Times New Roman;Times;Serif" w:hAnsi="Times New Roman;Times;Serif"/>
          <w:b w:val="false"/>
          <w:i w:val="false"/>
          <w:caps w:val="false"/>
          <w:smallCaps w:val="false"/>
          <w:sz w:val="20"/>
        </w:rPr>
        <w:t>.  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and subject to the lien provided for in Section 7.07,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request of any such successor Trustee, the Company shall execute any and all instruments for more fully and certainly vesting in and confirming to such successor Trustee all such rights, powers and trusts referred to in the first or second preceding paragraph, as the case may be.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successor Trustee shall accept its appointment unless at the time of such acceptance such successor Trustee shall be eligible under this Article and qualified under Section 310(b) of the Trust Indenture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7.10.</w:t>
        <w:tab/>
      </w:r>
      <w:r>
        <w:rPr>
          <w:rFonts w:ascii="Times New Roman;Times;Serif" w:hAnsi="Times New Roman;Times;Serif"/>
          <w:b w:val="false"/>
          <w:i/>
          <w:caps w:val="false"/>
          <w:smallCaps w:val="false"/>
          <w:sz w:val="20"/>
        </w:rPr>
        <w:t>Successor Trustee By Merger, Etc</w:t>
      </w:r>
      <w:r>
        <w:rPr>
          <w:rFonts w:ascii="Times New Roman;Times;Serif" w:hAnsi="Times New Roman;Times;Serif"/>
          <w:b w:val="false"/>
          <w:i w:val="false"/>
          <w:caps w:val="false"/>
          <w:smallCaps w:val="false"/>
          <w:sz w:val="20"/>
        </w:rPr>
        <w:t>.  If the Trustee consolidates with, merges or converts into, or transfers all or substantially all of its corporate trust business to, another corporation or national banking association, the resulting, surviving or transferee corporation or national banking association without any further act shall be the successor Trustee with the same effect as if the successor Trustee had been named as the Trustee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7.11.</w:t>
        <w:tab/>
      </w:r>
      <w:r>
        <w:rPr>
          <w:rFonts w:ascii="Times New Roman;Times;Serif" w:hAnsi="Times New Roman;Times;Serif"/>
          <w:b w:val="false"/>
          <w:i/>
          <w:caps w:val="false"/>
          <w:smallCaps w:val="false"/>
          <w:sz w:val="20"/>
        </w:rPr>
        <w:t>Eligibility</w:t>
      </w:r>
      <w:r>
        <w:rPr>
          <w:rFonts w:ascii="Times New Roman;Times;Serif" w:hAnsi="Times New Roman;Times;Serif"/>
          <w:b w:val="false"/>
          <w:i w:val="false"/>
          <w:caps w:val="false"/>
          <w:smallCaps w:val="false"/>
          <w:sz w:val="20"/>
        </w:rPr>
        <w:t>.  This Indenture shall always have a Trustee who satisfies the requirements of Trust Indenture Act Section 310(a).  The Trustee shall have a combined capital and surplus of at least $25,000,000 as set forth in its most recent published annual report of condition.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7.12.</w:t>
        <w:tab/>
      </w:r>
      <w:r>
        <w:rPr>
          <w:rFonts w:ascii="Times New Roman;Times;Serif" w:hAnsi="Times New Roman;Times;Serif"/>
          <w:b w:val="false"/>
          <w:i/>
          <w:caps w:val="false"/>
          <w:smallCaps w:val="false"/>
          <w:sz w:val="20"/>
        </w:rPr>
        <w:t>Money Held in Trust</w:t>
      </w:r>
      <w:r>
        <w:rPr>
          <w:rFonts w:ascii="Times New Roman;Times;Serif" w:hAnsi="Times New Roman;Times;Serif"/>
          <w:b w:val="false"/>
          <w:i w:val="false"/>
          <w:caps w:val="false"/>
          <w:smallCaps w:val="false"/>
          <w:sz w:val="20"/>
        </w:rPr>
        <w:t>.  The Trustee shall not be liable for interest on any money received by it except as the Trustee may agree in writing with the Company.  Money held in trust by the Trustee need not be segregated from other funds except to the extent required by law and except for money held in trust under Article 8 of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8</w:t>
      </w:r>
      <w:r>
        <w:rPr>
          <w:rFonts w:ascii="Times New Roman;Times;Serif" w:hAnsi="Times New Roman;Times;Serif"/>
          <w:b w:val="false"/>
          <w:i w:val="false"/>
          <w:smallCaps/>
          <w:sz w:val="20"/>
        </w:rPr>
        <w:br/>
        <w:t>SATISFACTION AND DISCHARGE OF INDENTURE; UNCLAIMED MONEYS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8.01.</w:t>
        <w:tab/>
      </w:r>
      <w:r>
        <w:rPr>
          <w:rFonts w:ascii="Times New Roman;Times;Serif" w:hAnsi="Times New Roman;Times;Serif"/>
          <w:b w:val="false"/>
          <w:i/>
          <w:caps w:val="false"/>
          <w:smallCaps w:val="false"/>
          <w:sz w:val="20"/>
        </w:rPr>
        <w:t>Satisfaction and Discharge of Indenture</w:t>
      </w:r>
      <w:r>
        <w:rPr>
          <w:rFonts w:ascii="Times New Roman;Times;Serif" w:hAnsi="Times New Roman;Times;Serif"/>
          <w:b w:val="false"/>
          <w:i w:val="false"/>
          <w:caps w:val="false"/>
          <w:smallCaps w:val="false"/>
          <w:sz w:val="20"/>
        </w:rPr>
        <w:t xml:space="preserve">.  If at any time (a) (i) all Securities of any series issued that have been authenticated and delivered have been delivered by the Company to the Trustee for cancellation (other than Securities of such series which have been destroyed, lost or stolen and which have been replaced or paid as provided in Section 2.08); or (ii) all the Securities of any series issued that have not been delivered by the Company to the Trustee for cancellation shall have become due and payable, or are by their terms to become due and payable within one year or are to be called for redemption within one year under arrangements satisfactory to the Trustee for the giving of notice of redemption by such Trustee in the Company’s name and at the Company’s expense, the Company shall have irrevocably deposited or caused to be deposited with the Trustee as trust funds the entire amount in cash (other than moneys repaid by the Trustee or any paying agent to the Company in accordance with Section 8.04) or U.S. Government Obligations, maturing as to principal and interest in such amounts and at such times as will insure (without consideration of the reinvestment of such interest) the availability of cash, or a combination thereof, sufficient to pay at maturity or upon redemption all Securities of such series (other than any Securities of such series which shall have been destroyed, lost or stolen and which shall have been replaced or paid as provided in Section 2.08) not theretofore delivered to the Trustee for cancellation, including principal and interest due or to become due on or prior to such date of maturity or redemption as the case may be; (b) the Company has paid or caused to be paid all other sums then due and payable under this Indenture; and (c) the Company has delivered to the Trustee an Officers’ Certificate and an Opinion of Counsel, each stating that all conditions precedent under this Indenture relating to the satisfaction and discharge of this Indenture pursuant to this Section 8.01 have been complied with, then this Indenture shall cease to be of further effect with respect to Securities of such series (except as to (i) rights of registration of transfer and exchange of securities of such series, and the Company’s right of optional redemption, if any, (ii) substitution of mutilated, defaced, destroyed, lost or stolen Securities, (iii) rights of holders to receive payments of principal thereof and interest thereon, upon the original stated due dates therefor (but not upon acceleration) and remaining rights of the holders to receive mandatory sinking fund payments, if any, (iv) the rights, obligations and immunities of the Trustee hereunder and (v) the rights of the Securityholders of such series as beneficiaries hereof with respect to the property so deposited with the Trustee payable to all or any of them), and the Trustee, on demand of the Company accompanied by an Officers’ Certificate and an Opinion of Counsel and at the cost and expense of the Company, shall execute proper instruments acknowledging such satisfaction of and discharging this Indenture with respect to such series;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rights of Holders of the Securities to receive amounts in respect of Principal of and interest on the Securities held by them shall not be delayed longer than required by then-applicable mandatory rules or policies of any securities exchange upon which the Securities are listed.  The Company agrees to reimburse the Trustee for any costs or expenses thereafter reasonably and properly incurred and to compensate the Trustee for any services thereafter reasonably and properly rendered by the Trustee in connection with this Indenture or the Securities of such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8.02.</w:t>
        <w:tab/>
      </w:r>
      <w:r>
        <w:rPr>
          <w:rFonts w:ascii="Times New Roman;Times;Serif" w:hAnsi="Times New Roman;Times;Serif"/>
          <w:b w:val="false"/>
          <w:i/>
          <w:caps w:val="false"/>
          <w:smallCaps w:val="false"/>
          <w:sz w:val="20"/>
        </w:rPr>
        <w:t>Application by Trustee of Funds Deposited for Payment of Securities</w:t>
      </w:r>
      <w:r>
        <w:rPr>
          <w:rFonts w:ascii="Times New Roman;Times;Serif" w:hAnsi="Times New Roman;Times;Serif"/>
          <w:b w:val="false"/>
          <w:i w:val="false"/>
          <w:caps w:val="false"/>
          <w:smallCaps w:val="false"/>
          <w:sz w:val="20"/>
        </w:rPr>
        <w:t>.  Subject to Section 8.04, all moneys (including U.S. Government Obligations and the proceeds thereof) deposited with the Trustee pursuant to Section 8.01, Section 8.05 or Section 8.06 shall be held in trust and applied by it to the payment, either directly or through any paying agent to the Holders of the particular Securities of such series for the payment or redemption of which such moneys have been deposited with the Trustee, of all sums due and to become due thereon for Principal and interest; but such money need not be segregated from other funds except to the extent required by law.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8.03.</w:t>
        <w:tab/>
      </w:r>
      <w:r>
        <w:rPr>
          <w:rFonts w:ascii="Times New Roman;Times;Serif" w:hAnsi="Times New Roman;Times;Serif"/>
          <w:b w:val="false"/>
          <w:i/>
          <w:caps w:val="false"/>
          <w:smallCaps w:val="false"/>
          <w:sz w:val="20"/>
        </w:rPr>
        <w:t>Repayment of Moneys Held by Paying Agent</w:t>
      </w:r>
      <w:r>
        <w:rPr>
          <w:rFonts w:ascii="Times New Roman;Times;Serif" w:hAnsi="Times New Roman;Times;Serif"/>
          <w:b w:val="false"/>
          <w:i w:val="false"/>
          <w:caps w:val="false"/>
          <w:smallCaps w:val="false"/>
          <w:sz w:val="20"/>
        </w:rPr>
        <w:t>.  In connection with the satisfaction and discharge of this Indenture with respect to Securities of any series, all moneys then held by any paying agent under the provisions of this Indenture with respect to such series of Securities shall, upon demand of the Company, be repaid to it or paid to the Trustee and thereupon such paying agent shall be released from all further liability with respect to such moneys.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8.04.</w:t>
        <w:tab/>
      </w:r>
      <w:r>
        <w:rPr>
          <w:rFonts w:ascii="Times New Roman;Times;Serif" w:hAnsi="Times New Roman;Times;Serif"/>
          <w:b w:val="false"/>
          <w:i/>
          <w:caps w:val="false"/>
          <w:smallCaps w:val="false"/>
          <w:sz w:val="20"/>
        </w:rPr>
        <w:t>Return of Moneys Held by Trustee and Paying Agent Unclaimed for Two Years</w:t>
      </w:r>
      <w:r>
        <w:rPr>
          <w:rFonts w:ascii="Times New Roman;Times;Serif" w:hAnsi="Times New Roman;Times;Serif"/>
          <w:b w:val="false"/>
          <w:i w:val="false"/>
          <w:caps w:val="false"/>
          <w:smallCaps w:val="false"/>
          <w:sz w:val="20"/>
        </w:rPr>
        <w:t>.  Any moneys deposited with or paid to the Trustee or any paying agent for the payment of the Principal of or interest on any Security of any series and not applied but remaining unclaimed for two years after the date upon which such Principal or interest shall have become due and payable, shall, upon the written request of the Company and unless otherwise required by mandatory provisions of applicable escheat or abandoned or unclaimed property law, be repaid to the Company by the Trustee for such series or such paying agent, and the Holder of the Security of such series shall, unless otherwise required by mandatory provisions of applicable escheat or abandoned or unclaimed property laws, thereafter look only to the Company for any payment which such Holder may be entitled to collect, and all liability of the Trustee or any paying agent with respect to such moneys shall thereupon cease.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8.05.</w:t>
        <w:tab/>
      </w:r>
      <w:r>
        <w:rPr>
          <w:rFonts w:ascii="Times New Roman;Times;Serif" w:hAnsi="Times New Roman;Times;Serif"/>
          <w:b w:val="false"/>
          <w:i/>
          <w:caps w:val="false"/>
          <w:smallCaps w:val="false"/>
          <w:sz w:val="20"/>
        </w:rPr>
        <w:t>Defeasance and Discharge of Indenture</w:t>
      </w:r>
      <w:r>
        <w:rPr>
          <w:rFonts w:ascii="Times New Roman;Times;Serif" w:hAnsi="Times New Roman;Times;Serif"/>
          <w:b w:val="false"/>
          <w:i w:val="false"/>
          <w:caps w:val="false"/>
          <w:smallCaps w:val="false"/>
          <w:sz w:val="20"/>
        </w:rPr>
        <w:t>.  The Company shall be deemed to have paid and shall be discharged from any and all obligations in respect of the Securities of any series, after the deposit referred to in clause (i) hereof has been made, and the provisions of this Indenture shall no longer be in effect with respect to the Securities of such series (and the Trustee, at the expense of the Company, shall execute proper instruments acknowledging the same), except as to: (a) rights of Holders of the Securities of such series to receive payments of principal thereof, premium thereto, and interest thereon, upon the original stated due dates therefor, (b) the Company’s obligations with respect to the issuance of temporary Securities and the registration of transfer with respect to the Securities of such series, the Company’s right of optional redemption, substitution of mutilated, defaced, destroyed, lost or stolen Securities of such series and the maintenance of an office or agency for payment for security payments held in trust pursuant to clause (i) hereof, (c) the rights, obligations and immunities of the Trustee hereunder, and (d) the defeasance provisions contained in Article 8 of this Indenture; provided that the following conditions shall have been satisfied: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with reference to this Section 8.05 the Company irrevocably has deposited or caused to be deposited with the Trustee (or another qualifying trustee</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satisfying the requirements of Section 7.11) as trust funds in trust, for the purposes of making the following payments, specifically pledged as security for, and dedicated solely to, the benefit of the Holders of the Securities of such series, (A) money in an amount, (B) U.S. Government Obligations which through the payment of interest and principal in respect thereof in accordance with their terms will provide not later than one day before the due date of any payment referred to in subclause (x) or (y) of this clause (i), or (C) a combination thereof, in each case sufficient, in the written opinion of a nationally recognized firm of independent public accountants expressed in a written certification thereof delivered to the Trustee, to pay and discharge, without consideration of reinvestment and after payment of all federal, state and local taxes or other charges and assessments in respect thereof, and which shall be applied by the Trustee to pay and discharge (x) all of the Principal of, premium, if any, and each installment of interest on the outstanding Securities of such series on the maturity or due dates thereof or if the Company has made irrevocable arrangements satisfactory to the Trustee for the giving of notice of redemption by the Trustee, the redemption date, as the case may be, and (y) any mandatory sinking fund payments or analogous payments applicable to the Securities of such series on the day on which such payments are due and payable in accordance with the terms of Securities of such series and the Indenture with respect to the Securities of such series;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has delivered to the Trustee an Opinion of Counsel to the effect that, under then applicable U.S. federal income tax law, Holders of Securities of such series will not recognize income, gain or loss for federal income tax purposes as a result of the Company’s exercise of its option under this Section 8.05 and will be subject to federal income tax on the same amount and in the same manner and at the same times as would have been the case if such deposit, defeasance and discharge had not occurred;</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 Default under either clause (d) or clause (e) of Section 6.01 shall have occurred and be continuing at such time;</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at such time the Securities of such series are listed on a national securities exchange, the Company has delivered to the Trustee an Opinion of Counsel to the effect that the Securities of such series will not be delisted as a result of such deposit, defeasance and discharge;</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Company shall have delivered to the Trustee an Officers’ Certificate and an Opinion of Counsel, each stating that all conditions precedent to the defeasance and discharge under this Section have been complied with; and</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if the Securities of such series are to be redeemed prior to the final maturity thereof (other than from mandatory sinking fund payments or analogous payments), notice of such redemption shall have been duly given pursuant to this Indenture or provision therefor satisfactory to the Trustee shall have been made.</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8.06.</w:t>
        <w:tab/>
      </w:r>
      <w:r>
        <w:rPr>
          <w:rFonts w:ascii="Times New Roman;Times;Serif" w:hAnsi="Times New Roman;Times;Serif"/>
          <w:b w:val="false"/>
          <w:i/>
          <w:caps w:val="false"/>
          <w:smallCaps w:val="false"/>
          <w:sz w:val="20"/>
        </w:rPr>
        <w:t>Defeasance of Certain Obligations</w:t>
      </w:r>
      <w:r>
        <w:rPr>
          <w:rFonts w:ascii="Times New Roman;Times;Serif" w:hAnsi="Times New Roman;Times;Serif"/>
          <w:b w:val="false"/>
          <w:i w:val="false"/>
          <w:caps w:val="false"/>
          <w:smallCaps w:val="false"/>
          <w:sz w:val="20"/>
        </w:rPr>
        <w:t>.  The Company may omit to comply with any term, provision or condition set forth in, and this Indenture will no longer be in effect with respect to, any covenant established pursuant to Section 2.03(r) and clause (c) and clause (f) (with respect to any covenants established pursuant to Section 2.03(s)) of Section 6.01 shall be deemed not to constitute a Default or an Event of Default with respect to Securities of any series, if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 reference to this Section 8.06, the Company has irrevocably deposited or caused to be deposited with the Trustee (or another qualifying trustee satisfying the requirements of Section 7.11) as trust funds in trust, for the purposes of making the following payments, specifically pledged as security for, and dedicated solely to, the benefits of the Holders of the Securities of such series, (i) money in an amount, (ii) U.S. Government Obligations which through the payment of interest and principal in respect thereof in accordance with their terms will provide not later than one day before the due date of any payment referred to in subclause (x) or (y) of this clause (a), or (iii) a combination thereof, in each case sufficient, in the written opinion of a nationally recognized firm of independent public accountants expressed in a written certification thereof delivered to the Trustee, to pay and discharge, without consideration of reinvestment and after payment of all federal, state and local taxes or other charges and assessments in respect thereof, and which shall be applied by the Trustee to pay and discharge (x) all of the principal of, premium, if any, and each installment of interest on the outstanding Securities of such series on the maturity or due dates thereof or if the Company has made irrevocable arrangements satisfactory to the Trustee for the giving of notice of redemption by the Trustee, the redemption date, as the case may be, and (y) any mandatory sinking fund payments or analogous payments applicable to the Securities of such series on the day on which such payments are due and payable in accordance with the terms of the Securities of such series and the Indenture with respect to the Securities of such series;</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has delivered to the Trustee an Opinion of Counsel to the effect that Holders of Securities of such series will not recognize income, gain or loss for federal income tax purposes as a result of the Company’s exercise of its option under this Section 8.06 and will be subject to federal income tax on the same amount and in the same manner and at the same times as would have been the case if such deposit and defeasance had not occurred;</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Default with respect to the outstanding Securities of such series shall have occurred and be continuing at the time of such deposit immediately after giving effect to such deposit;</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at such time the Securities of such series are listed on a national securities exchange, the Company has delivered to the Trustee an Opinion of Counsel to the effect that the Securities of such series will not be delisted as a result of such deposit, defeasance and discharge;</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shall have delivered to the Trustee an Officers’ Certificate and an Opinion of Counsel, each stating that all conditions precedent to the defeasance  under this Section have been complied with; and</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if the Securities of such series are to be redeemed prior to the final maturity thereof (other than from mandatory sinking fund payments or analogous payments), notice of such redemption shall have been duly given pursuant to this Indenture or provision therefor satisfactory to the Trustee shall have been made.</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8.07.</w:t>
        <w:tab/>
      </w:r>
      <w:r>
        <w:rPr>
          <w:rFonts w:ascii="Times New Roman;Times;Serif" w:hAnsi="Times New Roman;Times;Serif"/>
          <w:b w:val="false"/>
          <w:i/>
          <w:caps w:val="false"/>
          <w:smallCaps w:val="false"/>
          <w:sz w:val="20"/>
        </w:rPr>
        <w:t>Reinstatement</w:t>
      </w:r>
      <w:r>
        <w:rPr>
          <w:rFonts w:ascii="Times New Roman;Times;Serif" w:hAnsi="Times New Roman;Times;Serif"/>
          <w:b w:val="false"/>
          <w:i w:val="false"/>
          <w:caps w:val="false"/>
          <w:smallCaps w:val="false"/>
          <w:sz w:val="20"/>
        </w:rPr>
        <w:t xml:space="preserve">.  If the Trustee or paying agent is unable to apply any monies or U.S. Government Obligations in accordance with Article 8 by reason of any legal proceeding or by reason of any order or judgment of any court or governmental authority enjoining, restraining or otherwise prohibiting such application, the Company’s obligations under this Indenture and the Securities shall be revived and reinstated as though no deposit had occurred pursuant to this Article until such time as the Trustee or paying agent is permitted to apply all such monies or U.S. Government Obligations in accordance with Article 8;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the Company has made any payment of Principal of or interest on any Securities because of the reinstatement of its obligations, the Company shall be subrogated to the rights of the Holders of such Securities to receive such payment from the monies or U.S. Government Obligations held by the Trustee or paying agent.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8.08.</w:t>
        <w:tab/>
      </w:r>
      <w:r>
        <w:rPr>
          <w:rFonts w:ascii="Times New Roman;Times;Serif" w:hAnsi="Times New Roman;Times;Serif"/>
          <w:b w:val="false"/>
          <w:i/>
          <w:caps w:val="false"/>
          <w:smallCaps w:val="false"/>
          <w:sz w:val="20"/>
        </w:rPr>
        <w:t>Indemnity</w:t>
      </w:r>
      <w:r>
        <w:rPr>
          <w:rFonts w:ascii="Times New Roman;Times;Serif" w:hAnsi="Times New Roman;Times;Serif"/>
          <w:b w:val="false"/>
          <w:i w:val="false"/>
          <w:caps w:val="false"/>
          <w:smallCaps w:val="false"/>
          <w:sz w:val="20"/>
        </w:rPr>
        <w:t>. The Company shall pay and indemnify the Trustee (or other qualifying trustee, collectively for purposes of this Section 8.08 and Section 8.02, the “Trustee”) against any tax, fee or other charge, imposed on or assessed against the U.S. Government Obligations deposited pursuant to Section 8.01, 8.05 or 8.06  or the principal or interest received in respect thereof other than any such tax, fee or other charge which by law is for the account of the Holders of the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8.09.</w:t>
        <w:tab/>
      </w:r>
      <w:r>
        <w:rPr>
          <w:rFonts w:ascii="Times New Roman;Times;Serif" w:hAnsi="Times New Roman;Times;Serif"/>
          <w:b w:val="false"/>
          <w:i/>
          <w:caps w:val="false"/>
          <w:smallCaps w:val="false"/>
          <w:sz w:val="20"/>
        </w:rPr>
        <w:t>Excess Funds</w:t>
      </w:r>
      <w:r>
        <w:rPr>
          <w:rFonts w:ascii="Times New Roman;Times;Serif" w:hAnsi="Times New Roman;Times;Serif"/>
          <w:b w:val="false"/>
          <w:i w:val="false"/>
          <w:caps w:val="false"/>
          <w:smallCaps w:val="false"/>
          <w:sz w:val="20"/>
        </w:rPr>
        <w:t>. Anything in this Article 8 to the contrary notwithstanding, the Trustee shall deliver or pay to the Company from time to time upon request of the Company, any money or U.S. Government Obligations (or other property and any proceeds therefrom) held by it as provided in Section 8.01, 8.05 or 8.06 which, in the opinion of a nationally recognized firm of Independent Public Accountants expressed in a written certification thereof delivered to the Trustee, are in excess of the amount thereof which would then be required to be deposited to effect a discharge or defeasance, as applicable, in accordance with this Article 8.</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8.10.</w:t>
        <w:tab/>
      </w:r>
      <w:r>
        <w:rPr>
          <w:rFonts w:ascii="Times New Roman;Times;Serif" w:hAnsi="Times New Roman;Times;Serif"/>
          <w:b w:val="false"/>
          <w:i/>
          <w:caps w:val="false"/>
          <w:smallCaps w:val="false"/>
          <w:sz w:val="20"/>
        </w:rPr>
        <w:t>Qualifying Trustee</w:t>
      </w:r>
      <w:r>
        <w:rPr>
          <w:rFonts w:ascii="Times New Roman;Times;Serif" w:hAnsi="Times New Roman;Times;Serif"/>
          <w:b w:val="false"/>
          <w:i w:val="false"/>
          <w:caps w:val="false"/>
          <w:smallCaps w:val="false"/>
          <w:sz w:val="20"/>
        </w:rPr>
        <w:t>. Any trustee appointed pursuant to Section 8.05 or 8.06 for the purpose of holding money or U.S. Government Obligations deposited pursuant to such Sections shall be appointed under an agreement in form acceptable to the Trustee and shall provide to the Trustee a certificate, upon which certificate the Trustee shall be entitled to conclusively rely, that all conditions precedent provided for herein to the related defeasance have been complied with.  In no event shall the Trustee be liable for any acts or omissions of said trustee.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9</w:t>
      </w:r>
      <w:r>
        <w:rPr>
          <w:rFonts w:ascii="Times New Roman;Times;Serif" w:hAnsi="Times New Roman;Times;Serif"/>
          <w:b w:val="false"/>
          <w:i w:val="false"/>
          <w:smallCaps/>
          <w:sz w:val="20"/>
        </w:rPr>
        <w:br/>
        <w:t>AMENDMENTS, SUPPLEMENTS AND WAIVERS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9.01.</w:t>
        <w:tab/>
      </w:r>
      <w:r>
        <w:rPr>
          <w:rFonts w:ascii="Times New Roman;Times;Serif" w:hAnsi="Times New Roman;Times;Serif"/>
          <w:b w:val="false"/>
          <w:i/>
          <w:caps w:val="false"/>
          <w:smallCaps w:val="false"/>
          <w:sz w:val="20"/>
        </w:rPr>
        <w:t>Without Consent of Holders</w:t>
      </w:r>
      <w:r>
        <w:rPr>
          <w:rFonts w:ascii="Times New Roman;Times;Serif" w:hAnsi="Times New Roman;Times;Serif"/>
          <w:b w:val="false"/>
          <w:i w:val="false"/>
          <w:caps w:val="false"/>
          <w:smallCaps w:val="false"/>
          <w:sz w:val="20"/>
        </w:rPr>
        <w:t>.  The Company and the Trustee may amend or supplement this Indenture or the Securities of any series without notice to or the consent of any Holder: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cure any ambiguity, defect or inconsistency in this Indenture;</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comply with Article 5;</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comply with any requirements of the Commission in connection with the qualification of this Indenture under the Trust Indenture Act;</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evidence and provide for the acceptance of appointment hereunder with respect to the Securities of any or all series by a successor Trustee and to add to or change any of the provisions of this Indenture as shall be necessary to provide for or facilitate the administration of the trusts hereunder by more than one Trustee, pursuant to the requirements of Section 7.09;</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establish the form or forms or terms of Securities of any series as permitted by Section 2.03;</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provide for uncertificated Securities and to make all appropriate changes for such purpose;</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conform any provision to the applicable corresponding provision set forth in the offering document for the offering of such series of Securities; and</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to make any change that does not materially and adversely affect the rights of any Holder.</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9.02.</w:t>
        <w:tab/>
      </w:r>
      <w:r>
        <w:rPr>
          <w:rFonts w:ascii="Times New Roman;Times;Serif" w:hAnsi="Times New Roman;Times;Serif"/>
          <w:b w:val="false"/>
          <w:i/>
          <w:caps w:val="false"/>
          <w:smallCaps w:val="false"/>
          <w:sz w:val="20"/>
        </w:rPr>
        <w:t>With Consent of Holders</w:t>
      </w:r>
      <w:r>
        <w:rPr>
          <w:rFonts w:ascii="Times New Roman;Times;Serif" w:hAnsi="Times New Roman;Times;Serif"/>
          <w:b w:val="false"/>
          <w:i w:val="false"/>
          <w:caps w:val="false"/>
          <w:smallCaps w:val="false"/>
          <w:sz w:val="20"/>
        </w:rPr>
        <w:t>.  Subject to Sections 6.04 and 6.07, without prior notice to any Holders, the Company and the Trustee may amend this Indenture and the Securities of any series with the written consent of the Holders of a majority in principal amount of the outstanding Securities of each series affected by such amendment (all such series voting together as a single class), and the Holders of a majority in principal amount of the outstanding Securities of each series affected thereby (all such series voting together as a single class) by written notice to the Trustee may waive future compliance by the Company with any provision of this Indenture or the Securities of such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provisions of this Section 9.02, without the consent of each Holder affected thereby, an amendment or waiver, including a waiver pursuant to Section 6.04, may not: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change the stated maturity of the Principal of, or any sinking fund obligation or any installment of interest on, such Holder’s Security,</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reduce the Principal amount thereof or the rate of interest thereon (including any amount in respect of original issue discount);</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reduce the above stated percentage of outstanding Securities the consent of whose holders is necessary to modify or amend the Indenture with respect to the Securities of the relevant series; and</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reduce the percentage in principal amount of outstanding Securities of the relevant series the consent of whose Holders is required for any supplemental indenture or for any waiver of compliance with certain provisions of this Indenture or certain Defaults and their consequences provided for in this Indenture.</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supplemental indenture which changes or eliminates any covenant or other provision of this Indenture which has expressly been included solely for the benefit of one or more particular series of Securities, or which modifies the rights of Holders of Securities of such series with respect to such covenant or provision, shall be deemed not to affect the rights under this Indenture of the Holders of Securities of any other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shall not be necessary for the consent of any Holder under this Section 9.02 to approve the particular form of any proposed amendment, supplement or waiver, but it shall be sufficient if such consent approves the substance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an amendment, supplement or waiver under this Section 9.02 becomes effective, the Company shall give to the Holders affected thereby a notice briefly describing the amendment, supplement or waiver.  The Company will mail supplemental indentures to Holders upon request.  Any failure of the Company to mail such notice, or any defect therein, shall not, however, in any way impair or affect the validity of any such supplemental indenture or waiver.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9.03.</w:t>
        <w:tab/>
      </w:r>
      <w:r>
        <w:rPr>
          <w:rFonts w:ascii="Times New Roman;Times;Serif" w:hAnsi="Times New Roman;Times;Serif"/>
          <w:b w:val="false"/>
          <w:i/>
          <w:caps w:val="false"/>
          <w:smallCaps w:val="false"/>
          <w:sz w:val="20"/>
        </w:rPr>
        <w:t>Revocation and Effect of Consent</w:t>
      </w:r>
      <w:r>
        <w:rPr>
          <w:rFonts w:ascii="Times New Roman;Times;Serif" w:hAnsi="Times New Roman;Times;Serif"/>
          <w:b w:val="false"/>
          <w:i w:val="false"/>
          <w:caps w:val="false"/>
          <w:smallCaps w:val="false"/>
          <w:sz w:val="20"/>
        </w:rPr>
        <w:t>.  Until an amendment or waiver becomes effective, a consent to it by a Holder is a continuing consent by the Holder and every subsequent Holder of a Security or portion of a Security that evidences the same debt as the Security of the consenting Holder, even if notation of the consent is not made on any Security.  However, any such Holder or subsequent Holder may revoke the consent as to its Security or portion of its Security.  Such revocation shall be effective only if the Trustee receives the notice of revocation before the date the amendment, supplement or waiver becomes effective.  An amendment, supplement or waiver shall become effective with respect to any Securities affected thereby on receipt by the Trustee of written consents from the requisite Holders of outstanding Securities affected thereby.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but shall not be obligated to, fix a record date (which may be not less than five nor more than 60 days prior to the solicitation of consents) for the purpose of determining the Holders of the Securities of any series affected entitled to consent to any amendment, supplement or waiver.  If a record date is fixed, then, notwithstanding the immediately preceding paragraph, those Persons who were such Holders at such record date (or their duly designated proxies) and only those Persons shall be entitled to consent to such amendment, supplement or waiver or to revoke 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previously given, whether or not such Persons continue to be such Holders after such record date.  No such consent shall be valid or effective for more than 90 days after such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an amendment, supplement or waiver becomes effective with respect to the Securities of any series affected thereby, it shall bind every Holder of such Securities unless it is of the type described in any of clauses (a) through (d) of Section 9.02.  In case of an amendment or waiver of the type described in clauses (a) through (d) of Section 9.02, the amendment or waiver shall bind each such Holder who has consented to it and every subsequent Holder of a Security that evidences the same indebtedness as the Security of the consenting Holder.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9.04.</w:t>
        <w:tab/>
      </w:r>
      <w:r>
        <w:rPr>
          <w:rFonts w:ascii="Times New Roman;Times;Serif" w:hAnsi="Times New Roman;Times;Serif"/>
          <w:b w:val="false"/>
          <w:i/>
          <w:caps w:val="false"/>
          <w:smallCaps w:val="false"/>
          <w:sz w:val="20"/>
        </w:rPr>
        <w:t>Notation on or Exchange of Securities</w:t>
      </w:r>
      <w:r>
        <w:rPr>
          <w:rFonts w:ascii="Times New Roman;Times;Serif" w:hAnsi="Times New Roman;Times;Serif"/>
          <w:b w:val="false"/>
          <w:i w:val="false"/>
          <w:caps w:val="false"/>
          <w:smallCaps w:val="false"/>
          <w:sz w:val="20"/>
        </w:rPr>
        <w:t>.  If an amendment, supplement or waiver changes the terms of any Security, the Trustee may require the Holder thereof to deliver it to the Trustee.  The Trustee may place an appropriate notation on the Security about the changed terms and return it to the Holder and the Trustee may place an appropriate notation on any Security of such series thereafter authenticated.  Alternatively, if the Company or the Trustee so determines, the Company in exchange for the Security shall issue and the Trustee shall authenticate a new Security of the same series and tenor that reflects the changed terms.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9.05.</w:t>
        <w:tab/>
      </w:r>
      <w:r>
        <w:rPr>
          <w:rFonts w:ascii="Times New Roman;Times;Serif" w:hAnsi="Times New Roman;Times;Serif"/>
          <w:b w:val="false"/>
          <w:i/>
          <w:caps w:val="false"/>
          <w:smallCaps w:val="false"/>
          <w:sz w:val="20"/>
        </w:rPr>
        <w:t>Trustee to Sign Amendments, Etc</w:t>
      </w:r>
      <w:r>
        <w:rPr>
          <w:rFonts w:ascii="Times New Roman;Times;Serif" w:hAnsi="Times New Roman;Times;Serif"/>
          <w:b w:val="false"/>
          <w:i w:val="false"/>
          <w:caps w:val="false"/>
          <w:smallCaps w:val="false"/>
          <w:sz w:val="20"/>
        </w:rPr>
        <w:t>.  The Trustee shall be entitled to receive, and shall be fully protected in relying upon, an Opinion of Counsel stating that the execution of any amendment, supplement or waiver authorized pursuant to this Article 9 is authorized or permitted by this Indenture, stating that all requisite consents have been obtained or that no consents are required and stating that such supplemental indenture constitutes the legal, valid and binding obligation of the Company, enforceable against the Company in accordance with its terms, subject to customary exceptions.  The Trustee may, but shall not be obligated to, execute any such amendment, supplement or waiver that affects the Trustee’s own rights, duties or immunities under this Indenture or otherwise.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9.06.</w:t>
        <w:tab/>
      </w:r>
      <w:r>
        <w:rPr>
          <w:rFonts w:ascii="Times New Roman;Times;Serif" w:hAnsi="Times New Roman;Times;Serif"/>
          <w:b w:val="false"/>
          <w:i/>
          <w:caps w:val="false"/>
          <w:smallCaps w:val="false"/>
          <w:sz w:val="20"/>
        </w:rPr>
        <w:t>Conformity with Trust Indenture Act</w:t>
      </w:r>
      <w:r>
        <w:rPr>
          <w:rFonts w:ascii="Times New Roman;Times;Serif" w:hAnsi="Times New Roman;Times;Serif"/>
          <w:b w:val="false"/>
          <w:i w:val="false"/>
          <w:caps w:val="false"/>
          <w:smallCaps w:val="false"/>
          <w:sz w:val="20"/>
        </w:rPr>
        <w:t>.  Every supplemental indenture executed pursuant to this Article 9 shall conform to the requirements of the Trust Indenture Act as then in effect.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10</w:t>
      </w:r>
      <w:r>
        <w:rPr>
          <w:rFonts w:ascii="Times New Roman;Times;Serif" w:hAnsi="Times New Roman;Times;Serif"/>
          <w:b w:val="false"/>
          <w:i w:val="false"/>
          <w:smallCaps/>
          <w:sz w:val="20"/>
        </w:rPr>
        <w:br/>
        <w:t>MISCELLANEOUS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10.01.</w:t>
        <w:tab/>
      </w:r>
      <w:r>
        <w:rPr>
          <w:rFonts w:ascii="Times New Roman;Times;Serif" w:hAnsi="Times New Roman;Times;Serif"/>
          <w:b w:val="false"/>
          <w:i/>
          <w:caps w:val="false"/>
          <w:smallCaps w:val="false"/>
          <w:sz w:val="20"/>
        </w:rPr>
        <w:t>Trust Indenture Act of 1939</w:t>
      </w:r>
      <w:r>
        <w:rPr>
          <w:rFonts w:ascii="Times New Roman;Times;Serif" w:hAnsi="Times New Roman;Times;Serif"/>
          <w:b w:val="false"/>
          <w:i w:val="false"/>
          <w:caps w:val="false"/>
          <w:smallCaps w:val="false"/>
          <w:sz w:val="20"/>
        </w:rPr>
        <w:t>.  This Indenture shall incorporate and be governed by the provisions of the Trust Indenture Act that are required to be part of and to govern indentures qualified under the Trust Indenture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10.02.</w:t>
        <w:tab/>
      </w:r>
      <w:r>
        <w:rPr>
          <w:rFonts w:ascii="Times New Roman;Times;Serif" w:hAnsi="Times New Roman;Times;Serif"/>
          <w:b w:val="false"/>
          <w:i/>
          <w:caps w:val="false"/>
          <w:smallCaps w:val="false"/>
          <w:sz w:val="20"/>
        </w:rPr>
        <w:t>Notices</w:t>
      </w:r>
      <w:r>
        <w:rPr>
          <w:rFonts w:ascii="Times New Roman;Times;Serif" w:hAnsi="Times New Roman;Times;Serif"/>
          <w:b w:val="false"/>
          <w:i w:val="false"/>
          <w:caps w:val="false"/>
          <w:smallCaps w:val="false"/>
          <w:sz w:val="20"/>
        </w:rPr>
        <w:t>.  Any notice or communication shall be sufficiently given if written and (a) if delivered in person when received or (b) if mailed by first class mail 5 days after mailing, or (c) as between the Company and the Trustee if sent by facsimile transmission, when transmission is confirmed, in each case addressed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Figure Technology Solutions, Inc.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West Liberty Street, Suite 600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Reno, Nevada 89501</w:t>
        <w:br/>
        <w:t>Attention:  Chief Legal Officer</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Trustee: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or the Trustee by written notice to the other may designate additional or different addresses for subsequent notices or communications.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or communication shall be sufficiently given to Holders by mailing to such Holders at their addresses as they shall appear on the Security Register.  Notice mailed shall be sufficiently given if so mailed within the time prescribed.  Copies of any such communication or notice to a Holder shall also be mailed to the Trustee and each Agent at the same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mail a notice or communication to a Holder or any defect in it shall not affect its sufficiency with respect to other Holders.  Except as otherwise provided in this Indenture, if a notice or communication is mailed in the manner provided in this Section 10.02, it is duly given, whether or not the addressee receives it.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it shall be impracticable to give notice as herein contemplated, then such notification as shall be made with the approval of the Trustee shall constitute a sufficient notification for every purpose 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10.03.</w:t>
        <w:tab/>
      </w:r>
      <w:r>
        <w:rPr>
          <w:rFonts w:ascii="Times New Roman;Times;Serif" w:hAnsi="Times New Roman;Times;Serif"/>
          <w:b w:val="false"/>
          <w:i/>
          <w:caps w:val="false"/>
          <w:smallCaps w:val="false"/>
          <w:sz w:val="20"/>
        </w:rPr>
        <w:t>Certificate and Opinion as to Conditions Precedent</w:t>
      </w:r>
      <w:r>
        <w:rPr>
          <w:rFonts w:ascii="Times New Roman;Times;Serif" w:hAnsi="Times New Roman;Times;Serif"/>
          <w:b w:val="false"/>
          <w:i w:val="false"/>
          <w:caps w:val="false"/>
          <w:smallCaps w:val="false"/>
          <w:sz w:val="20"/>
        </w:rPr>
        <w:t>.  Upon any request or application by the Company to the Trustee to take any action under this Indenture, the Company shall furnish to the Trustee: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 Officers’ Certificate stating that, in the opinion of the signers, all conditions precedent, if any, provided for in this Indenture relating to the proposed action have been complied with; and</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 Opinion of Counsel stating that, in the opinion of such counsel, all such conditions precedent have been complied with.</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10.04.</w:t>
        <w:tab/>
      </w:r>
      <w:r>
        <w:rPr>
          <w:rFonts w:ascii="Times New Roman;Times;Serif" w:hAnsi="Times New Roman;Times;Serif"/>
          <w:b w:val="false"/>
          <w:i/>
          <w:caps w:val="false"/>
          <w:smallCaps w:val="false"/>
          <w:sz w:val="20"/>
        </w:rPr>
        <w:t>Statements Required in Certificate or Opinion</w:t>
      </w:r>
      <w:r>
        <w:rPr>
          <w:rFonts w:ascii="Times New Roman;Times;Serif" w:hAnsi="Times New Roman;Times;Serif"/>
          <w:b w:val="false"/>
          <w:i w:val="false"/>
          <w:caps w:val="false"/>
          <w:smallCaps w:val="false"/>
          <w:sz w:val="20"/>
        </w:rPr>
        <w:t>.  Each certificate or opinion with respect to compliance with a condition or covenant provided for in this Indenture (other than the certificate required by Section 4.04) shall include: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statement that each person signing such certificate or opinion has read such covenant or condition and the definitions herein relating thereto;</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brief statement as to the nature and scope of the examination or investigation upon which the statement or opinion contained in such certificate or opinion is based;</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statement that, in the opinion of each such person, he has made such examination or investigation as is necessary to enable him to express an informed opinion as to whether or not such covenant or condition has been complied with; and</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 statement as to whether or not, in the opinion of each such person, such condition or covenant has been complied with;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with respect to matters of fact, an Opinion of Counsel may rely on an Officers’ Certificate or certificates of public officials.</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10.05.</w:t>
        <w:tab/>
      </w:r>
      <w:r>
        <w:rPr>
          <w:rFonts w:ascii="Times New Roman;Times;Serif" w:hAnsi="Times New Roman;Times;Serif"/>
          <w:b w:val="false"/>
          <w:i/>
          <w:caps w:val="false"/>
          <w:smallCaps w:val="false"/>
          <w:sz w:val="20"/>
        </w:rPr>
        <w:t>Evidence of Ownership</w:t>
      </w:r>
      <w:r>
        <w:rPr>
          <w:rFonts w:ascii="Times New Roman;Times;Serif" w:hAnsi="Times New Roman;Times;Serif"/>
          <w:b w:val="false"/>
          <w:i w:val="false"/>
          <w:caps w:val="false"/>
          <w:smallCaps w:val="false"/>
          <w:sz w:val="20"/>
        </w:rPr>
        <w:t>.  The Company, the Trustee and any agent of the Company or the Trustee may deem and treat the person in whose name any Security shall be registered upon the Security Register for such series as the absolute owner of such Security (whether or not such Security shall be overdue and notwithstanding any notation of ownership or other writing thereon) for the purpose of receiving payment of or on account of the Principal of and, subject to the provisions of this Indenture, interest on such Security and for all other purposes; and neither the Company nor the Trustee nor any agent of the Company or the Trustee shall be affected by any notice to the contrary.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10.06.</w:t>
        <w:tab/>
      </w:r>
      <w:r>
        <w:rPr>
          <w:rFonts w:ascii="Times New Roman;Times;Serif" w:hAnsi="Times New Roman;Times;Serif"/>
          <w:b w:val="false"/>
          <w:i/>
          <w:caps w:val="false"/>
          <w:smallCaps w:val="false"/>
          <w:sz w:val="20"/>
        </w:rPr>
        <w:t>Rules by Trustee, Paying Agent or Registrar</w:t>
      </w:r>
      <w:r>
        <w:rPr>
          <w:rFonts w:ascii="Times New Roman;Times;Serif" w:hAnsi="Times New Roman;Times;Serif"/>
          <w:b w:val="false"/>
          <w:i w:val="false"/>
          <w:caps w:val="false"/>
          <w:smallCaps w:val="false"/>
          <w:sz w:val="20"/>
        </w:rPr>
        <w:t>.  The Trustee may make reasonable rules for action by or at a meeting of Holders.  The Paying Agent or Registrar may make reasonable rules for its functions.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10.07.</w:t>
        <w:tab/>
      </w:r>
      <w:r>
        <w:rPr>
          <w:rFonts w:ascii="Times New Roman;Times;Serif" w:hAnsi="Times New Roman;Times;Serif"/>
          <w:b w:val="false"/>
          <w:i/>
          <w:caps w:val="false"/>
          <w:smallCaps w:val="false"/>
          <w:sz w:val="20"/>
        </w:rPr>
        <w:t>Payment Date Other Than a Business Day</w:t>
      </w:r>
      <w:r>
        <w:rPr>
          <w:rFonts w:ascii="Times New Roman;Times;Serif" w:hAnsi="Times New Roman;Times;Serif"/>
          <w:b w:val="false"/>
          <w:i w:val="false"/>
          <w:caps w:val="false"/>
          <w:smallCaps w:val="false"/>
          <w:sz w:val="20"/>
        </w:rPr>
        <w:t>.  Except as otherwise provided with respect to a series of Securities, if any date for payment of Principal or interest on any Security shall not be a Business Day at any place of payment, then payment of Principal of or interest on such Security, as the case may be, need not be made on such date, but may be made on the next succeeding Business Day at any place of payment with the same force and effect as if made on such date and no interest shall accrue in respect of such payment for the period from and after such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10.08.</w:t>
        <w:tab/>
      </w:r>
      <w:r>
        <w:rPr>
          <w:rFonts w:ascii="Times New Roman;Times;Serif" w:hAnsi="Times New Roman;Times;Serif"/>
          <w:b w:val="false"/>
          <w:i/>
          <w:caps w:val="false"/>
          <w:smallCaps w:val="false"/>
          <w:sz w:val="20"/>
        </w:rPr>
        <w:t>Governing Law</w:t>
      </w:r>
      <w:r>
        <w:rPr>
          <w:rFonts w:ascii="Times New Roman;Times;Serif" w:hAnsi="Times New Roman;Times;Serif"/>
          <w:b w:val="false"/>
          <w:i w:val="false"/>
          <w:caps w:val="false"/>
          <w:smallCaps w:val="false"/>
          <w:sz w:val="20"/>
        </w:rPr>
        <w:t>.  The laws of the State of New York shall govern this Indenture and the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10.09.</w:t>
        <w:tab/>
      </w:r>
      <w:r>
        <w:rPr>
          <w:rFonts w:ascii="Times New Roman;Times;Serif" w:hAnsi="Times New Roman;Times;Serif"/>
          <w:b w:val="false"/>
          <w:i/>
          <w:caps w:val="false"/>
          <w:smallCaps w:val="false"/>
          <w:sz w:val="20"/>
        </w:rPr>
        <w:t>No Adverse Interpretation of Other Agreements</w:t>
      </w:r>
      <w:r>
        <w:rPr>
          <w:rFonts w:ascii="Times New Roman;Times;Serif" w:hAnsi="Times New Roman;Times;Serif"/>
          <w:b w:val="false"/>
          <w:i w:val="false"/>
          <w:caps w:val="false"/>
          <w:smallCaps w:val="false"/>
          <w:sz w:val="20"/>
        </w:rPr>
        <w:t>.  This Indenture may not be used to interpret another indenture or loan or debt agreement of the Company or any Subsidiary of the Company.  Any such indenture or agreement may not be used to interpret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10.10.</w:t>
        <w:tab/>
      </w:r>
      <w:r>
        <w:rPr>
          <w:rFonts w:ascii="Times New Roman;Times;Serif" w:hAnsi="Times New Roman;Times;Serif"/>
          <w:b w:val="false"/>
          <w:i/>
          <w:caps w:val="false"/>
          <w:smallCaps w:val="false"/>
          <w:sz w:val="20"/>
        </w:rPr>
        <w:t>Successors</w:t>
      </w:r>
      <w:r>
        <w:rPr>
          <w:rFonts w:ascii="Times New Roman;Times;Serif" w:hAnsi="Times New Roman;Times;Serif"/>
          <w:b w:val="false"/>
          <w:i w:val="false"/>
          <w:caps w:val="false"/>
          <w:smallCaps w:val="false"/>
          <w:sz w:val="20"/>
        </w:rPr>
        <w:t>.  All agreements of the Company in this Indenture and the Securities shall bind its successors.  All agreements of the Trustee in this Indenture shall bind its successors.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10.11.</w:t>
        <w:tab/>
      </w:r>
      <w:r>
        <w:rPr>
          <w:rFonts w:ascii="Times New Roman;Times;Serif" w:hAnsi="Times New Roman;Times;Serif"/>
          <w:b w:val="false"/>
          <w:i/>
          <w:caps w:val="false"/>
          <w:smallCaps w:val="false"/>
          <w:sz w:val="20"/>
        </w:rPr>
        <w:t>Duplicate Originals</w:t>
      </w:r>
      <w:r>
        <w:rPr>
          <w:rFonts w:ascii="Times New Roman;Times;Serif" w:hAnsi="Times New Roman;Times;Serif"/>
          <w:b w:val="false"/>
          <w:i w:val="false"/>
          <w:caps w:val="false"/>
          <w:smallCaps w:val="false"/>
          <w:sz w:val="20"/>
        </w:rPr>
        <w:t>.  The parties may sign any number of copies of this Indenture.  Each signed copy shall be an original, but all of them together represent the same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10.12.</w:t>
        <w:tab/>
      </w:r>
      <w:r>
        <w:rPr>
          <w:rFonts w:ascii="Times New Roman;Times;Serif" w:hAnsi="Times New Roman;Times;Serif"/>
          <w:b w:val="false"/>
          <w:i/>
          <w:caps w:val="false"/>
          <w:smallCaps w:val="false"/>
          <w:sz w:val="20"/>
        </w:rPr>
        <w:t>Separability</w:t>
      </w:r>
      <w:r>
        <w:rPr>
          <w:rFonts w:ascii="Times New Roman;Times;Serif" w:hAnsi="Times New Roman;Times;Serif"/>
          <w:b w:val="false"/>
          <w:i w:val="false"/>
          <w:caps w:val="false"/>
          <w:smallCaps w:val="false"/>
          <w:sz w:val="20"/>
        </w:rPr>
        <w:t>.  In case any provision in this Indenture or in the Securities shall be invalid, illegal or unenforceable, the validity, legality and enforceability of the remaining provisions shall not in any way be affected or impaired thereby.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10.13.</w:t>
        <w:tab/>
      </w:r>
      <w:r>
        <w:rPr>
          <w:rFonts w:ascii="Times New Roman;Times;Serif" w:hAnsi="Times New Roman;Times;Serif"/>
          <w:b w:val="false"/>
          <w:i/>
          <w:caps w:val="false"/>
          <w:smallCaps w:val="false"/>
          <w:sz w:val="20"/>
        </w:rPr>
        <w:t>Table of Contents, Headings, Etc</w:t>
      </w:r>
      <w:r>
        <w:rPr>
          <w:rFonts w:ascii="Times New Roman;Times;Serif" w:hAnsi="Times New Roman;Times;Serif"/>
          <w:b w:val="false"/>
          <w:i w:val="false"/>
          <w:caps w:val="false"/>
          <w:smallCaps w:val="false"/>
          <w:sz w:val="20"/>
        </w:rPr>
        <w:t>.  The Table of Contents and headings of the Articles and Sections of this Indenture have been inserted for convenience of reference only, are not to be considered a part hereof and shall in no way modify or restrict any of the terms and provisions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10.14.</w:t>
        <w:tab/>
      </w:r>
      <w:r>
        <w:rPr>
          <w:rFonts w:ascii="Times New Roman;Times;Serif" w:hAnsi="Times New Roman;Times;Serif"/>
          <w:b w:val="false"/>
          <w:i/>
          <w:caps w:val="false"/>
          <w:smallCaps w:val="false"/>
          <w:sz w:val="20"/>
        </w:rPr>
        <w:t>Incorporators, Stockholders, Officers and Directors of Company Exempt from Individual Liability</w:t>
      </w:r>
      <w:r>
        <w:rPr>
          <w:rFonts w:ascii="Times New Roman;Times;Serif" w:hAnsi="Times New Roman;Times;Serif"/>
          <w:b w:val="false"/>
          <w:i w:val="false"/>
          <w:caps w:val="false"/>
          <w:smallCaps w:val="false"/>
          <w:sz w:val="20"/>
        </w:rPr>
        <w:t>.  No recourse under or upon any obligation, covenant or agreement contained in this Indenture or any indenture supplemental hereto, or in any Security, or because of any indebtedness evidenced thereby, shall be had against any incorporator, as such or against any past, present or future stockholder, officer, director or employee, as such, of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Securities by the holders thereof and as part of the consideration for the issue of the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10.15.</w:t>
        <w:tab/>
      </w:r>
      <w:r>
        <w:rPr>
          <w:rFonts w:ascii="Times New Roman;Times;Serif" w:hAnsi="Times New Roman;Times;Serif"/>
          <w:b w:val="false"/>
          <w:i/>
          <w:caps w:val="false"/>
          <w:smallCaps w:val="false"/>
          <w:sz w:val="20"/>
        </w:rPr>
        <w:t>Judgment Currency</w:t>
      </w:r>
      <w:r>
        <w:rPr>
          <w:rFonts w:ascii="Times New Roman;Times;Serif" w:hAnsi="Times New Roman;Times;Serif"/>
          <w:b w:val="false"/>
          <w:i w:val="false"/>
          <w:caps w:val="false"/>
          <w:smallCaps w:val="false"/>
          <w:sz w:val="20"/>
        </w:rPr>
        <w:t>.  The Company agrees, to the fullest extent that it may effectively do so under applicable law, that ii) if for the purpose of obtaining judgment in any court it is necessary to convert the sum due in respect of the Principal of or interest on the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Business Day, then, to the extent permitted by applicable law, the rate of exchange used shall be the rate at which in accordance with normal banking procedures the Trustee could purchase in The City of New York the Required Currency with the Judgment Currency on the Business Day preceding the day on which final unappealable judgment is entered and iii) its obligations under this Indenture to make payments in the Required Currency (i) shall not be discharged or satisfied by any tender, or any recovery pursuant to any judgment (whether or not entered in accordance with subsection (a)), in any currency other than the Required Currency, except to the extent that such tender or recovery shall result in the actual receipt, by the payee, of the full amount of the Required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10.16.</w:t>
        <w:tab/>
      </w:r>
      <w:r>
        <w:rPr>
          <w:rFonts w:ascii="Times New Roman;Times;Serif" w:hAnsi="Times New Roman;Times;Serif"/>
          <w:b w:val="false"/>
          <w:i/>
          <w:caps w:val="false"/>
          <w:smallCaps w:val="false"/>
          <w:sz w:val="20"/>
        </w:rPr>
        <w:t>Waiver of Jury Trial</w:t>
      </w:r>
      <w:r>
        <w:rPr>
          <w:rFonts w:ascii="Times New Roman;Times;Serif" w:hAnsi="Times New Roman;Times;Serif"/>
          <w:b w:val="false"/>
          <w:i w:val="false"/>
          <w:caps w:val="false"/>
          <w:smallCaps w:val="false"/>
          <w:sz w:val="20"/>
        </w:rPr>
        <w:t>. EACH OF THE COMPANY AND THE TRUSTEE IRREVOCABLY WAIVES, TO THE FULLEST EXTENT PERMITTED BY APPLICABLE LAW, ANY AND ALL RIGHT TO TRIAL BY JURY IN ANY LEGAL PROCEEDING ARISING OUT OF OR RELATING TO THIS INDENTURE, THE SECURITIES OR THE TRANSACTIONS CONTEMPLATED HEREBY.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10.17.</w:t>
        <w:tab/>
      </w:r>
      <w:r>
        <w:rPr>
          <w:rFonts w:ascii="Times New Roman;Times;Serif" w:hAnsi="Times New Roman;Times;Serif"/>
          <w:b w:val="false"/>
          <w:i/>
          <w:caps w:val="false"/>
          <w:smallCaps w:val="false"/>
          <w:sz w:val="20"/>
        </w:rPr>
        <w:t>Force Majeure</w:t>
      </w:r>
      <w:r>
        <w:rPr>
          <w:rFonts w:ascii="Times New Roman;Times;Serif" w:hAnsi="Times New Roman;Times;Serif"/>
          <w:b w:val="false"/>
          <w:i w:val="false"/>
          <w:caps w:val="false"/>
          <w:smallCaps w:val="false"/>
          <w:sz w:val="20"/>
        </w:rPr>
        <w:t>.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11</w:t>
      </w:r>
      <w:r>
        <w:rPr>
          <w:rFonts w:ascii="Times New Roman;Times;Serif" w:hAnsi="Times New Roman;Times;Serif"/>
          <w:b w:val="false"/>
          <w:i w:val="false"/>
          <w:smallCaps/>
          <w:sz w:val="20"/>
        </w:rPr>
        <w:br/>
        <w:t>SUBORDINATION OF SECURITIES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11.01.</w:t>
        <w:tab/>
      </w:r>
      <w:r>
        <w:rPr>
          <w:rFonts w:ascii="Times New Roman;Times;Serif" w:hAnsi="Times New Roman;Times;Serif"/>
          <w:b w:val="false"/>
          <w:i/>
          <w:caps w:val="false"/>
          <w:smallCaps w:val="false"/>
          <w:sz w:val="20"/>
        </w:rPr>
        <w:t>Agreement to Subordinate</w:t>
      </w:r>
      <w:r>
        <w:rPr>
          <w:rFonts w:ascii="Times New Roman;Times;Serif" w:hAnsi="Times New Roman;Times;Serif"/>
          <w:b w:val="false"/>
          <w:i w:val="false"/>
          <w:caps w:val="false"/>
          <w:smallCaps w:val="false"/>
          <w:sz w:val="20"/>
        </w:rPr>
        <w:t>. The Company covenants and agrees, and each Holder of a Security issued hereunder, by his acceptance thereof, likewise covenants and agrees, that all Securities shall be issued subject to the provisions of this Article; and each Person holding any Security, whether upon original issue or upon transfer, assignment or exchange thereof, accepts and agrees that the principal of and interest on all Securities issued hereunder shall, to the extent and in the manner herein set forth, be subordinated and subject in right of payment to the prior payment in full of all Senior Indebtedness, and that the subordination is for the benefit of the holders of the Senior Indebtedness.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11.02.</w:t>
        <w:tab/>
      </w:r>
      <w:r>
        <w:rPr>
          <w:rFonts w:ascii="Times New Roman;Times;Serif" w:hAnsi="Times New Roman;Times;Serif"/>
          <w:b w:val="false"/>
          <w:i/>
          <w:caps w:val="false"/>
          <w:smallCaps w:val="false"/>
          <w:sz w:val="20"/>
        </w:rPr>
        <w:t>Payments to Securityholders</w:t>
      </w:r>
      <w:r>
        <w:rPr>
          <w:rFonts w:ascii="Times New Roman;Times;Serif" w:hAnsi="Times New Roman;Times;Serif"/>
          <w:b w:val="false"/>
          <w:i w:val="false"/>
          <w:caps w:val="false"/>
          <w:smallCaps w:val="false"/>
          <w:sz w:val="20"/>
        </w:rPr>
        <w:t>. As to each series of Securities, if any, issued hereunder, in the event iv) of any insolvency or bankruptcy proceedings, or any receivership, dissolution, winding-up, total or partial liquidation, reorganization or other similar proceedings in respect of the Company or a substantial part of its property, whether voluntary or involuntary, or v) that (1) a default shall have occurred with respect to the payment of principal of or interest on or other monetary amounts due and payable with respect to any Senior Indebtedness, or (2) there shall have occurred an event of default (other than a default in the payment of principal or interest or other monetary amounts due and payable) in respect of any Senior Indebtedness, as defined in such Senior Indebtedness or in the instrument under which the same is outstanding, permitting the holder or holders thereof to accelerate the maturity thereof, and such default or event of default shall not be cured or was continued beyond the period of grace, if any, 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respect thereof, and such default or event of default shall not have been waived or shall not have ceased to exist, or vi) separately with respect to each series of Securities, that the principal of and accrued interest on such Securities shall have been declared due and payable pursuant to Section 6.01 and such declaration shall not have been rescinded and annulled as provided in Section 6.01, then the holders of all Senior Indebtedness shall first be entitled to receive payment in full of all amounts due or to become due thereon, or provision shall be made, in accordance with the terms of such Senior Indebtedness, for such payment in money or money’s worth, before the Holders of such series of Securities are entitled to receive a payment on account of the principal of or interest on the indebtedness evidenced by such series of Securities, including, without limitation, any payments made pursuant to Article 3, or any cash payments to purchase such series of Securities at the option of the Holders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such insolvency or bankruptcy proceeding, receivership, dissolution, winding-up, total or partial liquidation, reorganization, or other similar proceeding referred to in clause (a) of the immediately preceding paragraph, any payment or distribution of assets of the Company of any kind or character, whether in cash, property or securities, to which the Holders of the Securities or the Trustee under this Indenture would be entitled, except for the provisions hereof, shall be paid by the Company or by any receiver, trustee in bankruptcy, liquidating trustee, agent or other Person making such payment or distribution or, to the extent required by the next succeeding paragraph, by the Holders of the Securities or the Trustee, if received by them or it, directly to the holders of Senior Indebtedness (pro rata to such holders on the basis of the respective amounts of Senior Indebtedness held by such holders) or their respective representatives, or to the trustee or trustees under any indenture pursuant to which any instruments evidencing any of such Senior Indebtedness may have been issued, as their respective interests may appear, to the extent necessary to pay all Senior Indebtedness in full after giving effect to any concurrent payment or distribution to or for the holders of Senior Indebtedness, before any payment or distribution is made to the Holders of the indebtedness evidenced by the Securities (including any cash payments to repurchase such Securities at the option of the Holders thereof) or to the Trustee under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notwithstanding the foregoing, any payment or distribution of assets of the Company of any kind or character, whether in cash, property or securities, prohibited by the foregoing provisions of this Section, shall be received by the Trustee under this Indenture or the Holders of the Securities before all Senior Indebtedness is paid in full or provision is made for such payment in accordance with its terms, and if such fact shall, at or prior to the time of such payment or distribution, have been known to the Trustee, then such payment or distribution shall be held in trust for the benefit of and shall be paid over or delivered to the holders of such Senior Indebtedness or their respective representatives, or to the trustee or trustees under any indenture pursuant to which any instruments evidencing any of such Senior Indebtedness may have been issued, as their respective interests may appear, for application to the payment of all Senior Indebtedness remaining unpaid until all such Senior Indebtedness shall have been paid in full in accordance with its terms, after giving effect to any concurrent payment or distribution to or for the holders of such Senior Indebtedness.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Article only, the words, “cash, property or securities” shall not be deemed to include shares of stock of the Company as reorganized or readjusted, or securities of the Company or any other corporation provided for by a plan of arrangement, reorganization or readjustment, the payment of which is subordinated (at least to the extent provided in this Article with respect to the Securities) to the payment of all Senior Indebtedness which may at the time be outstanding; provided that (i) the Senior Indebtedness is assumed by the new corporation, if any, resulting from any such arrangement, reorganization or readjustment, and (ii) the rights of the holders of the Senior Indebtedness are not, without the consent of such holders, altered by such arrangement, reorganization or readjustment. The consolidation of the Company with, or the merger of the Company with or into, another corporation or the liquidation or dissolution of the Company following the conveyance or transfer of all or substantially all of its assets to another corporation upon the terms and conditions provided in Article 5 shall not be deemed a dissolution, winding-up, liquidation or reorganization for the purposes of this Section if such other corporation shall, as a part of such consolidation, merger, conveyance or transfer, comply with the conditions stated in Article 5. Nothing in this Section shall apply to claims of, or payments to, the Trustee under or pursuant to Article 7, except as expressly provided therein. This Section shall be subject to the further provisions of Section 11.05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11.03.</w:t>
        <w:tab/>
      </w:r>
      <w:r>
        <w:rPr>
          <w:rFonts w:ascii="Times New Roman;Times;Serif" w:hAnsi="Times New Roman;Times;Serif"/>
          <w:b w:val="false"/>
          <w:i/>
          <w:caps w:val="false"/>
          <w:smallCaps w:val="false"/>
          <w:sz w:val="20"/>
        </w:rPr>
        <w:t>Subrogation</w:t>
      </w:r>
      <w:r>
        <w:rPr>
          <w:rFonts w:ascii="Times New Roman;Times;Serif" w:hAnsi="Times New Roman;Times;Serif"/>
          <w:b w:val="false"/>
          <w:i w:val="false"/>
          <w:caps w:val="false"/>
          <w:smallCaps w:val="false"/>
          <w:sz w:val="20"/>
        </w:rPr>
        <w:t>. Subject to the payment in full of all Senior Indebtedness, the Holders of the Securities subject to the provisions of Section 11.02 shall be subrogated (equally and ratably with the holders of all obligations of the Company which by their express terms are subordinated to Senior Indebtedness of the Company to the same extent as the Securities are subordinated and which are entitled to like rights of subrogation) to the rights of the holders of Senior Indebtedness to receive payments or distributions of cash, property or securities of the Company applicable to the Senior Indebtedness until the principal of and interest on such Securities shall be paid in full; and, for the purpose of such subrogation, no payments or distributions to the holders of the Senior Indebtedness of any cash, property or securities to which the Holders of such Securities or the Trustee on their behalf would be entitled except for the provisions of this Article, and no payment over pursuant to the provisions of this Article to the holders of Senior Indebtedness by Holders of such Securities or the Trustee on their behalf shall, as between the Company, its creditors other than holders of Senior Indebtedness and the Holders of such Securities, be deemed to be a payment by the Company to or on account of the Senior Indebtedness; and no payments or distributions of cash, property or securities to or for the benefit of the Holders of the Securities pursuant to the subrogation provision of this Article, which would otherwise have been paid to the holders of Senior Indebtedness, shall be deemed to be a payment by the Company to or for the account of such Securities. The provisions of this Article are intended solely for the purpose of defining the relative rights of the Holders of the Securities, on the one hand, and the holders of the Senior Indebtedness, on the other hand.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contained in this Article or elsewhere in this Indenture or in the Securities is intended to or shall impair, as between the issuer, its creditors other than the holders of Senior Indebtedness, and the Holders of the Securities, the obligation of the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which is absolute and unconditional, to pay to the Holders of the Securities the principal of and interest on the Securities as and when the same shall become due and payable in accordance with their terms, or is intended to or shall affect the relative rights against the Company of the Holders of the Securities and creditors of the Company other than the holders of Senior Indebtedness, nor shall anything herein or therein prevent the Holder of any Security or the Trustee on his behalf from exercising all remedies otherwise permitted by applicable law upon default under this Indenture, subject to the rights, if any, under this Article of the holders of Senior Indebtedness in respect of cash, property or securities of the Company received upon the exercise of any such remedy.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payment or distribution of assets of the Company referred to in this Article, the Trustee, subject to the provisions of Section 7.01 and Section 7.02, and the Holders of the Securities shall be entitled to rely upon any order or decree made by any court of competent jurisdiction in which such insolvency, bankruptcy, dissolution, winding-up, liquidation, arrangement or reorganization proceedings are pending, or a certificate of the receiver, trustee in bankruptcy, liquidating trustee, agent or other Person making such payment or distribution, delivered to the Trustee or to the Holders of the Securities, for the purpose of ascertaining the Persons entitled to participate in such distribution, the holders of the Senior Indebtedness and other indebtedness of the Company, the amount thereof or payable thereon, the amount or amounts paid or distributed thereon and all other facts pertinent thereto or to this Article.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11.04.</w:t>
        <w:tab/>
      </w:r>
      <w:r>
        <w:rPr>
          <w:rFonts w:ascii="Times New Roman;Times;Serif" w:hAnsi="Times New Roman;Times;Serif"/>
          <w:b w:val="false"/>
          <w:i/>
          <w:caps w:val="false"/>
          <w:smallCaps w:val="false"/>
          <w:sz w:val="20"/>
        </w:rPr>
        <w:t>Authorization by Securityholders</w:t>
      </w:r>
      <w:r>
        <w:rPr>
          <w:rFonts w:ascii="Times New Roman;Times;Serif" w:hAnsi="Times New Roman;Times;Serif"/>
          <w:b w:val="false"/>
          <w:i w:val="false"/>
          <w:caps w:val="false"/>
          <w:smallCaps w:val="false"/>
          <w:sz w:val="20"/>
        </w:rPr>
        <w:t>. Each Holder of a Security by his acceptance thereof authorizes the Trustee on his behalf to take such action as may be necessary or appropriate to effectuate the subordination provided in this Article and appoints the Trustee his attorney-in-fact for any and all such purposes.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11.05.</w:t>
        <w:tab/>
      </w:r>
      <w:r>
        <w:rPr>
          <w:rFonts w:ascii="Times New Roman;Times;Serif" w:hAnsi="Times New Roman;Times;Serif"/>
          <w:b w:val="false"/>
          <w:i/>
          <w:caps w:val="false"/>
          <w:smallCaps w:val="false"/>
          <w:sz w:val="20"/>
        </w:rPr>
        <w:t>Notice to Trustee</w:t>
      </w:r>
      <w:r>
        <w:rPr>
          <w:rFonts w:ascii="Times New Roman;Times;Serif" w:hAnsi="Times New Roman;Times;Serif"/>
          <w:b w:val="false"/>
          <w:i w:val="false"/>
          <w:caps w:val="false"/>
          <w:smallCaps w:val="false"/>
          <w:sz w:val="20"/>
        </w:rPr>
        <w:t>. The Company shall give prompt written notice to the Trustee and to any paying agent of any fact known to the Company which would prohibit the making of any payment of monies to or by the Trustee or any paying agent in respect of the Securities pursuant to the provisions of this Article. Regardless of anything to the contrary contained in this Article or elsewhere in this Indenture, the Trustee shall not be charged with knowledge of the existence of any Senior Indebtedness or of any default or event of default with respect to any Senior Indebtedness or of any other facts which would prohibit the making of any payment of monies to or by the Trustee in respect of the Securities, unless and until the Trustee shall have received notice in writing (which may be by telegram, telecopy or other similar writing) at its Corporate Trust Office to that effect signed by an officer of the Company, or by a holder or agent of a holder of Senior Indebtedness who shall have been certified by the Company or otherwise established to the reasonable satisfaction of the Trustee to be such holder or agent, or by the trustee under any indenture pursuant to which Senior Indebtedness shall be outstanding, and, prior to the receipt of any such written notice, the Trustee shall, subject to Section 7.01 and Section 7.02, be entitled to assume that no such facts exist; provided that if on a date at least two Business Days prior to the date upon which by the terms hereof any such monies shall become payable for any purpose (including, without limitation, the payment of the principal of or interest on any Security) the Trustee shall not have received with respect to such monies the notice provided for in this Section,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regardless of anything herein to the contrary, the Trustee shall have full power and authority to receive such monies and to apply the same to the purpose for which they were received, and shall not be affected by any notice to the contrary which may be received by it on or after such prior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Regardless of anything to the contrary herein (but subject, in the case of clause (a) of this paragraph, to the second paragraph of Section 11.02), nothing shall prevent (a) any payment by the Company or the Trustee to the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Securityholders of amounts in connection with a redemption of Securities if (i) notice of such redemption has been given pursuant to Article 3 prior to the receipt by the Trustee of written notice as aforesaid, and (ii) such notice of redemption is given not earlier than 60 days before any redemption date, or (b) any payment by the Trustee to the Securityholders of amounts deposited with it pursuant to Section 8.01, provided, that, in the case of Section 8.05, the applicable Securities are deemed to have been paid and discharged, and in the case of Section 8.01, the Trustee shall not have received, by at least two Business Days prior to the date of execution of instruments acknowledging the satisfaction of and discharge of this Indenture with respect to the applicable Securities, the notice provided in the preceding paragraph.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Section 7.01 and Section 7.02, the Trustee shall be entitled to rely on the delivery to it of a written notice by a Person representing himself to be a holder of Senior Indebtedness (or a trustee on behalf of such holder) to establish that such notice has been given by a holder of Senior Indebtedness or a trustee on behalf of any such holder. In the event that the Trustee determines in good faith that further evidence is required with respect to the right of any Person as a holder of Senior Indebtedness to participate in any payment or distribution pursuant to this Article, the Trustee may request such Person to furnish evidence to the reasonable satisfaction of the Trustee as to the amount of Senior Indebtedness held by such Person, the extent to which such Person is entitled to participate in such payment or distribution and any other facts pertinent to the rights of such Person under this Article, and if such evidence is not furnished the Trustee may defer any payment to such Person pending judicial determination as to the right of such Person to receive such payment.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11.06.</w:t>
        <w:tab/>
      </w:r>
      <w:r>
        <w:rPr>
          <w:rFonts w:ascii="Times New Roman;Times;Serif" w:hAnsi="Times New Roman;Times;Serif"/>
          <w:b w:val="false"/>
          <w:i/>
          <w:caps w:val="false"/>
          <w:smallCaps w:val="false"/>
          <w:sz w:val="20"/>
        </w:rPr>
        <w:t>Trustee’s Relation to Senior Indebtedness</w:t>
      </w:r>
      <w:r>
        <w:rPr>
          <w:rFonts w:ascii="Times New Roman;Times;Serif" w:hAnsi="Times New Roman;Times;Serif"/>
          <w:b w:val="false"/>
          <w:i w:val="false"/>
          <w:caps w:val="false"/>
          <w:smallCaps w:val="false"/>
          <w:sz w:val="20"/>
        </w:rPr>
        <w:t>. The Trustee and any agent of the Company or the Trustee shall be entitled to all the rights set forth in this Article with respect to any Senior Indebtedness which may at any time be held by it in its individual or any other capacity to the same extent as any other holder of Senior Indebtedness and nothing in the second paragraph of Section 2.02 or elsewhere in this Indenture shall deprive the Trustee or any such agent of any of its rights as such holder. Nothing in this Article shall apply to claims of, or payments to, the Trustee under or pursuant to Section 7.07.</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holders of Senior Indebtedness, the Trustee undertakes to perform or to observe only such of its covenants and obligations as are specifically set forth in this Article, and no implied covenants or obligations with respect to the holders of Senior Indebtedness shall be read into this Indenture against the Trustee. The Trustee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shall not be deemed to owe any fiduciary duty to the holders of Senior Indebtedness and, subject to the provisions of Section 7.01 and Section 7.02, the Trustee shall not be liable to any holder of Senior Indebtedness if it shall in good faith pay over or deliver to Holders of Securities, the Company or any other Person monies or assets to which any holder of Senior Indebtedness shall be entitled by virtue of this Article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11.07.</w:t>
        <w:tab/>
      </w:r>
      <w:r>
        <w:rPr>
          <w:rFonts w:ascii="Times New Roman;Times;Serif" w:hAnsi="Times New Roman;Times;Serif"/>
          <w:b w:val="false"/>
          <w:i/>
          <w:caps w:val="false"/>
          <w:smallCaps w:val="false"/>
          <w:sz w:val="20"/>
        </w:rPr>
        <w:t>No Impairment of Subordination</w:t>
      </w:r>
      <w:r>
        <w:rPr>
          <w:rFonts w:ascii="Times New Roman;Times;Serif" w:hAnsi="Times New Roman;Times;Serif"/>
          <w:b w:val="false"/>
          <w:i w:val="false"/>
          <w:caps w:val="false"/>
          <w:smallCaps w:val="false"/>
          <w:sz w:val="20"/>
        </w:rPr>
        <w:t>. No right of any present or future holder of any Senior Indebtedness to enforce subordination as herein provided shall at any time in any way be prejudiced or impaired by any act or failure to act on the part of the Company or by any act or failure to act, in good faith, by any such holder, or by any noncompliance by the Company with the terms, provisions and covenants of this Indenture, regardless of any knowledge thereof which any such holder may have or otherwise be charged with.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Indenture to be duly executed, all as of the date first written above.</w:t>
      </w:r>
    </w:p>
    <w:p>
      <w:pPr>
        <w:pStyle w:val="TextBody"/>
        <w:bidi w:val="0"/>
        <w:spacing w:before="0" w:after="0"/>
        <w:ind w:left="0" w:right="0" w:firstLine="720"/>
        <w:jc w:val="left"/>
        <w:rPr>
          <w:caps w:val="false"/>
          <w:smallCaps w:val="false"/>
        </w:rPr>
      </w:pPr>
      <w:r>
        <w:rPr>
          <w:caps w:val="false"/>
          <w:smallCaps w:val="false"/>
        </w:rPr>
        <w:t> </w:t>
      </w:r>
    </w:p>
    <w:tbl>
      <w:tblPr>
        <w:tblW w:w="4774" w:type="dxa"/>
        <w:jc w:val="left"/>
        <w:tblInd w:w="0" w:type="dxa"/>
        <w:tblLayout w:type="fixed"/>
        <w:tblCellMar>
          <w:top w:w="0" w:type="dxa"/>
          <w:left w:w="0" w:type="dxa"/>
          <w:bottom w:w="0" w:type="dxa"/>
          <w:right w:w="0" w:type="dxa"/>
        </w:tblCellMar>
      </w:tblPr>
      <w:tblGrid>
        <w:gridCol w:w="75"/>
        <w:gridCol w:w="1475"/>
        <w:gridCol w:w="2858"/>
        <w:gridCol w:w="366"/>
      </w:tblGrid>
      <w:tr>
        <w:trPr/>
        <w:tc>
          <w:tcPr>
            <w:tcW w:w="75" w:type="dxa"/>
            <w:tcBorders/>
            <w:vAlign w:val="center"/>
          </w:tcPr>
          <w:p>
            <w:pPr>
              <w:pStyle w:val="TableContents"/>
              <w:bidi w:val="0"/>
              <w:spacing w:before="0" w:after="283"/>
              <w:jc w:val="left"/>
              <w:rPr/>
            </w:pPr>
            <w:r>
              <w:rPr/>
              <w:t> </w:t>
            </w:r>
          </w:p>
        </w:tc>
        <w:tc>
          <w:tcPr>
            <w:tcW w:w="4699" w:type="dxa"/>
            <w:gridSpan w:val="3"/>
            <w:tcBorders/>
            <w:vAlign w:val="center"/>
          </w:tcPr>
          <w:p>
            <w:pPr>
              <w:pStyle w:val="TableContents"/>
              <w:bidi w:val="0"/>
              <w:spacing w:before="0" w:after="283"/>
              <w:jc w:val="left"/>
              <w:rPr/>
            </w:pPr>
            <w:r>
              <w:rPr/>
              <w:t>FIGURE TECHNOLOGY SOLUTIONS, INC.</w:t>
            </w:r>
          </w:p>
        </w:tc>
      </w:tr>
      <w:tr>
        <w:trPr/>
        <w:tc>
          <w:tcPr>
            <w:tcW w:w="75" w:type="dxa"/>
            <w:tcBorders/>
            <w:vAlign w:val="center"/>
          </w:tcPr>
          <w:p>
            <w:pPr>
              <w:pStyle w:val="TableContents"/>
              <w:bidi w:val="0"/>
              <w:spacing w:before="0" w:after="283"/>
              <w:jc w:val="left"/>
              <w:rPr/>
            </w:pPr>
            <w:r>
              <w:rPr/>
              <w:t> </w:t>
            </w:r>
          </w:p>
        </w:tc>
        <w:tc>
          <w:tcPr>
            <w:tcW w:w="4699" w:type="dxa"/>
            <w:gridSpan w:val="3"/>
            <w:tcBorders/>
            <w:vAlign w:val="center"/>
          </w:tcPr>
          <w:p>
            <w:pPr>
              <w:pStyle w:val="TableContents"/>
              <w:bidi w:val="0"/>
              <w:spacing w:before="0" w:after="283"/>
              <w:jc w:val="left"/>
              <w:rPr/>
            </w:pPr>
            <w:r>
              <w:rPr/>
              <w:t>as the Company</w:t>
            </w:r>
          </w:p>
        </w:tc>
      </w:tr>
      <w:tr>
        <w:trPr/>
        <w:tc>
          <w:tcPr>
            <w:tcW w:w="75" w:type="dxa"/>
            <w:tcBorders/>
            <w:vAlign w:val="center"/>
          </w:tcPr>
          <w:p>
            <w:pPr>
              <w:pStyle w:val="TableContents"/>
              <w:bidi w:val="0"/>
              <w:spacing w:before="0" w:after="283"/>
              <w:jc w:val="left"/>
              <w:rPr/>
            </w:pPr>
            <w:r>
              <w:rPr/>
              <w:t> </w:t>
            </w:r>
          </w:p>
        </w:tc>
        <w:tc>
          <w:tcPr>
            <w:tcW w:w="469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By:</w:t>
            </w:r>
          </w:p>
        </w:tc>
        <w:tc>
          <w:tcPr>
            <w:tcW w:w="3224"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 </w:t>
            </w:r>
          </w:p>
        </w:tc>
        <w:tc>
          <w:tcPr>
            <w:tcW w:w="2858" w:type="dxa"/>
            <w:tcBorders/>
            <w:vAlign w:val="center"/>
          </w:tcPr>
          <w:p>
            <w:pPr>
              <w:pStyle w:val="TableContents"/>
              <w:bidi w:val="0"/>
              <w:spacing w:before="0" w:after="283"/>
              <w:jc w:val="left"/>
              <w:rPr/>
            </w:pPr>
            <w:r>
              <w:rPr/>
              <w:t>Name:</w:t>
            </w:r>
          </w:p>
        </w:tc>
        <w:tc>
          <w:tcPr>
            <w:tcW w:w="36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 </w:t>
            </w:r>
          </w:p>
        </w:tc>
        <w:tc>
          <w:tcPr>
            <w:tcW w:w="2858" w:type="dxa"/>
            <w:tcBorders/>
            <w:vAlign w:val="center"/>
          </w:tcPr>
          <w:p>
            <w:pPr>
              <w:pStyle w:val="TableContents"/>
              <w:bidi w:val="0"/>
              <w:spacing w:before="0" w:after="283"/>
              <w:jc w:val="left"/>
              <w:rPr/>
            </w:pPr>
            <w:r>
              <w:rPr/>
              <w:t>Title:</w:t>
            </w:r>
          </w:p>
        </w:tc>
        <w:tc>
          <w:tcPr>
            <w:tcW w:w="36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9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9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99" w:type="dxa"/>
            <w:gridSpan w:val="3"/>
            <w:tcBorders/>
            <w:vAlign w:val="center"/>
          </w:tcPr>
          <w:p>
            <w:pPr>
              <w:pStyle w:val="TableContents"/>
              <w:bidi w:val="0"/>
              <w:spacing w:before="0" w:after="283"/>
              <w:jc w:val="left"/>
              <w:rPr/>
            </w:pPr>
            <w:r>
              <w:rPr/>
              <w:t>as Trustee</w:t>
            </w:r>
          </w:p>
        </w:tc>
      </w:tr>
      <w:tr>
        <w:trPr/>
        <w:tc>
          <w:tcPr>
            <w:tcW w:w="75" w:type="dxa"/>
            <w:tcBorders/>
            <w:vAlign w:val="center"/>
          </w:tcPr>
          <w:p>
            <w:pPr>
              <w:pStyle w:val="TableContents"/>
              <w:bidi w:val="0"/>
              <w:spacing w:before="0" w:after="283"/>
              <w:jc w:val="left"/>
              <w:rPr/>
            </w:pPr>
            <w:r>
              <w:rPr/>
              <w:t> </w:t>
            </w:r>
          </w:p>
        </w:tc>
        <w:tc>
          <w:tcPr>
            <w:tcW w:w="469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By:</w:t>
            </w:r>
          </w:p>
        </w:tc>
        <w:tc>
          <w:tcPr>
            <w:tcW w:w="3224"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 </w:t>
            </w:r>
          </w:p>
        </w:tc>
        <w:tc>
          <w:tcPr>
            <w:tcW w:w="2858" w:type="dxa"/>
            <w:tcBorders/>
            <w:vAlign w:val="center"/>
          </w:tcPr>
          <w:p>
            <w:pPr>
              <w:pStyle w:val="TableContents"/>
              <w:bidi w:val="0"/>
              <w:spacing w:before="0" w:after="283"/>
              <w:jc w:val="left"/>
              <w:rPr/>
            </w:pPr>
            <w:r>
              <w:rPr/>
              <w:t>Name:</w:t>
            </w:r>
          </w:p>
        </w:tc>
        <w:tc>
          <w:tcPr>
            <w:tcW w:w="36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 </w:t>
            </w:r>
          </w:p>
        </w:tc>
        <w:tc>
          <w:tcPr>
            <w:tcW w:w="2858" w:type="dxa"/>
            <w:tcBorders/>
            <w:vAlign w:val="center"/>
          </w:tcPr>
          <w:p>
            <w:pPr>
              <w:pStyle w:val="TableContents"/>
              <w:bidi w:val="0"/>
              <w:spacing w:before="0" w:after="283"/>
              <w:jc w:val="left"/>
              <w:rPr/>
            </w:pPr>
            <w:r>
              <w:rPr/>
              <w:t>Title:</w:t>
            </w:r>
          </w:p>
        </w:tc>
        <w:tc>
          <w:tcPr>
            <w:tcW w:w="366"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283"/>
        <w:jc w:val="left"/>
        <w:rPr/>
      </w:pPr>
      <w:r>
        <w:rPr/>
        <w:t> </w:t>
      </w:r>
    </w:p>
    <w:p>
      <w:pPr>
        <w:pStyle w:val="TextBody"/>
        <w:bidi w:val="0"/>
        <w:jc w:val="left"/>
        <w:rPr/>
      </w:pPr>
      <w:bookmarkStart w:id="21" w:name="dp254272_ex5a.htm"/>
      <w:bookmarkStart w:id="22" w:name="ksdp254272_ex5a"/>
      <w:bookmarkEnd w:id="21"/>
      <w:bookmarkEnd w:id="22"/>
      <w:r>
        <w:rPr/>
        <w:t> </w:t>
      </w:r>
      <w:r>
        <w:br w:type="page"/>
      </w:r>
    </w:p>
    <w:p>
      <w:pPr>
        <w:pStyle w:val="TextBody"/>
        <w:bidi w:val="0"/>
        <w:jc w:val="right"/>
        <w:rPr>
          <w:rFonts w:ascii="Arial;Helvetica;Sans-Serif" w:hAnsi="Arial;Helvetica;Sans-Serif"/>
          <w:b/>
        </w:rPr>
      </w:pPr>
      <w:r>
        <w:rPr>
          <w:rFonts w:ascii="Arial;Helvetica;Sans-Serif" w:hAnsi="Arial;Helvetica;Sans-Serif"/>
          <w:b/>
        </w:rPr>
        <w:t>Exhibit 5-a and 23-b</w:t>
      </w:r>
    </w:p>
    <w:p>
      <w:pPr>
        <w:pStyle w:val="TextBody"/>
        <w:bidi w:val="0"/>
        <w:jc w:val="left"/>
        <w:rPr/>
      </w:pPr>
      <w:r>
        <w:rPr/>
        <w:t> </w:t>
      </w:r>
    </w:p>
    <w:tbl>
      <w:tblPr>
        <w:tblW w:w="4070" w:type="dxa"/>
        <w:jc w:val="left"/>
        <w:tblInd w:w="0" w:type="dxa"/>
        <w:tblLayout w:type="fixed"/>
        <w:tblCellMar>
          <w:top w:w="30" w:type="dxa"/>
          <w:left w:w="30" w:type="dxa"/>
          <w:bottom w:w="30" w:type="dxa"/>
          <w:right w:w="30" w:type="dxa"/>
        </w:tblCellMar>
      </w:tblPr>
      <w:tblGrid>
        <w:gridCol w:w="1740"/>
        <w:gridCol w:w="2330"/>
      </w:tblGrid>
      <w:tr>
        <w:trPr/>
        <w:tc>
          <w:tcPr>
            <w:tcW w:w="1740" w:type="dxa"/>
            <w:tcBorders/>
            <w:vAlign w:val="center"/>
          </w:tcPr>
          <w:p>
            <w:pPr>
              <w:pStyle w:val="TableContents"/>
              <w:bidi w:val="0"/>
              <w:spacing w:before="0" w:after="283"/>
              <w:jc w:val="left"/>
              <w:rPr>
                <w:color w:val="140B7F"/>
              </w:rPr>
            </w:pPr>
            <w:r>
              <w:rPr>
                <w:color w:val="140B7F"/>
              </w:rPr>
              <w:t> </w:t>
            </w:r>
            <w:r>
              <w:rPr>
                <w:color w:val="140B7F"/>
              </w:rPr>
              <w:drawing>
                <wp:inline distT="0" distB="0" distL="0" distR="0">
                  <wp:extent cx="1000125" cy="190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4"/>
                          <a:stretch>
                            <a:fillRect/>
                          </a:stretch>
                        </pic:blipFill>
                        <pic:spPr bwMode="auto">
                          <a:xfrm>
                            <a:off x="0" y="0"/>
                            <a:ext cx="1000125" cy="190500"/>
                          </a:xfrm>
                          <a:prstGeom prst="rect">
                            <a:avLst/>
                          </a:prstGeom>
                        </pic:spPr>
                      </pic:pic>
                    </a:graphicData>
                  </a:graphic>
                </wp:inline>
              </w:drawing>
            </w:r>
          </w:p>
        </w:tc>
        <w:tc>
          <w:tcPr>
            <w:tcW w:w="2330" w:type="dxa"/>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color w:val="140BE3"/>
                <w:sz w:val="18"/>
              </w:rPr>
            </w:pPr>
            <w:r>
              <w:rPr>
                <w:rFonts w:ascii="Arial;Helvetica;Sans-Serif" w:hAnsi="Arial;Helvetica;Sans-Serif"/>
                <w:b w:val="false"/>
                <w:i w:val="false"/>
                <w:caps w:val="false"/>
                <w:smallCaps w:val="false"/>
                <w:color w:val="140BE3"/>
                <w:sz w:val="18"/>
              </w:rPr>
              <w:t xml:space="preserve">Davis Polk &amp; Wardwell </w:t>
            </w:r>
            <w:r>
              <w:rPr>
                <w:rFonts w:ascii="Arial;Helvetica;Sans-Serif" w:hAnsi="Arial;Helvetica;Sans-Serif"/>
                <w:b w:val="false"/>
                <w:i w:val="false"/>
                <w:smallCaps/>
                <w:color w:val="140BE3"/>
                <w:sz w:val="18"/>
              </w:rPr>
              <w:t>llp</w:t>
            </w:r>
          </w:p>
          <w:p>
            <w:pPr>
              <w:pStyle w:val="TableContents"/>
              <w:bidi w:val="0"/>
              <w:spacing w:before="0" w:after="0"/>
              <w:ind w:left="0" w:right="0" w:hanging="0"/>
              <w:jc w:val="left"/>
              <w:rPr>
                <w:rFonts w:ascii="Arial;Helvetica;Sans-Serif" w:hAnsi="Arial;Helvetica;Sans-Serif"/>
                <w:b w:val="false"/>
                <w:i w:val="false"/>
                <w:caps w:val="false"/>
                <w:smallCaps w:val="false"/>
                <w:color w:val="140BE3"/>
                <w:sz w:val="18"/>
              </w:rPr>
            </w:pPr>
            <w:r>
              <w:rPr>
                <w:rFonts w:ascii="Arial;Helvetica;Sans-Serif" w:hAnsi="Arial;Helvetica;Sans-Serif"/>
                <w:b w:val="false"/>
                <w:i w:val="false"/>
                <w:caps w:val="false"/>
                <w:smallCaps w:val="false"/>
                <w:color w:val="140BE3"/>
                <w:sz w:val="18"/>
              </w:rPr>
              <w:t>450 Lexington Avenue</w:t>
              <w:br/>
              <w:t>New York, NY 10017</w:t>
            </w:r>
          </w:p>
          <w:p>
            <w:pPr>
              <w:pStyle w:val="TableContents"/>
              <w:bidi w:val="0"/>
              <w:spacing w:before="0" w:after="0"/>
              <w:ind w:left="0" w:right="0" w:hanging="0"/>
              <w:jc w:val="left"/>
              <w:rPr>
                <w:rFonts w:ascii="Arial;Helvetica;Sans-Serif" w:hAnsi="Arial;Helvetica;Sans-Serif"/>
                <w:b w:val="false"/>
                <w:i w:val="false"/>
                <w:caps w:val="false"/>
                <w:smallCaps w:val="false"/>
                <w:color w:val="140BE3"/>
                <w:sz w:val="18"/>
              </w:rPr>
            </w:pPr>
            <w:r>
              <w:rPr>
                <w:rFonts w:ascii="Arial;Helvetica;Sans-Serif" w:hAnsi="Arial;Helvetica;Sans-Serif"/>
                <w:b w:val="false"/>
                <w:i w:val="false"/>
                <w:caps w:val="false"/>
                <w:smallCaps w:val="false"/>
                <w:color w:val="140BE3"/>
                <w:sz w:val="18"/>
              </w:rPr>
              <w:t>davispolk.com</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Exhibits 5-a and 23-b</w:t>
      </w:r>
    </w:p>
    <w:p>
      <w:pPr>
        <w:pStyle w:val="TextBody"/>
        <w:bidi w:val="0"/>
        <w:spacing w:before="0" w:after="0"/>
        <w:ind w:left="0" w:right="0" w:hanging="0"/>
        <w:jc w:val="left"/>
        <w:rPr>
          <w:caps w:val="false"/>
          <w:smallCaps w:val="false"/>
        </w:rPr>
      </w:pPr>
      <w:r>
        <w:rPr>
          <w:caps w:val="false"/>
          <w:smallCaps w:val="false"/>
        </w:rPr>
        <w:t> </w:t>
      </w:r>
    </w:p>
    <w:tbl>
      <w:tblPr>
        <w:tblW w:w="3005" w:type="dxa"/>
        <w:jc w:val="left"/>
        <w:tblInd w:w="0" w:type="dxa"/>
        <w:tblLayout w:type="fixed"/>
        <w:tblCellMar>
          <w:top w:w="30" w:type="dxa"/>
          <w:left w:w="30" w:type="dxa"/>
          <w:bottom w:w="30" w:type="dxa"/>
          <w:right w:w="30" w:type="dxa"/>
        </w:tblCellMar>
      </w:tblPr>
      <w:tblGrid>
        <w:gridCol w:w="3005"/>
      </w:tblGrid>
      <w:tr>
        <w:trPr/>
        <w:tc>
          <w:tcPr>
            <w:tcW w:w="3005" w:type="dxa"/>
            <w:tcBorders/>
            <w:vAlign w:val="center"/>
          </w:tcPr>
          <w:p>
            <w:pPr>
              <w:pStyle w:val="TableContents"/>
              <w:bidi w:val="0"/>
              <w:spacing w:before="0" w:after="283"/>
              <w:jc w:val="left"/>
              <w:rPr>
                <w:sz w:val="20"/>
              </w:rPr>
            </w:pPr>
            <w:r>
              <w:rPr>
                <w:sz w:val="20"/>
              </w:rPr>
              <w:t>October 2, 2026</w:t>
            </w:r>
          </w:p>
        </w:tc>
      </w:tr>
      <w:tr>
        <w:trPr/>
        <w:tc>
          <w:tcPr>
            <w:tcW w:w="300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sz w:val="20"/>
              </w:rPr>
            </w:pPr>
            <w:r>
              <w:rPr>
                <w:sz w:val="20"/>
              </w:rPr>
              <w:t>Figure Technology Solutions, Inc.</w:t>
              <w:br/>
              <w:t xml:space="preserve">100 West Liberty Street, Suite 600 </w:t>
              <w:br/>
              <w:t>Reno, Nevada 89501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acted as special counsel for Figure Technology Solutions, Inc., a Nevada corporation (the “</w:t>
      </w:r>
      <w:r>
        <w:rPr>
          <w:rFonts w:ascii="Arial;Helvetica;Sans-Serif" w:hAnsi="Arial;Helvetica;Sans-Serif"/>
          <w:b/>
          <w:i w:val="false"/>
          <w:caps w:val="false"/>
          <w:smallCaps w:val="false"/>
          <w:sz w:val="20"/>
        </w:rPr>
        <w:t>Company</w:t>
      </w:r>
      <w:r>
        <w:rPr>
          <w:rFonts w:ascii="Arial;Helvetica;Sans-Serif" w:hAnsi="Arial;Helvetica;Sans-Serif"/>
          <w:b w:val="false"/>
          <w:i w:val="false"/>
          <w:caps w:val="false"/>
          <w:smallCaps w:val="false"/>
          <w:sz w:val="20"/>
        </w:rPr>
        <w:t>”), in connection with the Company’s filing with the Securities and Exchange Commission of a Registration Statement on Form S-3 (the “</w:t>
      </w:r>
      <w:r>
        <w:rPr>
          <w:rFonts w:ascii="Arial;Helvetica;Sans-Serif" w:hAnsi="Arial;Helvetica;Sans-Serif"/>
          <w:b/>
          <w:i w:val="false"/>
          <w:caps w:val="false"/>
          <w:smallCaps w:val="false"/>
          <w:sz w:val="20"/>
        </w:rPr>
        <w:t>Registration Statement</w:t>
      </w:r>
      <w:r>
        <w:rPr>
          <w:rFonts w:ascii="Arial;Helvetica;Sans-Serif" w:hAnsi="Arial;Helvetica;Sans-Serif"/>
          <w:b w:val="false"/>
          <w:i w:val="false"/>
          <w:caps w:val="false"/>
          <w:smallCaps w:val="false"/>
          <w:sz w:val="20"/>
        </w:rPr>
        <w:t>”) for the purpose of registering under the Securities Act of 1933, as amended (the “</w:t>
      </w:r>
      <w:r>
        <w:rPr>
          <w:rFonts w:ascii="Arial;Helvetica;Sans-Serif" w:hAnsi="Arial;Helvetica;Sans-Serif"/>
          <w:b/>
          <w:i w:val="false"/>
          <w:caps w:val="false"/>
          <w:smallCaps w:val="false"/>
          <w:sz w:val="20"/>
        </w:rPr>
        <w:t>Securities Act</w:t>
      </w:r>
      <w:r>
        <w:rPr>
          <w:rFonts w:ascii="Arial;Helvetica;Sans-Serif" w:hAnsi="Arial;Helvetica;Sans-Serif"/>
          <w:b w:val="false"/>
          <w:i w:val="false"/>
          <w:caps w:val="false"/>
          <w:smallCaps w:val="false"/>
          <w:sz w:val="20"/>
        </w:rPr>
        <w:t>”), (a) the Company’s senior debt securities and subordinated debt securities (collectively, the “</w:t>
      </w:r>
      <w:r>
        <w:rPr>
          <w:rFonts w:ascii="Arial;Helvetica;Sans-Serif" w:hAnsi="Arial;Helvetica;Sans-Serif"/>
          <w:b/>
          <w:i w:val="false"/>
          <w:caps w:val="false"/>
          <w:smallCaps w:val="false"/>
          <w:sz w:val="20"/>
        </w:rPr>
        <w:t>Debt Securities</w:t>
      </w:r>
      <w:r>
        <w:rPr>
          <w:rFonts w:ascii="Arial;Helvetica;Sans-Serif" w:hAnsi="Arial;Helvetica;Sans-Serif"/>
          <w:b w:val="false"/>
          <w:i w:val="false"/>
          <w:caps w:val="false"/>
          <w:smallCaps w:val="false"/>
          <w:sz w:val="20"/>
        </w:rPr>
        <w:t>”), which may be issued pursuant to a senior debt indenture (the “</w:t>
      </w:r>
      <w:r>
        <w:rPr>
          <w:rFonts w:ascii="Arial;Helvetica;Sans-Serif" w:hAnsi="Arial;Helvetica;Sans-Serif"/>
          <w:b/>
          <w:i w:val="false"/>
          <w:caps w:val="false"/>
          <w:smallCaps w:val="false"/>
          <w:sz w:val="20"/>
        </w:rPr>
        <w:t>Senior Indenture</w:t>
      </w:r>
      <w:r>
        <w:rPr>
          <w:rFonts w:ascii="Arial;Helvetica;Sans-Serif" w:hAnsi="Arial;Helvetica;Sans-Serif"/>
          <w:b w:val="false"/>
          <w:i w:val="false"/>
          <w:caps w:val="false"/>
          <w:smallCaps w:val="false"/>
          <w:sz w:val="20"/>
        </w:rPr>
        <w:t>”), between the Company and the trustee to be named therein, as trustee (the “</w:t>
      </w:r>
      <w:r>
        <w:rPr>
          <w:rFonts w:ascii="Arial;Helvetica;Sans-Serif" w:hAnsi="Arial;Helvetica;Sans-Serif"/>
          <w:b/>
          <w:i w:val="false"/>
          <w:caps w:val="false"/>
          <w:smallCaps w:val="false"/>
          <w:sz w:val="20"/>
        </w:rPr>
        <w:t>Senior Debt Trustee</w:t>
      </w:r>
      <w:r>
        <w:rPr>
          <w:rFonts w:ascii="Arial;Helvetica;Sans-Serif" w:hAnsi="Arial;Helvetica;Sans-Serif"/>
          <w:b w:val="false"/>
          <w:i w:val="false"/>
          <w:caps w:val="false"/>
          <w:smallCaps w:val="false"/>
          <w:sz w:val="20"/>
        </w:rPr>
        <w:t>”) and a subordinated debt indenture (the “</w:t>
      </w:r>
      <w:r>
        <w:rPr>
          <w:rFonts w:ascii="Arial;Helvetica;Sans-Serif" w:hAnsi="Arial;Helvetica;Sans-Serif"/>
          <w:b/>
          <w:i w:val="false"/>
          <w:caps w:val="false"/>
          <w:smallCaps w:val="false"/>
          <w:sz w:val="20"/>
        </w:rPr>
        <w:t>Subordinated Indenture</w:t>
      </w:r>
      <w:r>
        <w:rPr>
          <w:rFonts w:ascii="Arial;Helvetica;Sans-Serif" w:hAnsi="Arial;Helvetica;Sans-Serif"/>
          <w:b w:val="false"/>
          <w:i w:val="false"/>
          <w:caps w:val="false"/>
          <w:smallCaps w:val="false"/>
          <w:sz w:val="20"/>
        </w:rPr>
        <w:t>” and, together with the Senior Indenture, the “</w:t>
      </w:r>
      <w:r>
        <w:rPr>
          <w:rFonts w:ascii="Arial;Helvetica;Sans-Serif" w:hAnsi="Arial;Helvetica;Sans-Serif"/>
          <w:b/>
          <w:i w:val="false"/>
          <w:caps w:val="false"/>
          <w:smallCaps w:val="false"/>
          <w:sz w:val="20"/>
        </w:rPr>
        <w:t>Indentures</w:t>
      </w:r>
      <w:r>
        <w:rPr>
          <w:rFonts w:ascii="Arial;Helvetica;Sans-Serif" w:hAnsi="Arial;Helvetica;Sans-Serif"/>
          <w:b w:val="false"/>
          <w:i w:val="false"/>
          <w:caps w:val="false"/>
          <w:smallCaps w:val="false"/>
          <w:sz w:val="20"/>
        </w:rPr>
        <w:t>”), between the Company and the trustee to be named therein (the “</w:t>
      </w:r>
      <w:r>
        <w:rPr>
          <w:rFonts w:ascii="Arial;Helvetica;Sans-Serif" w:hAnsi="Arial;Helvetica;Sans-Serif"/>
          <w:b/>
          <w:i w:val="false"/>
          <w:caps w:val="false"/>
          <w:smallCaps w:val="false"/>
          <w:sz w:val="20"/>
        </w:rPr>
        <w:t>Subordinated Debt Trustee</w:t>
      </w:r>
      <w:r>
        <w:rPr>
          <w:rFonts w:ascii="Arial;Helvetica;Sans-Serif" w:hAnsi="Arial;Helvetica;Sans-Serif"/>
          <w:b w:val="false"/>
          <w:i w:val="false"/>
          <w:caps w:val="false"/>
          <w:smallCaps w:val="false"/>
          <w:sz w:val="20"/>
        </w:rPr>
        <w:t>” and, together with the Senior Debt Trustee, the “</w:t>
      </w:r>
      <w:r>
        <w:rPr>
          <w:rFonts w:ascii="Arial;Helvetica;Sans-Serif" w:hAnsi="Arial;Helvetica;Sans-Serif"/>
          <w:b/>
          <w:i w:val="false"/>
          <w:caps w:val="false"/>
          <w:smallCaps w:val="false"/>
          <w:sz w:val="20"/>
        </w:rPr>
        <w:t>Trustees</w:t>
      </w:r>
      <w:r>
        <w:rPr>
          <w:rFonts w:ascii="Arial;Helvetica;Sans-Serif" w:hAnsi="Arial;Helvetica;Sans-Serif"/>
          <w:b w:val="false"/>
          <w:i w:val="false"/>
          <w:caps w:val="false"/>
          <w:smallCaps w:val="false"/>
          <w:sz w:val="20"/>
        </w:rPr>
        <w:t>”); (b) shares of preferred stock, par value $0.0001 per share (the “</w:t>
      </w:r>
      <w:r>
        <w:rPr>
          <w:rFonts w:ascii="Arial;Helvetica;Sans-Serif" w:hAnsi="Arial;Helvetica;Sans-Serif"/>
          <w:b/>
          <w:i w:val="false"/>
          <w:caps w:val="false"/>
          <w:smallCaps w:val="false"/>
          <w:sz w:val="20"/>
        </w:rPr>
        <w:t>Preferred Stock</w:t>
      </w:r>
      <w:r>
        <w:rPr>
          <w:rFonts w:ascii="Arial;Helvetica;Sans-Serif" w:hAnsi="Arial;Helvetica;Sans-Serif"/>
          <w:b w:val="false"/>
          <w:i w:val="false"/>
          <w:caps w:val="false"/>
          <w:smallCaps w:val="false"/>
          <w:sz w:val="20"/>
        </w:rPr>
        <w:t>”) of the Company; (c) Class A shares of common stock, par value $0.0001 per share (the “</w:t>
      </w:r>
      <w:r>
        <w:rPr>
          <w:rFonts w:ascii="Arial;Helvetica;Sans-Serif" w:hAnsi="Arial;Helvetica;Sans-Serif"/>
          <w:b/>
          <w:i w:val="false"/>
          <w:caps w:val="false"/>
          <w:smallCaps w:val="false"/>
          <w:sz w:val="20"/>
        </w:rPr>
        <w:t>Common Stock</w:t>
      </w:r>
      <w:r>
        <w:rPr>
          <w:rFonts w:ascii="Arial;Helvetica;Sans-Serif" w:hAnsi="Arial;Helvetica;Sans-Serif"/>
          <w:b w:val="false"/>
          <w:i w:val="false"/>
          <w:caps w:val="false"/>
          <w:smallCaps w:val="false"/>
          <w:sz w:val="20"/>
        </w:rPr>
        <w:t>”) of the Company; (d) warrants of the Company (the “</w:t>
      </w:r>
      <w:r>
        <w:rPr>
          <w:rFonts w:ascii="Arial;Helvetica;Sans-Serif" w:hAnsi="Arial;Helvetica;Sans-Serif"/>
          <w:b/>
          <w:i w:val="false"/>
          <w:caps w:val="false"/>
          <w:smallCaps w:val="false"/>
          <w:sz w:val="20"/>
        </w:rPr>
        <w:t>Warrants</w:t>
      </w:r>
      <w:r>
        <w:rPr>
          <w:rFonts w:ascii="Arial;Helvetica;Sans-Serif" w:hAnsi="Arial;Helvetica;Sans-Serif"/>
          <w:b w:val="false"/>
          <w:i w:val="false"/>
          <w:caps w:val="false"/>
          <w:smallCaps w:val="false"/>
          <w:sz w:val="20"/>
        </w:rPr>
        <w:t>”), which may be issued pursuant to a warrant agreement (the “</w:t>
      </w:r>
      <w:r>
        <w:rPr>
          <w:rFonts w:ascii="Arial;Helvetica;Sans-Serif" w:hAnsi="Arial;Helvetica;Sans-Serif"/>
          <w:b/>
          <w:i w:val="false"/>
          <w:caps w:val="false"/>
          <w:smallCaps w:val="false"/>
          <w:sz w:val="20"/>
        </w:rPr>
        <w:t>Warrant Agreement</w:t>
      </w:r>
      <w:r>
        <w:rPr>
          <w:rFonts w:ascii="Arial;Helvetica;Sans-Serif" w:hAnsi="Arial;Helvetica;Sans-Serif"/>
          <w:b w:val="false"/>
          <w:i w:val="false"/>
          <w:caps w:val="false"/>
          <w:smallCaps w:val="false"/>
          <w:sz w:val="20"/>
        </w:rPr>
        <w:t>”) between the Company and the warrant agent to be named therein (the “</w:t>
      </w:r>
      <w:r>
        <w:rPr>
          <w:rFonts w:ascii="Arial;Helvetica;Sans-Serif" w:hAnsi="Arial;Helvetica;Sans-Serif"/>
          <w:b/>
          <w:i w:val="false"/>
          <w:caps w:val="false"/>
          <w:smallCaps w:val="false"/>
          <w:sz w:val="20"/>
        </w:rPr>
        <w:t>Warrant Agent</w:t>
      </w:r>
      <w:r>
        <w:rPr>
          <w:rFonts w:ascii="Arial;Helvetica;Sans-Serif" w:hAnsi="Arial;Helvetica;Sans-Serif"/>
          <w:b w:val="false"/>
          <w:i w:val="false"/>
          <w:caps w:val="false"/>
          <w:smallCaps w:val="false"/>
          <w:sz w:val="20"/>
        </w:rPr>
        <w:t>”); (e) purchase contracts (the “</w:t>
      </w:r>
      <w:r>
        <w:rPr>
          <w:rFonts w:ascii="Arial;Helvetica;Sans-Serif" w:hAnsi="Arial;Helvetica;Sans-Serif"/>
          <w:b/>
          <w:i w:val="false"/>
          <w:caps w:val="false"/>
          <w:smallCaps w:val="false"/>
          <w:sz w:val="20"/>
        </w:rPr>
        <w:t>Purchase Contracts</w:t>
      </w:r>
      <w:r>
        <w:rPr>
          <w:rFonts w:ascii="Arial;Helvetica;Sans-Serif" w:hAnsi="Arial;Helvetica;Sans-Serif"/>
          <w:b w:val="false"/>
          <w:i w:val="false"/>
          <w:caps w:val="false"/>
          <w:smallCaps w:val="false"/>
          <w:sz w:val="20"/>
        </w:rPr>
        <w:t>”) which may be issued under one or more purchase contract agreements (each, a “</w:t>
      </w:r>
      <w:r>
        <w:rPr>
          <w:rFonts w:ascii="Arial;Helvetica;Sans-Serif" w:hAnsi="Arial;Helvetica;Sans-Serif"/>
          <w:b/>
          <w:i w:val="false"/>
          <w:caps w:val="false"/>
          <w:smallCaps w:val="false"/>
          <w:sz w:val="20"/>
        </w:rPr>
        <w:t>Purchase Contract Agreement</w:t>
      </w:r>
      <w:r>
        <w:rPr>
          <w:rFonts w:ascii="Arial;Helvetica;Sans-Serif" w:hAnsi="Arial;Helvetica;Sans-Serif"/>
          <w:b w:val="false"/>
          <w:i w:val="false"/>
          <w:caps w:val="false"/>
          <w:smallCaps w:val="false"/>
          <w:sz w:val="20"/>
        </w:rPr>
        <w:t>”) to be entered into between the Company and the purchase contract agent to be named therein (the “</w:t>
      </w:r>
      <w:r>
        <w:rPr>
          <w:rFonts w:ascii="Arial;Helvetica;Sans-Serif" w:hAnsi="Arial;Helvetica;Sans-Serif"/>
          <w:b/>
          <w:i w:val="false"/>
          <w:caps w:val="false"/>
          <w:smallCaps w:val="false"/>
          <w:sz w:val="20"/>
        </w:rPr>
        <w:t>Purchase Contract Agent</w:t>
      </w:r>
      <w:r>
        <w:rPr>
          <w:rFonts w:ascii="Arial;Helvetica;Sans-Serif" w:hAnsi="Arial;Helvetica;Sans-Serif"/>
          <w:b w:val="false"/>
          <w:i w:val="false"/>
          <w:caps w:val="false"/>
          <w:smallCaps w:val="false"/>
          <w:sz w:val="20"/>
        </w:rPr>
        <w:t>”); (f) units (the “</w:t>
      </w:r>
      <w:r>
        <w:rPr>
          <w:rFonts w:ascii="Arial;Helvetica;Sans-Serif" w:hAnsi="Arial;Helvetica;Sans-Serif"/>
          <w:b/>
          <w:i w:val="false"/>
          <w:caps w:val="false"/>
          <w:smallCaps w:val="false"/>
          <w:sz w:val="20"/>
        </w:rPr>
        <w:t>Units</w:t>
      </w:r>
      <w:r>
        <w:rPr>
          <w:rFonts w:ascii="Arial;Helvetica;Sans-Serif" w:hAnsi="Arial;Helvetica;Sans-Serif"/>
          <w:b w:val="false"/>
          <w:i w:val="false"/>
          <w:caps w:val="false"/>
          <w:smallCaps w:val="false"/>
          <w:sz w:val="20"/>
        </w:rPr>
        <w:t>”) which may be issued under one or more unit agreements to be entered into among the Company, a bank or trust company, as unit agent (the “</w:t>
      </w:r>
      <w:r>
        <w:rPr>
          <w:rFonts w:ascii="Arial;Helvetica;Sans-Serif" w:hAnsi="Arial;Helvetica;Sans-Serif"/>
          <w:b/>
          <w:i w:val="false"/>
          <w:caps w:val="false"/>
          <w:smallCaps w:val="false"/>
          <w:sz w:val="20"/>
        </w:rPr>
        <w:t>Unit Agent</w:t>
      </w:r>
      <w:r>
        <w:rPr>
          <w:rFonts w:ascii="Arial;Helvetica;Sans-Serif" w:hAnsi="Arial;Helvetica;Sans-Serif"/>
          <w:b w:val="false"/>
          <w:i w:val="false"/>
          <w:caps w:val="false"/>
          <w:smallCaps w:val="false"/>
          <w:sz w:val="20"/>
        </w:rPr>
        <w:t>”), and the holders from time to time of the Units (each such unit agreement, a “</w:t>
      </w:r>
      <w:r>
        <w:rPr>
          <w:rFonts w:ascii="Arial;Helvetica;Sans-Serif" w:hAnsi="Arial;Helvetica;Sans-Serif"/>
          <w:b/>
          <w:i w:val="false"/>
          <w:caps w:val="false"/>
          <w:smallCaps w:val="false"/>
          <w:sz w:val="20"/>
        </w:rPr>
        <w:t>Unit Agreement</w:t>
      </w:r>
      <w:r>
        <w:rPr>
          <w:rFonts w:ascii="Arial;Helvetica;Sans-Serif" w:hAnsi="Arial;Helvetica;Sans-Serif"/>
          <w:b w:val="false"/>
          <w:i w:val="false"/>
          <w:caps w:val="false"/>
          <w:smallCaps w:val="false"/>
          <w:sz w:val="20"/>
        </w:rPr>
        <w:t>”); and (g) depositary shares representing fractional interests in shares or multiple shares of the Preferred Stock (the “</w:t>
      </w:r>
      <w:r>
        <w:rPr>
          <w:rFonts w:ascii="Arial;Helvetica;Sans-Serif" w:hAnsi="Arial;Helvetica;Sans-Serif"/>
          <w:b/>
          <w:i w:val="false"/>
          <w:caps w:val="false"/>
          <w:smallCaps w:val="false"/>
          <w:sz w:val="20"/>
        </w:rPr>
        <w:t>Depositary Shares</w:t>
      </w:r>
      <w:r>
        <w:rPr>
          <w:rFonts w:ascii="Arial;Helvetica;Sans-Serif" w:hAnsi="Arial;Helvetica;Sans-Serif"/>
          <w:b w:val="false"/>
          <w:i w:val="false"/>
          <w:caps w:val="false"/>
          <w:smallCaps w:val="false"/>
          <w:sz w:val="20"/>
        </w:rPr>
        <w:t>”), which may be issued under one or more preferred stock depositary agreements (each, a “</w:t>
      </w:r>
      <w:r>
        <w:rPr>
          <w:rFonts w:ascii="Arial;Helvetica;Sans-Serif" w:hAnsi="Arial;Helvetica;Sans-Serif"/>
          <w:b/>
          <w:i w:val="false"/>
          <w:caps w:val="false"/>
          <w:smallCaps w:val="false"/>
          <w:sz w:val="20"/>
        </w:rPr>
        <w:t>Depositary Agreement</w:t>
      </w:r>
      <w:r>
        <w:rPr>
          <w:rFonts w:ascii="Arial;Helvetica;Sans-Serif" w:hAnsi="Arial;Helvetica;Sans-Serif"/>
          <w:b w:val="false"/>
          <w:i w:val="false"/>
          <w:caps w:val="false"/>
          <w:smallCaps w:val="false"/>
          <w:sz w:val="20"/>
        </w:rPr>
        <w:t>”) to be entered into between the Company and the preferred stock depositary to be named therein (the “</w:t>
      </w:r>
      <w:r>
        <w:rPr>
          <w:rFonts w:ascii="Arial;Helvetica;Sans-Serif" w:hAnsi="Arial;Helvetica;Sans-Serif"/>
          <w:b/>
          <w:i w:val="false"/>
          <w:caps w:val="false"/>
          <w:smallCaps w:val="false"/>
          <w:sz w:val="20"/>
        </w:rPr>
        <w:t>Depositary</w:t>
      </w:r>
      <w:r>
        <w:rPr>
          <w:rFonts w:ascii="Arial;Helvetica;Sans-Serif" w:hAnsi="Arial;Helvetica;San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as your counsel, have examined originals or copies of such documents, corporate records, certificates of public officials and other instruments as we have deemed necessary or advisable for the purpose of rendering this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rendering the opinions expressed herein, we have, without independent inquiry or investigation, assumed that (i) all documents submitted to us as originals are authentic and complete, (ii) all documents submitted to us as copies conform to authentic, complete originals, (iii) all documents filed as exhibits to the Registration Statement that have not been executed will conform to the forms thereof, (iv) all signatures on all documents that we reviewed are genuine, (v) all natural persons executing documents had and have the legal capacity to do so, (vi) all statements in certificates of public officials and officers of the Company that we reviewed were and are accurate and (vii) all representations made by the Company as to matters of fact in the documents that we reviewed were and are accurate.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tbl>
      <w:tblPr>
        <w:tblW w:w="4520" w:type="dxa"/>
        <w:jc w:val="left"/>
        <w:tblInd w:w="0" w:type="dxa"/>
        <w:tblLayout w:type="fixed"/>
        <w:tblCellMar>
          <w:top w:w="0" w:type="dxa"/>
          <w:left w:w="0" w:type="dxa"/>
          <w:bottom w:w="0" w:type="dxa"/>
          <w:right w:w="0" w:type="dxa"/>
        </w:tblCellMar>
      </w:tblPr>
      <w:tblGrid>
        <w:gridCol w:w="1650"/>
        <w:gridCol w:w="2735"/>
        <w:gridCol w:w="60"/>
        <w:gridCol w:w="75"/>
      </w:tblGrid>
      <w:tr>
        <w:trPr/>
        <w:tc>
          <w:tcPr>
            <w:tcW w:w="1650" w:type="dxa"/>
            <w:tcBorders/>
            <w:vAlign w:val="center"/>
          </w:tcPr>
          <w:p>
            <w:pPr>
              <w:pStyle w:val="TableContents"/>
              <w:bidi w:val="0"/>
              <w:spacing w:before="0" w:after="283"/>
              <w:jc w:val="left"/>
              <w:rPr>
                <w:color w:val="140B7F"/>
              </w:rPr>
            </w:pPr>
            <w:r>
              <w:rPr>
                <w:color w:val="140B7F"/>
              </w:rPr>
              <w:drawing>
                <wp:inline distT="0" distB="0" distL="0" distR="0">
                  <wp:extent cx="1000125" cy="1905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5"/>
                          <a:stretch>
                            <a:fillRect/>
                          </a:stretch>
                        </pic:blipFill>
                        <pic:spPr bwMode="auto">
                          <a:xfrm>
                            <a:off x="0" y="0"/>
                            <a:ext cx="1000125" cy="190500"/>
                          </a:xfrm>
                          <a:prstGeom prst="rect">
                            <a:avLst/>
                          </a:prstGeom>
                        </pic:spPr>
                      </pic:pic>
                    </a:graphicData>
                  </a:graphic>
                </wp:inline>
              </w:drawing>
            </w:r>
            <w:r>
              <w:rPr>
                <w:color w:val="140B7F"/>
              </w:rPr>
              <w:t> </w:t>
            </w:r>
          </w:p>
        </w:tc>
        <w:tc>
          <w:tcPr>
            <w:tcW w:w="2735" w:type="dxa"/>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color w:val="140BE3"/>
                <w:sz w:val="18"/>
              </w:rPr>
            </w:pPr>
            <w:r>
              <w:rPr>
                <w:rFonts w:ascii="Arial;Helvetica;Sans-Serif" w:hAnsi="Arial;Helvetica;Sans-Serif"/>
                <w:b w:val="false"/>
                <w:i w:val="false"/>
                <w:caps w:val="false"/>
                <w:smallCaps w:val="false"/>
                <w:color w:val="140BE3"/>
                <w:sz w:val="18"/>
              </w:rPr>
              <w:t>Figure Technology Solutions, Inc.</w:t>
            </w:r>
          </w:p>
          <w:p>
            <w:pPr>
              <w:pStyle w:val="TableContents"/>
              <w:bidi w:val="0"/>
              <w:spacing w:before="0" w:after="0"/>
              <w:ind w:left="0" w:right="0" w:hanging="0"/>
              <w:jc w:val="left"/>
              <w:rPr>
                <w:caps w:val="false"/>
                <w:smallCaps w:val="false"/>
                <w:color w:val="140BE3"/>
              </w:rPr>
            </w:pPr>
            <w:r>
              <w:rPr>
                <w:caps w:val="false"/>
                <w:smallCaps w:val="false"/>
                <w:color w:val="140BE3"/>
              </w:rPr>
              <w:t> </w:t>
            </w:r>
          </w:p>
        </w:tc>
        <w:tc>
          <w:tcPr>
            <w:tcW w:w="60" w:type="dxa"/>
            <w:tcBorders/>
            <w:vAlign w:val="center"/>
          </w:tcPr>
          <w:p>
            <w:pPr>
              <w:pStyle w:val="TableContents"/>
              <w:bidi w:val="0"/>
              <w:spacing w:before="0" w:after="283"/>
              <w:jc w:val="left"/>
              <w:rPr>
                <w:color w:val="140BE3"/>
              </w:rPr>
            </w:pPr>
            <w:r>
              <w:rPr>
                <w:color w:val="140BE3"/>
              </w:rPr>
              <w:t> </w:t>
            </w:r>
          </w:p>
        </w:tc>
        <w:tc>
          <w:tcPr>
            <w:tcW w:w="75" w:type="dxa"/>
            <w:tcBorders/>
            <w:vAlign w:val="center"/>
          </w:tcPr>
          <w:p>
            <w:pPr>
              <w:pStyle w:val="TableContents"/>
              <w:bidi w:val="0"/>
              <w:spacing w:before="0" w:after="283"/>
              <w:jc w:val="right"/>
              <w:rPr>
                <w:caps/>
                <w:color w:val="140BE3"/>
              </w:rPr>
            </w:pPr>
            <w:r>
              <w:rPr>
                <w:caps/>
                <w:color w:val="140BE3"/>
              </w:rPr>
              <w:t> </w:t>
            </w:r>
          </w:p>
        </w:tc>
      </w:tr>
    </w:tbl>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Based upon the foregoing, and subject to the additional assumptions and qualifications set forth below, we advise you that, in our opinion: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3"/>
        <w:gridCol w:w="10025"/>
      </w:tblGrid>
      <w:tr>
        <w:trPr/>
        <w:tc>
          <w:tcPr>
            <w:tcW w:w="3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pPr>
            <w:r>
              <w:rPr/>
              <w:t>1.</w:t>
            </w:r>
          </w:p>
        </w:tc>
        <w:tc>
          <w:tcPr>
            <w:tcW w:w="10025" w:type="dxa"/>
            <w:tcBorders/>
            <w:vAlign w:val="center"/>
          </w:tcPr>
          <w:p>
            <w:pPr>
              <w:pStyle w:val="TableContents"/>
              <w:bidi w:val="0"/>
              <w:spacing w:before="0" w:after="283"/>
              <w:jc w:val="left"/>
              <w:rPr/>
            </w:pPr>
            <w:r>
              <w:rPr/>
              <w:t>When the applicable Indenture and any supplemental indenture to be entered into in connection with the issuance of any Debt Securities has been duly authorized, executed and delivered by the applicable Trustee and the Company; the specific terms of a particular series of Debt Securities have been duly authorized and established in accordance with such Indenture; and such Debt Securities have been duly authorized, executed, authenticated, issued and delivered in accordance with the Indenture and the applicable underwriting or other agreement against payment therefor, such Debt Securities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 provided that we express no opinion as to (w) the enforceability of any waiver of rights under any usury or stay law, (x) the effect of fraudulent conveyance, fraudulent transfer or similar provision of applicable law on the conclusions expressed above, (y) the validity, legally binding effect or enforceability of any section of the applicable Indenture that requires or relates to adjustments to the conversion rate at a rate or in an amount that a court would determine in the circumstances under applicable law to be commercially unreasonable or a penalty or forfeiture or (z) the validity, legally binding effect or enforceability of any provision that permits holders to collect any portion of stated principal amount upon acceleration of the Debt Securities to the extent determined to constitute unearned interest.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6"/>
        <w:gridCol w:w="10022"/>
      </w:tblGrid>
      <w:tr>
        <w:trPr/>
        <w:tc>
          <w:tcPr>
            <w:tcW w:w="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2.</w:t>
            </w:r>
          </w:p>
        </w:tc>
        <w:tc>
          <w:tcPr>
            <w:tcW w:w="10022" w:type="dxa"/>
            <w:tcBorders/>
            <w:vAlign w:val="center"/>
          </w:tcPr>
          <w:p>
            <w:pPr>
              <w:pStyle w:val="TableContents"/>
              <w:bidi w:val="0"/>
              <w:spacing w:before="0" w:after="283"/>
              <w:jc w:val="left"/>
              <w:rPr/>
            </w:pPr>
            <w:r>
              <w:rPr/>
              <w:t>When the Warrant Agreement to be entered into in connection with the issuance of any Warrants has been duly authorized, executed and delivered by the Warrant Agent and the Company; the specific terms of the Warrants have been duly authorized and established in accordance with the Warrant Agreement; and such Warrants have been duly authorized, executed, issued and delivered in accordance with the Warrant Agreement and the applicable underwriting or other agreement against payment therefor, such Warrants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6"/>
        <w:gridCol w:w="10022"/>
      </w:tblGrid>
      <w:tr>
        <w:trPr/>
        <w:tc>
          <w:tcPr>
            <w:tcW w:w="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3.</w:t>
            </w:r>
          </w:p>
        </w:tc>
        <w:tc>
          <w:tcPr>
            <w:tcW w:w="10022" w:type="dxa"/>
            <w:tcBorders/>
            <w:vAlign w:val="center"/>
          </w:tcPr>
          <w:p>
            <w:pPr>
              <w:pStyle w:val="TableContents"/>
              <w:bidi w:val="0"/>
              <w:spacing w:before="0" w:after="283"/>
              <w:jc w:val="left"/>
              <w:rPr/>
            </w:pPr>
            <w:r>
              <w:rPr/>
              <w:t>When the Purchase Contract Agreement to be entered into in connection with the issuance of any Purchase Contracts has been duly authorized, executed and delivered by the Purchase Contract Agent and the Company; the specific terms of the Purchase Contracts have been duly authorized and established in accordance with the Purchase Contract Agreement; and such Purchase Contracts have been duly authorized, executed, issued and delivered in accordance with the Purchase Contract Agreement and the applicable underwriting or other agreement against payment therefor, such Purchase Contracts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7"/>
        <w:gridCol w:w="10021"/>
      </w:tblGrid>
      <w:tr>
        <w:trPr/>
        <w:tc>
          <w:tcPr>
            <w:tcW w:w="3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pPr>
            <w:r>
              <w:rPr/>
              <w:t>4.</w:t>
            </w:r>
          </w:p>
        </w:tc>
        <w:tc>
          <w:tcPr>
            <w:tcW w:w="10021" w:type="dxa"/>
            <w:tcBorders/>
            <w:vAlign w:val="center"/>
          </w:tcPr>
          <w:p>
            <w:pPr>
              <w:pStyle w:val="TableContents"/>
              <w:bidi w:val="0"/>
              <w:spacing w:before="0" w:after="283"/>
              <w:jc w:val="left"/>
              <w:rPr/>
            </w:pPr>
            <w:r>
              <w:rPr/>
              <w:t>When the Unit Agreement to be entered into in connection with the issuance of any Units has been duly authorized, executed and delivered by the Unit Agent and the Company; the specific terms of the Units have been duly authorized and established in accordance with the Unit Agreement; and such Units have been duly authorized, executed, issued and delivered in accordance with the Unit Agreement and the applicable underwriting or other agreement against payment therefor, such Units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w:t>
            </w:r>
          </w:p>
        </w:tc>
      </w:tr>
    </w:tbl>
    <w:p>
      <w:pPr>
        <w:pStyle w:val="TextBody"/>
        <w:bidi w:val="0"/>
        <w:spacing w:before="0" w:after="0"/>
        <w:jc w:val="left"/>
        <w:rPr>
          <w:caps w:val="false"/>
          <w:smallCaps w:val="false"/>
        </w:rPr>
      </w:pPr>
      <w:r>
        <w:rPr>
          <w:caps w:val="false"/>
          <w:smallCaps w:val="false"/>
        </w:rPr>
        <w:t> </w:t>
      </w:r>
    </w:p>
    <w:tbl>
      <w:tblPr>
        <w:tblW w:w="1315" w:type="dxa"/>
        <w:jc w:val="left"/>
        <w:tblInd w:w="0" w:type="dxa"/>
        <w:tblLayout w:type="fixed"/>
        <w:tblCellMar>
          <w:top w:w="28" w:type="dxa"/>
          <w:left w:w="0" w:type="dxa"/>
          <w:bottom w:w="0" w:type="dxa"/>
          <w:right w:w="0" w:type="dxa"/>
        </w:tblCellMar>
      </w:tblPr>
      <w:tblGrid>
        <w:gridCol w:w="1190"/>
        <w:gridCol w:w="125"/>
      </w:tblGrid>
      <w:tr>
        <w:trPr/>
        <w:tc>
          <w:tcPr>
            <w:tcW w:w="1190" w:type="dxa"/>
            <w:tcBorders>
              <w:top w:val="single" w:sz="8" w:space="0" w:color="140BE3"/>
            </w:tcBorders>
            <w:vAlign w:val="center"/>
          </w:tcPr>
          <w:p>
            <w:pPr>
              <w:pStyle w:val="TableContents"/>
              <w:bidi w:val="0"/>
              <w:spacing w:before="0" w:after="283"/>
              <w:jc w:val="left"/>
              <w:rPr>
                <w:sz w:val="18"/>
              </w:rPr>
            </w:pPr>
            <w:r>
              <w:rPr>
                <w:sz w:val="18"/>
              </w:rPr>
              <w:t>October 2, 2026</w:t>
            </w:r>
          </w:p>
        </w:tc>
        <w:tc>
          <w:tcPr>
            <w:tcW w:w="125" w:type="dxa"/>
            <w:tcBorders>
              <w:top w:val="single" w:sz="8" w:space="0" w:color="140BE3"/>
            </w:tcBorders>
            <w:vAlign w:val="center"/>
          </w:tcPr>
          <w:p>
            <w:pPr>
              <w:pStyle w:val="TableContents"/>
              <w:bidi w:val="0"/>
              <w:spacing w:before="0" w:after="283"/>
              <w:jc w:val="right"/>
              <w:rPr>
                <w:sz w:val="18"/>
              </w:rPr>
            </w:pPr>
            <w:r>
              <w:rPr>
                <w:sz w:val="18"/>
              </w:rPr>
              <w:t>2</w:t>
            </w:r>
          </w:p>
        </w:tc>
      </w:tr>
    </w:tbl>
    <w:tbl>
      <w:tblPr>
        <w:tblW w:w="4520" w:type="dxa"/>
        <w:jc w:val="left"/>
        <w:tblInd w:w="0" w:type="dxa"/>
        <w:tblLayout w:type="fixed"/>
        <w:tblCellMar>
          <w:top w:w="0" w:type="dxa"/>
          <w:left w:w="0" w:type="dxa"/>
          <w:bottom w:w="0" w:type="dxa"/>
          <w:right w:w="0" w:type="dxa"/>
        </w:tblCellMar>
      </w:tblPr>
      <w:tblGrid>
        <w:gridCol w:w="1650"/>
        <w:gridCol w:w="2735"/>
        <w:gridCol w:w="60"/>
        <w:gridCol w:w="75"/>
      </w:tblGrid>
      <w:tr>
        <w:trPr/>
        <w:tc>
          <w:tcPr>
            <w:tcW w:w="1650" w:type="dxa"/>
            <w:tcBorders/>
            <w:vAlign w:val="center"/>
          </w:tcPr>
          <w:p>
            <w:pPr>
              <w:pStyle w:val="TableContents"/>
              <w:bidi w:val="0"/>
              <w:spacing w:before="0" w:after="283"/>
              <w:jc w:val="left"/>
              <w:rPr>
                <w:color w:val="140B7F"/>
              </w:rPr>
            </w:pPr>
            <w:r>
              <w:rPr>
                <w:color w:val="140B7F"/>
              </w:rPr>
              <w:drawing>
                <wp:inline distT="0" distB="0" distL="0" distR="0">
                  <wp:extent cx="1000125" cy="1905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26"/>
                          <a:stretch>
                            <a:fillRect/>
                          </a:stretch>
                        </pic:blipFill>
                        <pic:spPr bwMode="auto">
                          <a:xfrm>
                            <a:off x="0" y="0"/>
                            <a:ext cx="1000125" cy="190500"/>
                          </a:xfrm>
                          <a:prstGeom prst="rect">
                            <a:avLst/>
                          </a:prstGeom>
                        </pic:spPr>
                      </pic:pic>
                    </a:graphicData>
                  </a:graphic>
                </wp:inline>
              </w:drawing>
            </w:r>
            <w:r>
              <w:rPr>
                <w:color w:val="140B7F"/>
              </w:rPr>
              <w:t> </w:t>
            </w:r>
          </w:p>
        </w:tc>
        <w:tc>
          <w:tcPr>
            <w:tcW w:w="2735" w:type="dxa"/>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color w:val="140BE3"/>
                <w:sz w:val="18"/>
              </w:rPr>
            </w:pPr>
            <w:r>
              <w:rPr>
                <w:rFonts w:ascii="Arial;Helvetica;Sans-Serif" w:hAnsi="Arial;Helvetica;Sans-Serif"/>
                <w:b w:val="false"/>
                <w:i w:val="false"/>
                <w:caps w:val="false"/>
                <w:smallCaps w:val="false"/>
                <w:color w:val="140BE3"/>
                <w:sz w:val="18"/>
              </w:rPr>
              <w:t>Figure Technology Solutions, Inc.</w:t>
            </w:r>
          </w:p>
          <w:p>
            <w:pPr>
              <w:pStyle w:val="TableContents"/>
              <w:bidi w:val="0"/>
              <w:spacing w:before="0" w:after="0"/>
              <w:ind w:left="0" w:right="0" w:hanging="0"/>
              <w:jc w:val="left"/>
              <w:rPr>
                <w:caps w:val="false"/>
                <w:smallCaps w:val="false"/>
                <w:color w:val="140BE3"/>
              </w:rPr>
            </w:pPr>
            <w:r>
              <w:rPr>
                <w:caps w:val="false"/>
                <w:smallCaps w:val="false"/>
                <w:color w:val="140BE3"/>
              </w:rPr>
              <w:t> </w:t>
            </w:r>
          </w:p>
        </w:tc>
        <w:tc>
          <w:tcPr>
            <w:tcW w:w="60" w:type="dxa"/>
            <w:tcBorders/>
            <w:vAlign w:val="center"/>
          </w:tcPr>
          <w:p>
            <w:pPr>
              <w:pStyle w:val="TableContents"/>
              <w:bidi w:val="0"/>
              <w:spacing w:before="0" w:after="283"/>
              <w:jc w:val="left"/>
              <w:rPr>
                <w:color w:val="140BE3"/>
              </w:rPr>
            </w:pPr>
            <w:r>
              <w:rPr>
                <w:color w:val="140BE3"/>
              </w:rPr>
              <w:t> </w:t>
            </w:r>
          </w:p>
        </w:tc>
        <w:tc>
          <w:tcPr>
            <w:tcW w:w="75" w:type="dxa"/>
            <w:tcBorders/>
            <w:vAlign w:val="center"/>
          </w:tcPr>
          <w:p>
            <w:pPr>
              <w:pStyle w:val="TableContents"/>
              <w:bidi w:val="0"/>
              <w:spacing w:before="0" w:after="283"/>
              <w:jc w:val="right"/>
              <w:rPr>
                <w:caps/>
                <w:color w:val="140BE3"/>
              </w:rPr>
            </w:pPr>
            <w:r>
              <w:rPr>
                <w:caps/>
                <w:color w:val="140BE3"/>
              </w:rPr>
              <w:t> </w:t>
            </w:r>
          </w:p>
        </w:tc>
      </w:tr>
    </w:tbl>
    <w:tbl>
      <w:tblPr>
        <w:tblW w:w="5000" w:type="pct"/>
        <w:jc w:val="left"/>
        <w:tblInd w:w="0" w:type="dxa"/>
        <w:tblLayout w:type="fixed"/>
        <w:tblCellMar>
          <w:top w:w="0" w:type="dxa"/>
          <w:left w:w="0" w:type="dxa"/>
          <w:bottom w:w="0" w:type="dxa"/>
          <w:right w:w="0" w:type="dxa"/>
        </w:tblCellMar>
      </w:tblPr>
      <w:tblGrid>
        <w:gridCol w:w="37"/>
        <w:gridCol w:w="146"/>
        <w:gridCol w:w="10022"/>
      </w:tblGrid>
      <w:tr>
        <w:trPr/>
        <w:tc>
          <w:tcPr>
            <w:tcW w:w="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5.</w:t>
            </w:r>
          </w:p>
        </w:tc>
        <w:tc>
          <w:tcPr>
            <w:tcW w:w="10022" w:type="dxa"/>
            <w:tcBorders/>
            <w:vAlign w:val="center"/>
          </w:tcPr>
          <w:p>
            <w:pPr>
              <w:pStyle w:val="TableContents"/>
              <w:bidi w:val="0"/>
              <w:spacing w:before="0" w:after="283"/>
              <w:jc w:val="left"/>
              <w:rPr/>
            </w:pPr>
            <w:r>
              <w:rPr/>
              <w:t>When the Depositary Agreement to be entered into in connection with the issuance of any Depositary Shares has been duly authorized, executed and delivered by the Depositary and the Company; the specific terms of the Depositary Shares have been duly authorized and established in accordance with the Depositary Agreement; and such Depositary Shares have been duly authorized, executed, issued and delivered in accordance with the Depositary Agreement and the applicable underwriting or other agreement against payment therefor, such Depositary Shares will constitute legal and valid interests in the corresponding shares of Preferred Stock, subject to applicable bankruptcy, insolvency and similar laws affecting creditors’ rights generally, concepts of reasonableness and equitable principles of general applicability.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connection with the opinions expressed above, we have assumed that, at or prior to the time of the delivery of any such security, (i) the Board of Directors of the Company, as required under Nevada law, shall have duly established the terms of such security (and that such security is governed by the laws of the State of New York) and duly authorized the issuance and sale of such security and such authorization shall not have been modified or rescinded; (ii) the Company is, and shall remain, validly existing as a corporation in good standing (to the extent such concept exists) under the laws of Nevada; (iii) the Registration Statement shall have been declared effective and such effectiveness shall not have been terminated or rescinded; (iv) the applicable Indenture, Warrant Agreement, Purchase Contract Agreement, Unit Agreement and Depositary Agreement (collectively, the “</w:t>
      </w:r>
      <w:r>
        <w:rPr>
          <w:rFonts w:ascii="Arial;Helvetica;Sans-Serif" w:hAnsi="Arial;Helvetica;Sans-Serif"/>
          <w:b/>
          <w:i w:val="false"/>
          <w:caps w:val="false"/>
          <w:smallCaps w:val="false"/>
          <w:sz w:val="20"/>
        </w:rPr>
        <w:t>Documents</w:t>
      </w:r>
      <w:r>
        <w:rPr>
          <w:rFonts w:ascii="Arial;Helvetica;Sans-Serif" w:hAnsi="Arial;Helvetica;Sans-Serif"/>
          <w:b w:val="false"/>
          <w:i w:val="false"/>
          <w:caps w:val="false"/>
          <w:smallCaps w:val="false"/>
          <w:sz w:val="20"/>
        </w:rPr>
        <w:t>”) are each valid, binding and enforceable agreements of each party thereto (other than as expressly covered above in respect of the Company); and (v) there shall not have occurred any change in law affecting the validity or enforceability of such security. We have also assumed that the execution, delivery and performance by the Company of any security whose terms are established subsequent to the date hereof (a) are within its corporate powers, (b) do not contravene, or constitute a default under, the articles of association or other constitutive documents of the Company, (c) require no action by or in respect of, or filing with, any governmental body, agency or official and (d) do not contravene, or constitute a default under public policy, any provision of applicable law or regulation or any judgment, injunction, order or decree or any agreement or other instrument binding upon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are members of the Bar of the State of New York and the foregoing opinion is limited to the laws of the State of New York and the federal laws of the United States, except that we express no opinion as to (i) any law, rule or regulation that is applicable to the Company, the Documents or such transactions solely because such law, rule or regulation is part of a regulatory regime applicable to any party to any of the Documents or any of its affiliates due to the specific assets or business of such party or such affiliate or (ii) any law, rule or regulation relating to national security. Insofar as the foregoing opinion involves matters governed by the laws of Nevada, we have relied, without independent inquiry or investigation, on the opinion of Brownstein Hyatt Farber Schreck, LLP delivered to you today.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hereby consent to the filing of this opinion as an exhibit to the Registration Statement referred to above and further consent to the reference to our name under the caption “Legal Matters” in the prospectus, which is a part of the Registration Statement. In giving this consent, we do not admit that we are in the category of persons whose consent is required under Section 7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 Davis Polk &amp; Wardwell LLP</w:t>
      </w:r>
    </w:p>
    <w:p>
      <w:pPr>
        <w:pStyle w:val="TextBody"/>
        <w:bidi w:val="0"/>
        <w:spacing w:before="0" w:after="0"/>
        <w:ind w:left="0" w:right="0" w:hanging="0"/>
        <w:jc w:val="left"/>
        <w:rPr>
          <w:caps w:val="false"/>
          <w:smallCaps w:val="false"/>
        </w:rPr>
      </w:pPr>
      <w:r>
        <w:rPr>
          <w:caps w:val="false"/>
          <w:smallCaps w:val="false"/>
        </w:rPr>
        <w:t> </w:t>
      </w:r>
    </w:p>
    <w:tbl>
      <w:tblPr>
        <w:tblW w:w="1315" w:type="dxa"/>
        <w:jc w:val="left"/>
        <w:tblInd w:w="0" w:type="dxa"/>
        <w:tblLayout w:type="fixed"/>
        <w:tblCellMar>
          <w:top w:w="28" w:type="dxa"/>
          <w:left w:w="0" w:type="dxa"/>
          <w:bottom w:w="0" w:type="dxa"/>
          <w:right w:w="0" w:type="dxa"/>
        </w:tblCellMar>
      </w:tblPr>
      <w:tblGrid>
        <w:gridCol w:w="1190"/>
        <w:gridCol w:w="125"/>
      </w:tblGrid>
      <w:tr>
        <w:trPr/>
        <w:tc>
          <w:tcPr>
            <w:tcW w:w="1190" w:type="dxa"/>
            <w:tcBorders>
              <w:top w:val="single" w:sz="8" w:space="0" w:color="140BE3"/>
            </w:tcBorders>
            <w:vAlign w:val="center"/>
          </w:tcPr>
          <w:p>
            <w:pPr>
              <w:pStyle w:val="TableContents"/>
              <w:bidi w:val="0"/>
              <w:spacing w:before="0" w:after="283"/>
              <w:jc w:val="left"/>
              <w:rPr>
                <w:sz w:val="18"/>
              </w:rPr>
            </w:pPr>
            <w:r>
              <w:rPr>
                <w:sz w:val="18"/>
              </w:rPr>
              <w:t>October 2, 2026</w:t>
            </w:r>
          </w:p>
        </w:tc>
        <w:tc>
          <w:tcPr>
            <w:tcW w:w="125" w:type="dxa"/>
            <w:tcBorders>
              <w:top w:val="single" w:sz="8" w:space="0" w:color="140BE3"/>
            </w:tcBorders>
            <w:vAlign w:val="center"/>
          </w:tcPr>
          <w:p>
            <w:pPr>
              <w:pStyle w:val="TableContents"/>
              <w:bidi w:val="0"/>
              <w:spacing w:before="0" w:after="283"/>
              <w:jc w:val="right"/>
              <w:rPr>
                <w:sz w:val="18"/>
              </w:rPr>
            </w:pPr>
            <w:r>
              <w:rPr>
                <w:sz w:val="18"/>
              </w:rPr>
              <w:t>3</w:t>
            </w:r>
          </w:p>
        </w:tc>
      </w:tr>
    </w:tbl>
    <w:p>
      <w:pPr>
        <w:pStyle w:val="TextBody"/>
        <w:bidi w:val="0"/>
        <w:jc w:val="left"/>
        <w:rPr/>
      </w:pPr>
      <w:bookmarkStart w:id="23" w:name="dp254272_ex5b.htm"/>
      <w:bookmarkStart w:id="24" w:name="ksdp254272_ex5b"/>
      <w:bookmarkEnd w:id="23"/>
      <w:bookmarkEnd w:id="24"/>
      <w:r>
        <w:rPr/>
        <w:t> </w:t>
      </w:r>
      <w:r>
        <w:br w:type="page"/>
      </w:r>
    </w:p>
    <w:p>
      <w:pPr>
        <w:pStyle w:val="TextBody"/>
        <w:bidi w:val="0"/>
        <w:jc w:val="right"/>
        <w:rPr>
          <w:b/>
        </w:rPr>
      </w:pPr>
      <w:r>
        <w:rPr>
          <w:b/>
        </w:rPr>
        <w:t>Exhibit 5-b and 23-c</w:t>
      </w:r>
    </w:p>
    <w:p>
      <w:pPr>
        <w:pStyle w:val="TextBody"/>
        <w:bidi w:val="0"/>
        <w:spacing w:before="0" w:after="283"/>
        <w:jc w:val="left"/>
        <w:rPr/>
      </w:pPr>
      <w:r>
        <w:rPr/>
        <w:t> </w:t>
      </w:r>
    </w:p>
    <w:tbl>
      <w:tblPr>
        <w:tblW w:w="6965" w:type="dxa"/>
        <w:jc w:val="left"/>
        <w:tblInd w:w="0" w:type="dxa"/>
        <w:tblLayout w:type="fixed"/>
        <w:tblCellMar>
          <w:top w:w="30" w:type="dxa"/>
          <w:left w:w="30" w:type="dxa"/>
          <w:bottom w:w="30" w:type="dxa"/>
          <w:right w:w="30" w:type="dxa"/>
        </w:tblCellMar>
      </w:tblPr>
      <w:tblGrid>
        <w:gridCol w:w="3270"/>
        <w:gridCol w:w="3695"/>
      </w:tblGrid>
      <w:tr>
        <w:trPr/>
        <w:tc>
          <w:tcPr>
            <w:tcW w:w="3270" w:type="dxa"/>
            <w:tcBorders/>
            <w:vAlign w:val="center"/>
          </w:tcPr>
          <w:p>
            <w:pPr>
              <w:pStyle w:val="TableContents"/>
              <w:bidi w:val="0"/>
              <w:spacing w:before="0" w:after="283"/>
              <w:jc w:val="left"/>
              <w:rPr/>
            </w:pPr>
            <w:r>
              <w:rPr/>
              <w:drawing>
                <wp:inline distT="0" distB="0" distL="0" distR="0">
                  <wp:extent cx="1971675" cy="2952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27"/>
                          <a:stretch>
                            <a:fillRect/>
                          </a:stretch>
                        </pic:blipFill>
                        <pic:spPr bwMode="auto">
                          <a:xfrm>
                            <a:off x="0" y="0"/>
                            <a:ext cx="1971675" cy="295275"/>
                          </a:xfrm>
                          <a:prstGeom prst="rect">
                            <a:avLst/>
                          </a:prstGeom>
                        </pic:spPr>
                      </pic:pic>
                    </a:graphicData>
                  </a:graphic>
                </wp:inline>
              </w:drawing>
            </w:r>
            <w:r>
              <w:rPr/>
              <w:t> </w:t>
            </w:r>
          </w:p>
        </w:tc>
        <w:tc>
          <w:tcPr>
            <w:tcW w:w="3695" w:type="dxa"/>
            <w:tcBorders/>
            <w:vAlign w:val="center"/>
          </w:tcPr>
          <w:p>
            <w:pPr>
              <w:pStyle w:val="TableContents"/>
              <w:bidi w:val="0"/>
              <w:spacing w:before="0" w:after="0"/>
              <w:ind w:left="0" w:right="0" w:hanging="0"/>
              <w:jc w:val="left"/>
              <w:rPr>
                <w:rFonts w:ascii="Arial;Helvetica;Sans-Serif" w:hAnsi="Arial;Helvetica;Sans-Serif"/>
                <w:b/>
                <w:i w:val="false"/>
                <w:caps w:val="false"/>
                <w:smallCaps w:val="false"/>
                <w:color w:val="051C2C"/>
                <w:sz w:val="20"/>
              </w:rPr>
            </w:pPr>
            <w:r>
              <w:rPr>
                <w:rFonts w:ascii="Arial;Helvetica;Sans-Serif" w:hAnsi="Arial;Helvetica;Sans-Serif"/>
                <w:b/>
                <w:i w:val="false"/>
                <w:caps w:val="false"/>
                <w:smallCaps w:val="false"/>
                <w:color w:val="051C2C"/>
                <w:sz w:val="20"/>
              </w:rPr>
              <w:t>Brownstein Hyatt Farber Schreck, LLP</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702.382.2101 main</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100 North City Parkway, Suite 1600</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Las Vegas, Nevada 89106</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October 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Figure Technology Solutions, Inc.</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100 West Liberty Street, Suite 600</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Reno, Nevada 89501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 the addressee set forth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acted as local Nevada counsel to Figure Technology Solutions, Inc., a Nevada corporation (the “</w:t>
      </w:r>
      <w:r>
        <w:rPr>
          <w:rFonts w:ascii="Arial;Helvetica;Sans-Serif" w:hAnsi="Arial;Helvetica;Sans-Serif"/>
          <w:b w:val="false"/>
          <w:i w:val="false"/>
          <w:caps w:val="false"/>
          <w:smallCaps w:val="false"/>
          <w:sz w:val="20"/>
          <w:u w:val="single"/>
        </w:rPr>
        <w:t>Company</w:t>
      </w:r>
      <w:r>
        <w:rPr>
          <w:rFonts w:ascii="Arial;Helvetica;Sans-Serif" w:hAnsi="Arial;Helvetica;Sans-Serif"/>
          <w:b w:val="false"/>
          <w:i w:val="false"/>
          <w:caps w:val="false"/>
          <w:smallCaps w:val="false"/>
          <w:sz w:val="20"/>
        </w:rPr>
        <w:t>”), in connection with the filing by the Company of a registration statement on Form S-3, including the base prospectus (the “</w:t>
      </w:r>
      <w:r>
        <w:rPr>
          <w:rFonts w:ascii="Arial;Helvetica;Sans-Serif" w:hAnsi="Arial;Helvetica;Sans-Serif"/>
          <w:b w:val="false"/>
          <w:i w:val="false"/>
          <w:caps w:val="false"/>
          <w:smallCaps w:val="false"/>
          <w:sz w:val="20"/>
          <w:u w:val="single"/>
        </w:rPr>
        <w:t>Prospectus</w:t>
      </w:r>
      <w:r>
        <w:rPr>
          <w:rFonts w:ascii="Arial;Helvetica;Sans-Serif" w:hAnsi="Arial;Helvetica;Sans-Serif"/>
          <w:b w:val="false"/>
          <w:i w:val="false"/>
          <w:caps w:val="false"/>
          <w:smallCaps w:val="false"/>
          <w:sz w:val="20"/>
        </w:rPr>
        <w:t>”) contained therein (the “</w:t>
      </w:r>
      <w:r>
        <w:rPr>
          <w:rFonts w:ascii="Arial;Helvetica;Sans-Serif" w:hAnsi="Arial;Helvetica;Sans-Serif"/>
          <w:b w:val="false"/>
          <w:i w:val="false"/>
          <w:caps w:val="false"/>
          <w:smallCaps w:val="false"/>
          <w:sz w:val="20"/>
          <w:u w:val="single"/>
        </w:rPr>
        <w:t>Registration Statement</w:t>
      </w:r>
      <w:r>
        <w:rPr>
          <w:rFonts w:ascii="Arial;Helvetica;Sans-Serif" w:hAnsi="Arial;Helvetica;Sans-Serif"/>
          <w:b w:val="false"/>
          <w:i w:val="false"/>
          <w:caps w:val="false"/>
          <w:smallCaps w:val="false"/>
          <w:sz w:val="20"/>
        </w:rPr>
        <w:t>”), with the Securities and Exchange Commission (the “</w:t>
      </w:r>
      <w:r>
        <w:rPr>
          <w:rFonts w:ascii="Arial;Helvetica;Sans-Serif" w:hAnsi="Arial;Helvetica;Sans-Serif"/>
          <w:b w:val="false"/>
          <w:i w:val="false"/>
          <w:caps w:val="false"/>
          <w:smallCaps w:val="false"/>
          <w:sz w:val="20"/>
          <w:u w:val="single"/>
        </w:rPr>
        <w:t>Commission</w:t>
      </w:r>
      <w:r>
        <w:rPr>
          <w:rFonts w:ascii="Arial;Helvetica;Sans-Serif" w:hAnsi="Arial;Helvetica;Sans-Serif"/>
          <w:b w:val="false"/>
          <w:i w:val="false"/>
          <w:caps w:val="false"/>
          <w:smallCaps w:val="false"/>
          <w:sz w:val="20"/>
        </w:rPr>
        <w:t>”) under the Securities Act of 1933, as amended (the “</w:t>
      </w:r>
      <w:r>
        <w:rPr>
          <w:rFonts w:ascii="Arial;Helvetica;Sans-Serif" w:hAnsi="Arial;Helvetica;Sans-Serif"/>
          <w:b w:val="false"/>
          <w:i w:val="false"/>
          <w:caps w:val="false"/>
          <w:smallCaps w:val="false"/>
          <w:sz w:val="20"/>
          <w:u w:val="single"/>
        </w:rPr>
        <w:t>Act</w:t>
      </w:r>
      <w:r>
        <w:rPr>
          <w:rFonts w:ascii="Arial;Helvetica;Sans-Serif" w:hAnsi="Arial;Helvetica;Sans-Serif"/>
          <w:b w:val="false"/>
          <w:i w:val="false"/>
          <w:caps w:val="false"/>
          <w:smallCaps w:val="false"/>
          <w:sz w:val="20"/>
        </w:rPr>
        <w:t>”), relating to the registration for offer and sale from time to time by the Company of an indeterminate number of the following securities of the Company: (i) senior or subordinated debt securities (“</w:t>
      </w:r>
      <w:r>
        <w:rPr>
          <w:rFonts w:ascii="Arial;Helvetica;Sans-Serif" w:hAnsi="Arial;Helvetica;Sans-Serif"/>
          <w:b w:val="false"/>
          <w:i w:val="false"/>
          <w:caps w:val="false"/>
          <w:smallCaps w:val="false"/>
          <w:sz w:val="20"/>
          <w:u w:val="single"/>
        </w:rPr>
        <w:t>Debt Securities</w:t>
      </w:r>
      <w:r>
        <w:rPr>
          <w:rFonts w:ascii="Arial;Helvetica;Sans-Serif" w:hAnsi="Arial;Helvetica;Sans-Serif"/>
          <w:b w:val="false"/>
          <w:i w:val="false"/>
          <w:caps w:val="false"/>
          <w:smallCaps w:val="false"/>
          <w:sz w:val="20"/>
        </w:rPr>
        <w:t>”) to be issued pursuant to one or more indentures, in substantially the form filed as an exhibit to the Registration Statement (each, as amended or supplemented through and including the date of each issuance of Debt Securities, an “</w:t>
      </w:r>
      <w:r>
        <w:rPr>
          <w:rFonts w:ascii="Arial;Helvetica;Sans-Serif" w:hAnsi="Arial;Helvetica;Sans-Serif"/>
          <w:b w:val="false"/>
          <w:i w:val="false"/>
          <w:caps w:val="false"/>
          <w:smallCaps w:val="false"/>
          <w:sz w:val="20"/>
          <w:u w:val="single"/>
        </w:rPr>
        <w:t>Indenture</w:t>
      </w:r>
      <w:r>
        <w:rPr>
          <w:rFonts w:ascii="Arial;Helvetica;Sans-Serif" w:hAnsi="Arial;Helvetica;Sans-Serif"/>
          <w:b w:val="false"/>
          <w:i w:val="false"/>
          <w:caps w:val="false"/>
          <w:smallCaps w:val="false"/>
          <w:sz w:val="20"/>
        </w:rPr>
        <w:t>”), including any Debt Securities issuable upon the exercise of any Warrants (as defined below) to purchase Debt Securities; (ii) shares (“</w:t>
      </w:r>
      <w:r>
        <w:rPr>
          <w:rFonts w:ascii="Arial;Helvetica;Sans-Serif" w:hAnsi="Arial;Helvetica;Sans-Serif"/>
          <w:b w:val="false"/>
          <w:i w:val="false"/>
          <w:caps w:val="false"/>
          <w:smallCaps w:val="false"/>
          <w:sz w:val="20"/>
          <w:u w:val="single"/>
        </w:rPr>
        <w:t>Preferred Shares</w:t>
      </w:r>
      <w:r>
        <w:rPr>
          <w:rFonts w:ascii="Arial;Helvetica;Sans-Serif" w:hAnsi="Arial;Helvetica;Sans-Serif"/>
          <w:b w:val="false"/>
          <w:i w:val="false"/>
          <w:caps w:val="false"/>
          <w:smallCaps w:val="false"/>
          <w:sz w:val="20"/>
        </w:rPr>
        <w:t>”) of the Company’s preferred stock, par value $0.0001 per share (“</w:t>
      </w:r>
      <w:r>
        <w:rPr>
          <w:rFonts w:ascii="Arial;Helvetica;Sans-Serif" w:hAnsi="Arial;Helvetica;Sans-Serif"/>
          <w:b w:val="false"/>
          <w:i w:val="false"/>
          <w:caps w:val="false"/>
          <w:smallCaps w:val="false"/>
          <w:sz w:val="20"/>
          <w:u w:val="single"/>
        </w:rPr>
        <w:t>Preferred Stock</w:t>
      </w:r>
      <w:r>
        <w:rPr>
          <w:rFonts w:ascii="Arial;Helvetica;Sans-Serif" w:hAnsi="Arial;Helvetica;Sans-Serif"/>
          <w:b w:val="false"/>
          <w:i w:val="false"/>
          <w:caps w:val="false"/>
          <w:smallCaps w:val="false"/>
          <w:sz w:val="20"/>
        </w:rPr>
        <w:t>”), in one or more series, which include any shares of Preferred Stock issuable upon (a) the conversion or exchange, as applicable, of any Debt Securities and (b) the exercise of any Warrants to purchase shares of Preferred Stock; (iii) shares (“</w:t>
      </w:r>
      <w:r>
        <w:rPr>
          <w:rFonts w:ascii="Arial;Helvetica;Sans-Serif" w:hAnsi="Arial;Helvetica;Sans-Serif"/>
          <w:b w:val="false"/>
          <w:i w:val="false"/>
          <w:caps w:val="false"/>
          <w:smallCaps w:val="false"/>
          <w:sz w:val="20"/>
          <w:u w:val="single"/>
        </w:rPr>
        <w:t>Common Shares</w:t>
      </w:r>
      <w:r>
        <w:rPr>
          <w:rFonts w:ascii="Arial;Helvetica;Sans-Serif" w:hAnsi="Arial;Helvetica;Sans-Serif"/>
          <w:b w:val="false"/>
          <w:i w:val="false"/>
          <w:caps w:val="false"/>
          <w:smallCaps w:val="false"/>
          <w:sz w:val="20"/>
        </w:rPr>
        <w:t>” and, together with Preferred Shares, “</w:t>
      </w:r>
      <w:r>
        <w:rPr>
          <w:rFonts w:ascii="Arial;Helvetica;Sans-Serif" w:hAnsi="Arial;Helvetica;Sans-Serif"/>
          <w:b w:val="false"/>
          <w:i w:val="false"/>
          <w:caps w:val="false"/>
          <w:smallCaps w:val="false"/>
          <w:sz w:val="20"/>
          <w:u w:val="single"/>
        </w:rPr>
        <w:t>Shares</w:t>
      </w:r>
      <w:r>
        <w:rPr>
          <w:rFonts w:ascii="Arial;Helvetica;Sans-Serif" w:hAnsi="Arial;Helvetica;Sans-Serif"/>
          <w:b w:val="false"/>
          <w:i w:val="false"/>
          <w:caps w:val="false"/>
          <w:smallCaps w:val="false"/>
          <w:sz w:val="20"/>
        </w:rPr>
        <w:t>”) of the Company’s Class A common stock, par value $0.0001 per share (“</w:t>
      </w:r>
      <w:r>
        <w:rPr>
          <w:rFonts w:ascii="Arial;Helvetica;Sans-Serif" w:hAnsi="Arial;Helvetica;Sans-Serif"/>
          <w:b w:val="false"/>
          <w:i w:val="false"/>
          <w:caps w:val="false"/>
          <w:smallCaps w:val="false"/>
          <w:sz w:val="20"/>
          <w:u w:val="single"/>
        </w:rPr>
        <w:t>Common Stock</w:t>
      </w:r>
      <w:r>
        <w:rPr>
          <w:rFonts w:ascii="Arial;Helvetica;Sans-Serif" w:hAnsi="Arial;Helvetica;Sans-Serif"/>
          <w:b w:val="false"/>
          <w:i w:val="false"/>
          <w:caps w:val="false"/>
          <w:smallCaps w:val="false"/>
          <w:sz w:val="20"/>
        </w:rPr>
        <w:t>”), which include any shares of Common Stock issuable upon (a) the conversion or exchange, as applicable, of any Debt Securities or Preferred Stock and (b) the exercise of any Warrants to purchase shares of Common Stock; (iv) warrants to purchase Debt Securities, shares of Preferred Stock, shares of Common Stock or securities of third parties or other rights, including rights to receive payment in cash or securities based on the value, rate or price of one or more specified commodities, currencies, securities or indices, or any combination of the foregoing (collectively, “</w:t>
      </w:r>
      <w:r>
        <w:rPr>
          <w:rFonts w:ascii="Arial;Helvetica;Sans-Serif" w:hAnsi="Arial;Helvetica;Sans-Serif"/>
          <w:b w:val="false"/>
          <w:i w:val="false"/>
          <w:caps w:val="false"/>
          <w:smallCaps w:val="false"/>
          <w:sz w:val="20"/>
          <w:u w:val="single"/>
        </w:rPr>
        <w:t>Warrants</w:t>
      </w:r>
      <w:r>
        <w:rPr>
          <w:rFonts w:ascii="Arial;Helvetica;Sans-Serif" w:hAnsi="Arial;Helvetica;Sans-Serif"/>
          <w:b w:val="false"/>
          <w:i w:val="false"/>
          <w:caps w:val="false"/>
          <w:smallCaps w:val="false"/>
          <w:sz w:val="20"/>
        </w:rPr>
        <w:t>”), to be issued pursuant to one or more warrant agreements (each, a “</w:t>
      </w:r>
      <w:r>
        <w:rPr>
          <w:rFonts w:ascii="Arial;Helvetica;Sans-Serif" w:hAnsi="Arial;Helvetica;Sans-Serif"/>
          <w:b w:val="false"/>
          <w:i w:val="false"/>
          <w:caps w:val="false"/>
          <w:smallCaps w:val="false"/>
          <w:sz w:val="20"/>
          <w:u w:val="single"/>
        </w:rPr>
        <w:t>Warrant Agreement</w:t>
      </w:r>
      <w:r>
        <w:rPr>
          <w:rFonts w:ascii="Arial;Helvetica;Sans-Serif" w:hAnsi="Arial;Helvetica;Sans-Serif"/>
          <w:b w:val="false"/>
          <w:i w:val="false"/>
          <w:caps w:val="false"/>
          <w:smallCaps w:val="false"/>
          <w:sz w:val="20"/>
        </w:rPr>
        <w:t>”); (v) purchase contracts entitling the holders thereof to purchase from or sell to the Company, and obligating the Company to sell or to purchase from such holders, Debt Securities, shares of Preferred Stock, shares of Common Stock or securities of third parties, a basket of such securities, an index or indices of such securities or any combination of the foregoing, currencies or commodities, at a future date or dates (collectively, “</w:t>
      </w:r>
      <w:r>
        <w:rPr>
          <w:rFonts w:ascii="Arial;Helvetica;Sans-Serif" w:hAnsi="Arial;Helvetica;Sans-Serif"/>
          <w:b w:val="false"/>
          <w:i w:val="false"/>
          <w:caps w:val="false"/>
          <w:smallCaps w:val="false"/>
          <w:sz w:val="20"/>
          <w:u w:val="single"/>
        </w:rPr>
        <w:t>Purchase Contracts</w:t>
      </w:r>
      <w:r>
        <w:rPr>
          <w:rFonts w:ascii="Arial;Helvetica;Sans-Serif" w:hAnsi="Arial;Helvetica;Sans-Serif"/>
          <w:b w:val="false"/>
          <w:i w:val="false"/>
          <w:caps w:val="false"/>
          <w:smallCaps w:val="false"/>
          <w:sz w:val="20"/>
        </w:rPr>
        <w:t>”); and (vi) units comprising any combination of the foregoing Securities (“</w:t>
      </w:r>
      <w:r>
        <w:rPr>
          <w:rFonts w:ascii="Arial;Helvetica;Sans-Serif" w:hAnsi="Arial;Helvetica;Sans-Serif"/>
          <w:b w:val="false"/>
          <w:i w:val="false"/>
          <w:caps w:val="false"/>
          <w:smallCaps w:val="false"/>
          <w:sz w:val="20"/>
          <w:u w:val="single"/>
        </w:rPr>
        <w:t>Units</w:t>
      </w:r>
      <w:r>
        <w:rPr>
          <w:rFonts w:ascii="Arial;Helvetica;Sans-Serif" w:hAnsi="Arial;Helvetica;Sans-Serif"/>
          <w:b w:val="false"/>
          <w:i w:val="false"/>
          <w:caps w:val="false"/>
          <w:smallCaps w:val="false"/>
          <w:sz w:val="20"/>
        </w:rPr>
        <w:t>” and, together with Debt Securities, Shares, Warrants and Purchase Contracts, “</w:t>
      </w:r>
      <w:r>
        <w:rPr>
          <w:rFonts w:ascii="Arial;Helvetica;Sans-Serif" w:hAnsi="Arial;Helvetica;Sans-Serif"/>
          <w:b w:val="false"/>
          <w:i w:val="false"/>
          <w:caps w:val="false"/>
          <w:smallCaps w:val="false"/>
          <w:sz w:val="20"/>
          <w:u w:val="single"/>
        </w:rPr>
        <w:t>Securities</w:t>
      </w:r>
      <w:r>
        <w:rPr>
          <w:rFonts w:ascii="Arial;Helvetica;Sans-Serif" w:hAnsi="Arial;Helvetica;Sans-Serif"/>
          <w:b w:val="false"/>
          <w:i w:val="false"/>
          <w:caps w:val="false"/>
          <w:smallCaps w:val="false"/>
          <w:sz w:val="20"/>
        </w:rPr>
        <w:t>”) to be issued pursuant to one or more unit agreements (collectively, “</w:t>
      </w:r>
      <w:r>
        <w:rPr>
          <w:rFonts w:ascii="Arial;Helvetica;Sans-Serif" w:hAnsi="Arial;Helvetica;Sans-Serif"/>
          <w:b w:val="false"/>
          <w:i w:val="false"/>
          <w:caps w:val="false"/>
          <w:smallCaps w:val="false"/>
          <w:sz w:val="20"/>
          <w:u w:val="single"/>
        </w:rPr>
        <w:t>Unit Agreements</w:t>
      </w:r>
      <w:r>
        <w:rPr>
          <w:rFonts w:ascii="Arial;Helvetica;Sans-Serif" w:hAnsi="Arial;Helvetica;Sans-Serif"/>
          <w:b w:val="false"/>
          <w:i w:val="false"/>
          <w:caps w:val="false"/>
          <w:smallCaps w:val="false"/>
          <w:sz w:val="20"/>
        </w:rPr>
        <w:t>”). This opinion letter is being delivered at your request pursuant to the requirements of Item 601(b)(5) of Regulation S-K under the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our capacity as such counsel, we are familiar with the proceedings taken and proposed to be taken by the Company in connection with the authorization and issuance of Securities as described in the</w:t>
      </w:r>
    </w:p>
    <w:p>
      <w:pPr>
        <w:pStyle w:val="TextBody"/>
        <w:bidi w:val="0"/>
        <w:spacing w:before="0" w:after="0"/>
        <w:ind w:left="0" w:right="0" w:firstLine="720"/>
        <w:jc w:val="left"/>
        <w:rPr>
          <w:caps w:val="false"/>
          <w:smallCaps w:val="false"/>
        </w:rPr>
      </w:pPr>
      <w:r>
        <w:rPr>
          <w:caps w:val="false"/>
          <w:smallCaps w:val="false"/>
        </w:rPr>
        <w:t> </w:t>
      </w:r>
    </w:p>
    <w:tbl>
      <w:tblPr>
        <w:tblW w:w="1490" w:type="dxa"/>
        <w:jc w:val="left"/>
        <w:tblInd w:w="0" w:type="dxa"/>
        <w:tblLayout w:type="fixed"/>
        <w:tblCellMar>
          <w:top w:w="0" w:type="dxa"/>
          <w:left w:w="0" w:type="dxa"/>
          <w:bottom w:w="0" w:type="dxa"/>
          <w:right w:w="0" w:type="dxa"/>
        </w:tblCellMar>
      </w:tblPr>
      <w:tblGrid>
        <w:gridCol w:w="75"/>
        <w:gridCol w:w="1415"/>
      </w:tblGrid>
      <w:tr>
        <w:trPr/>
        <w:tc>
          <w:tcPr>
            <w:tcW w:w="75"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0"/>
              <w:ind w:left="0" w:right="0" w:hanging="0"/>
              <w:jc w:val="center"/>
              <w:rPr>
                <w:rFonts w:ascii="Arial;Helvetica;Sans-Serif" w:hAnsi="Arial;Helvetica;Sans-Serif"/>
                <w:b/>
                <w:i w:val="false"/>
                <w:caps w:val="false"/>
                <w:smallCaps w:val="false"/>
                <w:color w:val="007AFF"/>
                <w:sz w:val="20"/>
              </w:rPr>
            </w:pPr>
            <w:r>
              <w:rPr>
                <w:rFonts w:ascii="Arial;Helvetica;Sans-Serif" w:hAnsi="Arial;Helvetica;Sans-Serif"/>
                <w:b/>
                <w:i w:val="false"/>
                <w:caps w:val="false"/>
                <w:smallCaps w:val="false"/>
                <w:color w:val="007AFF"/>
                <w:sz w:val="20"/>
              </w:rPr>
              <w:t>www.bhfs.com</w:t>
            </w:r>
          </w:p>
        </w:tc>
      </w:tr>
    </w:tbl>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Figure Technology Solutions, Inc.</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October 2, 2026</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Page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Registration Statement. For purposes of this opinion letter, and except to the extent set forth in the opinions expressed below, we have assumed that all such proceedings have been or will be timely completed in the manner presently proposed in the Registration Statement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 purposes of issuing this opinion letter, we have (a) made such legal and factual examinations and inquiries, including an examination of originals or copies certified or otherwise identified to our satisfaction as being true copies, of (i) the Registration Statement, including the Prospectus, (ii) the Company’s articles of incorporation and bylaws, each as amended to date (collectively, the “</w:t>
      </w:r>
      <w:r>
        <w:rPr>
          <w:rFonts w:ascii="Arial;Helvetica;Sans-Serif" w:hAnsi="Arial;Helvetica;Sans-Serif"/>
          <w:b w:val="false"/>
          <w:i w:val="false"/>
          <w:caps w:val="false"/>
          <w:smallCaps w:val="false"/>
          <w:sz w:val="20"/>
          <w:u w:val="single"/>
        </w:rPr>
        <w:t>Governing Documents</w:t>
      </w:r>
      <w:r>
        <w:rPr>
          <w:rFonts w:ascii="Arial;Helvetica;Sans-Serif" w:hAnsi="Arial;Helvetica;Sans-Serif"/>
          <w:b w:val="false"/>
          <w:i w:val="false"/>
          <w:caps w:val="false"/>
          <w:smallCaps w:val="false"/>
          <w:sz w:val="20"/>
        </w:rPr>
        <w:t>”), and (iii) such other agreements, instruments, corporate records (including, without limitation, resolutions adopted by the board of directors and any committee thereof, and by the stockholders of the Company) and documents, or forms thereof, as we have deemed necessary or appropriate, and (b) obtained from officers and other representatives and agents of the Company and from public officials, and have relied upon, such certificates, representations, assurances and public filings as we have deemed necessary or appropriate.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Without limiting the generality of the foregoing, we have, with your permission, assumed without independent verification, that (i) (a) any and all agreements, instruments and other documents (or forms thereof) relating to the offering, issuance, registration or sale of any Securities, including, without limitation, Indentures (including any officer’s certificates or supplemental indentures relating thereto), underwriting agreements, Warrant Agreements (including each warrant certificate contemplated thereby), Purchase Contracts (including each purchase contract certificate contemplated thereby) and Unit Agreements (including each unit certificate contemplated thereby) (collectively, the “</w:t>
      </w:r>
      <w:r>
        <w:rPr>
          <w:rFonts w:ascii="Arial;Helvetica;Sans-Serif" w:hAnsi="Arial;Helvetica;Sans-Serif"/>
          <w:b w:val="false"/>
          <w:i w:val="false"/>
          <w:caps w:val="false"/>
          <w:smallCaps w:val="false"/>
          <w:sz w:val="20"/>
          <w:u w:val="single"/>
        </w:rPr>
        <w:t>Securities Documents</w:t>
      </w:r>
      <w:r>
        <w:rPr>
          <w:rFonts w:ascii="Arial;Helvetica;Sans-Serif" w:hAnsi="Arial;Helvetica;Sans-Serif"/>
          <w:b w:val="false"/>
          <w:i w:val="false"/>
          <w:caps w:val="false"/>
          <w:smallCaps w:val="false"/>
          <w:sz w:val="20"/>
        </w:rPr>
        <w:t>”), will be duly authorized, executed and delivered by the Company and the other parties thereto; (b) the Company has taken or will take all corporate action required under applicable law in connection with the authorization, offering, issuance and sale of any Securities (including, without limitation, any Securities or other securities of the Company underlying, or issued or sold pursuant to or upon conversion, exchange or exercise of, any Securities or any other agreement, plan or arrangement), (c) all Securities will be offered, issued and sold in compliance with all applicable laws, the Governing Documents and the relevant Securities Documents in effect at all relevant times, (d) the voting rights, designations, preferences, limitations, restrictions, privileges and relative rights of each series of Preferred Stock (including Preferred Shares) will be fixed and set forth in a certificate of designation relating to such series, prepared in the form prescribed by applicable law, duly authorized by the board of directors of the Company, duly signed by an authorized officer of the Company and properly filed with the Nevada Secretary of State (each, a “</w:t>
      </w:r>
      <w:r>
        <w:rPr>
          <w:rFonts w:ascii="Arial;Helvetica;Sans-Serif" w:hAnsi="Arial;Helvetica;Sans-Serif"/>
          <w:b w:val="false"/>
          <w:i w:val="false"/>
          <w:caps w:val="false"/>
          <w:smallCaps w:val="false"/>
          <w:sz w:val="20"/>
          <w:u w:val="single"/>
        </w:rPr>
        <w:t>Certificate of Designation</w:t>
      </w:r>
      <w:r>
        <w:rPr>
          <w:rFonts w:ascii="Arial;Helvetica;Sans-Serif" w:hAnsi="Arial;Helvetica;Sans-Serif"/>
          <w:b w:val="false"/>
          <w:i w:val="false"/>
          <w:caps w:val="false"/>
          <w:smallCaps w:val="false"/>
          <w:sz w:val="20"/>
        </w:rPr>
        <w:t>”), and (e) any and all certificates evidencing any Securities will be properly signed, registered and delivered, as necessary, in accordance with all applicable laws, the Governing Documents and the relevant Securities Documents (romanettes (i)(a) through (i)(e), inclusive, above are referred to collectively herein as the “</w:t>
      </w:r>
      <w:r>
        <w:rPr>
          <w:rFonts w:ascii="Arial;Helvetica;Sans-Serif" w:hAnsi="Arial;Helvetica;Sans-Serif"/>
          <w:b w:val="false"/>
          <w:i w:val="false"/>
          <w:caps w:val="false"/>
          <w:smallCaps w:val="false"/>
          <w:sz w:val="20"/>
          <w:u w:val="single"/>
        </w:rPr>
        <w:t>Corporate Proceedings</w:t>
      </w:r>
      <w:r>
        <w:rPr>
          <w:rFonts w:ascii="Arial;Helvetica;Sans-Serif" w:hAnsi="Arial;Helvetica;Sans-Serif"/>
          <w:b w:val="false"/>
          <w:i w:val="false"/>
          <w:caps w:val="false"/>
          <w:smallCaps w:val="false"/>
          <w:sz w:val="20"/>
        </w:rPr>
        <w:t>”); (ii) each of the Securities Documents, the form of which has been or will be filed as an exhibit to the Registration Statement, will be executed in substantially the form of such exhibit; (iii) the obligations of each party set forth in the Securities Documents will be its valid and binding obligations, enforceable in accordance with their respective terms; (iv) no Securities will be offered, issued or sold in violation, contravention or breach of, nor will any such offering, issuance or sale result in a default under, the Governing Documents, any agreement, certificate, document or other instrument that is binding upon the Company, or any requirement or restriction imposed by any governmental or regulatory agency, authority or body, or court; (v) at no time will the total number of shares of Preferred Stock designated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Figure Technology Solutions, Inc.</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October 2, 2026</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Page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pursuant to all then-effective Certificates of Designation exceed the total number of shares of Preferred Stock then authorized under the Company’s articles of incorporation; (vi) immediately after any issuance of Preferred Shares, the total number of issued and outstanding shares of such series of Preferred Stock, together with the total number of shares of such series of Preferred Stock then reserved for issuance or obligated to be issued by the Company pursuant to any agreement, plan or arrangement (including, without limitation, pursuant to the terms of any Securities), or otherwise, will not exceed the total number of shares of such series of Preferred Stock then designated under the articles of incorporation or the Certificate of Designation for such series; (vii) immediately after any issuance of Common Shares, the total number of issued and outstanding shares of Common Stock, together with the total number of shares of Common Stock then reserved for issuance or obligated to be issued by the Company pursuant to any agreement, plan or arrangement (including, without limitation, pursuant to the terms of any Securities), or otherwise, will not exceed the total number of shares of Common Stock then authorized under the Company’s articles of incorporation; (viii) the statements of fact and representations and warranties set forth in the documents we have reviewed are, and at all relevant times will be, true and correct as to factual matters; (ix) each natural person executing a document will have sufficient legal capacity to do so; (x) all documents submitted to us as originals are authentic, the signatures on all documents we reviewed are genuine, and any document submitted to us as certified, conformed, photostatic, electronic or facsimile copies conform to the original document; and (xi) all corporate records made available to us by the Company, and all public records we have reviewed, are accurate and complete.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are qualified to practice law in the State of Nevada. The opinions set forth herein are expressly limited to and based exclusively on the general corporate laws of the State of Nevada, and we do not purport to be experts on, or to express any opinion with respect to the applicability thereto or the effect thereon of, the laws of any other jurisdiction. We express no opinion concerning, and we assume no responsibility as to laws or judicial decisions related to, or any orders, consents or other authorizations or approvals as may be required by, any federal laws, rules or regulations, including, without limitation, any federal securities laws, rules or regulations, or any state securities or “blue sky” laws, rules or regulations.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Based upon the foregoing and in reliance thereon, and having regard to legal considerations and other information that we deem relevant, we are of the opinion that: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       If and when all Corporate Proceedings have been taken and completed in respect of any offering, issuance or sale of Shares, and to the extent such Shares have been issued in accordance with all applicable terms and conditions set forth in the relevant Securities Documents, Securities and Certificates of Designation, as applicable, including proper conversion, exchange or exercise of any relevant Securities and payment in full of all consideration required therefor as authorized by such Corporate Proceedings and prescribed by such Securities Documents, Securities and Certificates of Designation, as applicable, and in accordance with the proceedings described in and in the manner contemplated by the Registration Statement, such Shares will be duly authorized, validly issued, fully paid and nonassessable.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       If and when all Corporate Proceedings have been taken and completed in respect of any offering, issuance or sale of Debt Securities, Warrants, Purchase Contracts or Units, such Securities will be duly authorized.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Figure Technology Solutions, Inc.</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October 2, 2026</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Page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opinions expressed herein are based upon the applicable laws of the State of Nevada and the facts in existence on the date of this opinion letter. In delivering this opinion letter to you, we disclaim any obligation to update or supplement the opinions set forth herein or to apprise you of any changes in any laws or facts after the date hereof. No opinion is offered or implied as to any matter, and no inference may be drawn, beyond the strict scope of the specific issues expressly addressed by the opinions set forth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hereby consent to the filing of this opinion letter as an exhibit to the Registration Statement and to the reference to our firm therein under the heading “Legal Matters”. In giving this consent, we do not admit that we are within the category of persons whose consent is required under Section 7 of the Act or the rules and regulations of the Commission promulgated thereunder. Subject to all of the qualifications, limitations, restrictions, exceptions and assumptions set forth herein, Davis Polk &amp; Wardwell LLP may rely on this opinion letter as if it were an addressee hereof on this date for the sole purpose of issuing its opinion letter to the Company relating to the validity of Securities (other than Shares), as filed with the Commission as an exhibit to the Registration Statement.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Very truly yours,</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 Brownstein Hyatt Farber Schreck,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jc w:val="left"/>
        <w:rPr/>
      </w:pPr>
      <w:bookmarkStart w:id="25" w:name="dp254272_ex23a.htm"/>
      <w:bookmarkStart w:id="26" w:name="ksdp254272_ex23a"/>
      <w:bookmarkEnd w:id="25"/>
      <w:bookmarkEnd w:id="26"/>
      <w:r>
        <w:rPr/>
        <w:t> </w:t>
      </w:r>
      <w:r>
        <w:br w:type="page"/>
      </w:r>
    </w:p>
    <w:p>
      <w:pPr>
        <w:pStyle w:val="TextBody"/>
        <w:bidi w:val="0"/>
        <w:spacing w:before="0" w:after="0"/>
        <w:ind w:left="0" w:right="0" w:hanging="0"/>
        <w:jc w:val="righ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Exhibit 23-a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095375" cy="4762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28"/>
                    <a:stretch>
                      <a:fillRect/>
                    </a:stretch>
                  </pic:blipFill>
                  <pic:spPr bwMode="auto">
                    <a:xfrm>
                      <a:off x="0" y="0"/>
                      <a:ext cx="1095375" cy="476250"/>
                    </a:xfrm>
                    <a:prstGeom prst="rect">
                      <a:avLst/>
                    </a:prstGeom>
                  </pic:spPr>
                </pic:pic>
              </a:graphicData>
            </a:graphic>
          </wp:inline>
        </w:drawing>
      </w:r>
      <w:r>
        <w:rPr>
          <w:caps w:val="false"/>
          <w:smallCaps w:val="false"/>
        </w:rPr>
        <w:t> </w:t>
      </w:r>
    </w:p>
    <w:p>
      <w:pPr>
        <w:pStyle w:val="TextBody"/>
        <w:bidi w:val="0"/>
        <w:spacing w:before="0" w:after="0"/>
        <w:ind w:left="468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KPMG LLP</w:t>
      </w:r>
    </w:p>
    <w:p>
      <w:pPr>
        <w:pStyle w:val="TextBody"/>
        <w:bidi w:val="0"/>
        <w:spacing w:before="0" w:after="0"/>
        <w:ind w:left="468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505 Howard Street</w:t>
      </w:r>
    </w:p>
    <w:p>
      <w:pPr>
        <w:pStyle w:val="TextBody"/>
        <w:bidi w:val="0"/>
        <w:spacing w:before="0" w:after="0"/>
        <w:ind w:left="468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Suite 800</w:t>
      </w:r>
    </w:p>
    <w:p>
      <w:pPr>
        <w:pStyle w:val="TextBody"/>
        <w:bidi w:val="0"/>
        <w:spacing w:before="0" w:after="0"/>
        <w:ind w:left="468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San Francisco, CA 94105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w:t>
      </w:r>
      <w:r>
        <w:rPr>
          <w:rFonts w:ascii="Arial;Helvetica;Sans-Serif" w:hAnsi="Arial;Helvetica;Sans-Serif"/>
          <w:b/>
          <w:i w:val="false"/>
          <w:caps w:val="false"/>
          <w:smallCaps w:val="false"/>
          <w:sz w:val="20"/>
        </w:rPr>
        <w:t>ONSENT OF</w:t>
      </w:r>
      <w:r>
        <w:rPr>
          <w:rFonts w:ascii="Arial;Helvetica;Sans-Serif" w:hAnsi="Arial;Helvetica;Sans-Serif"/>
          <w:b/>
          <w:i w:val="false"/>
          <w:caps w:val="false"/>
          <w:smallCaps w:val="false"/>
          <w:sz w:val="20"/>
        </w:rPr>
        <w:t xml:space="preserve"> I</w:t>
      </w:r>
      <w:r>
        <w:rPr>
          <w:rFonts w:ascii="Arial;Helvetica;Sans-Serif" w:hAnsi="Arial;Helvetica;Sans-Serif"/>
          <w:b/>
          <w:i w:val="false"/>
          <w:caps w:val="false"/>
          <w:smallCaps w:val="false"/>
          <w:sz w:val="20"/>
        </w:rPr>
        <w:t>NDEPENDENT</w:t>
      </w:r>
      <w:r>
        <w:rPr>
          <w:rFonts w:ascii="Arial;Helvetica;Sans-Serif" w:hAnsi="Arial;Helvetica;Sans-Serif"/>
          <w:b/>
          <w:i w:val="false"/>
          <w:caps w:val="false"/>
          <w:smallCaps w:val="false"/>
          <w:sz w:val="20"/>
        </w:rPr>
        <w:t xml:space="preserve"> R</w:t>
      </w:r>
      <w:r>
        <w:rPr>
          <w:rFonts w:ascii="Arial;Helvetica;Sans-Serif" w:hAnsi="Arial;Helvetica;Sans-Serif"/>
          <w:b/>
          <w:i w:val="false"/>
          <w:caps w:val="false"/>
          <w:smallCaps w:val="false"/>
          <w:sz w:val="20"/>
        </w:rPr>
        <w:t>EGISTERED</w:t>
      </w:r>
      <w:r>
        <w:rPr>
          <w:rFonts w:ascii="Arial;Helvetica;Sans-Serif" w:hAnsi="Arial;Helvetica;Sans-Serif"/>
          <w:b/>
          <w:i w:val="false"/>
          <w:caps w:val="false"/>
          <w:smallCaps w:val="false"/>
          <w:sz w:val="20"/>
        </w:rPr>
        <w:t xml:space="preserve"> P</w:t>
      </w:r>
      <w:r>
        <w:rPr>
          <w:rFonts w:ascii="Arial;Helvetica;Sans-Serif" w:hAnsi="Arial;Helvetica;Sans-Serif"/>
          <w:b/>
          <w:i w:val="false"/>
          <w:caps w:val="false"/>
          <w:smallCaps w:val="false"/>
          <w:sz w:val="20"/>
        </w:rPr>
        <w:t>UBLIC</w:t>
      </w:r>
      <w:r>
        <w:rPr>
          <w:rFonts w:ascii="Arial;Helvetica;Sans-Serif" w:hAnsi="Arial;Helvetica;Sans-Serif"/>
          <w:b/>
          <w:i w:val="false"/>
          <w:caps w:val="false"/>
          <w:smallCaps w:val="false"/>
          <w:sz w:val="20"/>
        </w:rPr>
        <w:t xml:space="preserve"> A</w:t>
      </w:r>
      <w:r>
        <w:rPr>
          <w:rFonts w:ascii="Arial;Helvetica;Sans-Serif" w:hAnsi="Arial;Helvetica;Sans-Serif"/>
          <w:b/>
          <w:i w:val="false"/>
          <w:caps w:val="false"/>
          <w:smallCaps w:val="false"/>
          <w:sz w:val="20"/>
        </w:rPr>
        <w:t>CCOUNTING</w:t>
      </w:r>
      <w:r>
        <w:rPr>
          <w:rFonts w:ascii="Arial;Helvetica;Sans-Serif" w:hAnsi="Arial;Helvetica;Sans-Serif"/>
          <w:b/>
          <w:i w:val="false"/>
          <w:caps w:val="false"/>
          <w:smallCaps w:val="false"/>
          <w:sz w:val="20"/>
        </w:rPr>
        <w:t xml:space="preserve"> F</w:t>
      </w:r>
      <w:r>
        <w:rPr>
          <w:rFonts w:ascii="Arial;Helvetica;Sans-Serif" w:hAnsi="Arial;Helvetica;Sans-Serif"/>
          <w:b/>
          <w:i w:val="false"/>
          <w:caps w:val="false"/>
          <w:smallCaps w:val="false"/>
          <w:sz w:val="20"/>
        </w:rPr>
        <w:t>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consent to the use of our report dated March 13, 2026, with respect to the consolidated financial statements of Figure Technology Solutions, Inc. and subsidiaries (the Company), incorporated herein by reference, and to the reference to our firm under the heading "Experts" in the prospectus.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72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 KPMG LLP</w:t>
      </w:r>
    </w:p>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San Francisco, California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October 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0055"/>
        <w:gridCol w:w="75"/>
      </w:tblGrid>
      <w:tr>
        <w:trPr/>
        <w:tc>
          <w:tcPr>
            <w:tcW w:w="75" w:type="dxa"/>
            <w:tcBorders/>
            <w:vAlign w:val="center"/>
          </w:tcPr>
          <w:p>
            <w:pPr>
              <w:pStyle w:val="TableContents"/>
              <w:bidi w:val="0"/>
              <w:spacing w:before="0" w:after="283"/>
              <w:jc w:val="left"/>
              <w:rPr/>
            </w:pPr>
            <w:r>
              <w:rPr/>
              <w:t> </w:t>
            </w:r>
          </w:p>
        </w:tc>
        <w:tc>
          <w:tcPr>
            <w:tcW w:w="10055"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KPMG LLP, a Delaware limited liability partnership, and its subsidiaries are part o the KPMG global organization of independent member firms affiliated with KPMG International Limited, a private English company limited by guarantee.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40"/>
        <w:jc w:val="right"/>
        <w:rPr>
          <w:rFonts w:ascii="Times New Roman;Times;Serif" w:hAnsi="Times New Roman;Times;Serif"/>
          <w:b/>
          <w:i w:val="false"/>
          <w:caps w:val="false"/>
          <w:smallCaps w:val="false"/>
          <w:sz w:val="24"/>
        </w:rPr>
      </w:pPr>
      <w:bookmarkStart w:id="27" w:name="dp254272_exfillingfees.htm"/>
      <w:bookmarkStart w:id="28" w:name="ksdp254272_exfillingfees"/>
      <w:bookmarkEnd w:id="27"/>
      <w:bookmarkEnd w:id="28"/>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S-3</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FIGURE TECHNOLOGY SOLUTIONS, INC.</w:t>
      </w:r>
    </w:p>
    <w:p>
      <w:pPr>
        <w:pStyle w:val="TextBody"/>
        <w:bidi w:val="0"/>
        <w:spacing w:before="0" w:after="0"/>
        <w:jc w:val="righ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Figure Technology Solutions, Inc. (the "Registrant"), a well-known seasoned issuer, is filing this registration statement on Form S-3 on a pay-as-you-go basis pursuant to Rules 456(b) and 457(r) under the Securities Act of 1933, as amended. The registration fee with respect to the securities registered hereby is deferred and will be paid in accordance with Rule 456(b) and Rule 457(r) at the time of each takedown from the shelf, as applicable.</w:t>
      </w:r>
    </w:p>
    <w:p>
      <w:pPr>
        <w:pStyle w:val="TextBody"/>
        <w:bidi w:val="0"/>
        <w:spacing w:before="0" w:after="0"/>
        <w:jc w:val="right"/>
        <w:rPr>
          <w:caps w:val="false"/>
          <w:smallCaps w:val="false"/>
        </w:rPr>
      </w:pPr>
      <w:r>
        <w:rPr>
          <w:caps w:val="false"/>
          <w:smallCaps w:val="false"/>
        </w:rPr>
        <w:t> </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and Carry Forward Securities</w:t>
      </w:r>
    </w:p>
    <w:tbl>
      <w:tblPr>
        <w:tblW w:w="10205" w:type="dxa"/>
        <w:jc w:val="left"/>
        <w:tblInd w:w="0" w:type="dxa"/>
        <w:tblLayout w:type="fixed"/>
        <w:tblCellMar>
          <w:top w:w="0" w:type="dxa"/>
          <w:left w:w="0" w:type="dxa"/>
          <w:bottom w:w="0" w:type="dxa"/>
          <w:right w:w="0" w:type="dxa"/>
        </w:tblCellMar>
      </w:tblPr>
      <w:tblGrid>
        <w:gridCol w:w="579"/>
        <w:gridCol w:w="60"/>
        <w:gridCol w:w="828"/>
        <w:gridCol w:w="60"/>
        <w:gridCol w:w="982"/>
        <w:gridCol w:w="60"/>
        <w:gridCol w:w="575"/>
        <w:gridCol w:w="60"/>
        <w:gridCol w:w="1120"/>
        <w:gridCol w:w="60"/>
        <w:gridCol w:w="1067"/>
        <w:gridCol w:w="60"/>
        <w:gridCol w:w="760"/>
        <w:gridCol w:w="326"/>
        <w:gridCol w:w="60"/>
        <w:gridCol w:w="272"/>
        <w:gridCol w:w="861"/>
        <w:gridCol w:w="60"/>
        <w:gridCol w:w="1040"/>
        <w:gridCol w:w="60"/>
        <w:gridCol w:w="293"/>
        <w:gridCol w:w="962"/>
      </w:tblGrid>
      <w:tr>
        <w:trPr/>
        <w:tc>
          <w:tcPr>
            <w:tcW w:w="5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962" w:type="dxa"/>
            <w:tcBorders/>
            <w:vAlign w:val="center"/>
          </w:tcPr>
          <w:p>
            <w:pPr>
              <w:pStyle w:val="TableContents"/>
              <w:bidi w:val="0"/>
              <w:spacing w:before="0" w:after="283"/>
              <w:jc w:val="left"/>
              <w:rPr/>
            </w:pPr>
            <w:r>
              <w:rPr/>
              <w:t> </w:t>
            </w:r>
          </w:p>
        </w:tc>
      </w:tr>
      <w:tr>
        <w:trPr/>
        <w:tc>
          <w:tcPr>
            <w:tcW w:w="579" w:type="dxa"/>
            <w:tcBorders>
              <w:bottom w:val="single" w:sz="8" w:space="0" w:color="000000"/>
            </w:tcBorders>
            <w:tcMar>
              <w:bottom w:w="28" w:type="dxa"/>
            </w:tcMar>
            <w:vAlign w:val="center"/>
          </w:tcPr>
          <w:p>
            <w:pPr>
              <w:pStyle w:val="TableContents"/>
              <w:bidi w:val="0"/>
              <w:spacing w:before="0" w:after="283"/>
              <w:jc w:val="left"/>
              <w:rPr/>
            </w:pPr>
            <w:r>
              <w:rPr/>
              <w:t>Line Item Type</w:t>
            </w:r>
          </w:p>
        </w:tc>
        <w:tc>
          <w:tcPr>
            <w:tcW w:w="60" w:type="dxa"/>
            <w:tcBorders/>
            <w:vAlign w:val="center"/>
          </w:tcPr>
          <w:p>
            <w:pPr>
              <w:pStyle w:val="TableContents"/>
              <w:bidi w:val="0"/>
              <w:spacing w:before="0" w:after="283"/>
              <w:jc w:val="left"/>
              <w:rPr/>
            </w:pPr>
            <w:r>
              <w:rPr/>
              <w:t> </w:t>
            </w:r>
          </w:p>
        </w:tc>
        <w:tc>
          <w:tcPr>
            <w:tcW w:w="828"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982"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20"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067"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1086"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133"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255"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5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962" w:type="dxa"/>
            <w:tcBorders/>
            <w:vAlign w:val="center"/>
          </w:tcPr>
          <w:p>
            <w:pPr>
              <w:pStyle w:val="TableContents"/>
              <w:bidi w:val="0"/>
              <w:spacing w:before="0" w:after="283"/>
              <w:jc w:val="left"/>
              <w:rPr/>
            </w:pPr>
            <w:r>
              <w:rPr/>
              <w:t> </w:t>
            </w:r>
          </w:p>
        </w:tc>
      </w:tr>
      <w:tr>
        <w:trPr/>
        <w:tc>
          <w:tcPr>
            <w:tcW w:w="10205" w:type="dxa"/>
            <w:gridSpan w:val="22"/>
            <w:tcBorders/>
            <w:vAlign w:val="center"/>
          </w:tcPr>
          <w:p>
            <w:pPr>
              <w:pStyle w:val="TableContents"/>
              <w:bidi w:val="0"/>
              <w:spacing w:before="0" w:after="283"/>
              <w:jc w:val="center"/>
              <w:rPr>
                <w:i/>
              </w:rPr>
            </w:pPr>
            <w:r>
              <w:rPr>
                <w:i/>
              </w:rPr>
              <w:t>Newly Registered Securities</w:t>
            </w:r>
          </w:p>
        </w:tc>
      </w:tr>
      <w:tr>
        <w:trPr/>
        <w:tc>
          <w:tcPr>
            <w:tcW w:w="579"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left"/>
              <w:rPr/>
            </w:pPr>
            <w:r>
              <w:rPr/>
              <w:t>Debt</w:t>
            </w:r>
          </w:p>
        </w:tc>
        <w:tc>
          <w:tcPr>
            <w:tcW w:w="60"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left"/>
              <w:rPr/>
            </w:pPr>
            <w:r>
              <w:rPr/>
              <w:t>Debt Securities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20" w:type="dxa"/>
            <w:tcBorders/>
            <w:vAlign w:val="center"/>
          </w:tcPr>
          <w:p>
            <w:pPr>
              <w:pStyle w:val="TableContents"/>
              <w:bidi w:val="0"/>
              <w:spacing w:before="0" w:after="283"/>
              <w:jc w:val="center"/>
              <w:rPr/>
            </w:pPr>
            <w:r>
              <w:rPr/>
              <w:t>457(r)</w:t>
            </w:r>
          </w:p>
        </w:tc>
        <w:tc>
          <w:tcPr>
            <w:tcW w:w="60"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left"/>
              <w:rPr/>
            </w:pPr>
            <w:r>
              <w:rPr/>
              <w:t>$</w:t>
            </w:r>
          </w:p>
        </w:tc>
        <w:tc>
          <w:tcPr>
            <w:tcW w:w="32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w:t>
            </w:r>
          </w:p>
        </w:tc>
        <w:tc>
          <w:tcPr>
            <w:tcW w:w="86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0.0000870</w:t>
            </w:r>
          </w:p>
        </w:tc>
        <w:tc>
          <w:tcPr>
            <w:tcW w:w="6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w:t>
            </w:r>
          </w:p>
        </w:tc>
        <w:tc>
          <w:tcPr>
            <w:tcW w:w="962" w:type="dxa"/>
            <w:tcBorders/>
            <w:vAlign w:val="center"/>
          </w:tcPr>
          <w:p>
            <w:pPr>
              <w:pStyle w:val="TableContents"/>
              <w:bidi w:val="0"/>
              <w:spacing w:before="0" w:after="283"/>
              <w:jc w:val="right"/>
              <w:rPr/>
            </w:pPr>
            <w:r>
              <w:rPr/>
              <w:t> </w:t>
            </w:r>
          </w:p>
        </w:tc>
      </w:tr>
      <w:tr>
        <w:trPr/>
        <w:tc>
          <w:tcPr>
            <w:tcW w:w="579"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left"/>
              <w:rPr/>
            </w:pPr>
            <w:r>
              <w:rPr/>
              <w:t>Preferred Stock</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(2)</w:t>
            </w:r>
          </w:p>
        </w:tc>
        <w:tc>
          <w:tcPr>
            <w:tcW w:w="60" w:type="dxa"/>
            <w:tcBorders/>
            <w:vAlign w:val="center"/>
          </w:tcPr>
          <w:p>
            <w:pPr>
              <w:pStyle w:val="TableContents"/>
              <w:bidi w:val="0"/>
              <w:spacing w:before="0" w:after="283"/>
              <w:jc w:val="left"/>
              <w:rPr/>
            </w:pPr>
            <w:r>
              <w:rPr/>
              <w:t> </w:t>
            </w:r>
          </w:p>
        </w:tc>
        <w:tc>
          <w:tcPr>
            <w:tcW w:w="1120" w:type="dxa"/>
            <w:tcBorders/>
            <w:vAlign w:val="center"/>
          </w:tcPr>
          <w:p>
            <w:pPr>
              <w:pStyle w:val="TableContents"/>
              <w:bidi w:val="0"/>
              <w:spacing w:before="0" w:after="283"/>
              <w:jc w:val="center"/>
              <w:rPr/>
            </w:pPr>
            <w:r>
              <w:rPr/>
              <w:t>457(r)</w:t>
            </w:r>
          </w:p>
        </w:tc>
        <w:tc>
          <w:tcPr>
            <w:tcW w:w="60"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0.0000870</w:t>
            </w:r>
          </w:p>
        </w:tc>
        <w:tc>
          <w:tcPr>
            <w:tcW w:w="6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962" w:type="dxa"/>
            <w:tcBorders/>
            <w:vAlign w:val="center"/>
          </w:tcPr>
          <w:p>
            <w:pPr>
              <w:pStyle w:val="TableContents"/>
              <w:bidi w:val="0"/>
              <w:spacing w:before="0" w:after="283"/>
              <w:jc w:val="right"/>
              <w:rPr/>
            </w:pPr>
            <w:r>
              <w:rPr/>
              <w:t> </w:t>
            </w:r>
          </w:p>
        </w:tc>
      </w:tr>
      <w:tr>
        <w:trPr/>
        <w:tc>
          <w:tcPr>
            <w:tcW w:w="579"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left"/>
              <w:rPr/>
            </w:pPr>
            <w:r>
              <w:rPr/>
              <w:t>Common Stock</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(3)</w:t>
            </w:r>
          </w:p>
        </w:tc>
        <w:tc>
          <w:tcPr>
            <w:tcW w:w="60" w:type="dxa"/>
            <w:tcBorders/>
            <w:vAlign w:val="center"/>
          </w:tcPr>
          <w:p>
            <w:pPr>
              <w:pStyle w:val="TableContents"/>
              <w:bidi w:val="0"/>
              <w:spacing w:before="0" w:after="283"/>
              <w:jc w:val="left"/>
              <w:rPr/>
            </w:pPr>
            <w:r>
              <w:rPr/>
              <w:t> </w:t>
            </w:r>
          </w:p>
        </w:tc>
        <w:tc>
          <w:tcPr>
            <w:tcW w:w="1120" w:type="dxa"/>
            <w:tcBorders/>
            <w:vAlign w:val="center"/>
          </w:tcPr>
          <w:p>
            <w:pPr>
              <w:pStyle w:val="TableContents"/>
              <w:bidi w:val="0"/>
              <w:spacing w:before="0" w:after="283"/>
              <w:jc w:val="center"/>
              <w:rPr/>
            </w:pPr>
            <w:r>
              <w:rPr/>
              <w:t>457(r)</w:t>
            </w:r>
          </w:p>
        </w:tc>
        <w:tc>
          <w:tcPr>
            <w:tcW w:w="60"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0.0000870</w:t>
            </w:r>
          </w:p>
        </w:tc>
        <w:tc>
          <w:tcPr>
            <w:tcW w:w="6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962" w:type="dxa"/>
            <w:tcBorders/>
            <w:vAlign w:val="center"/>
          </w:tcPr>
          <w:p>
            <w:pPr>
              <w:pStyle w:val="TableContents"/>
              <w:bidi w:val="0"/>
              <w:spacing w:before="0" w:after="283"/>
              <w:jc w:val="right"/>
              <w:rPr/>
            </w:pPr>
            <w:r>
              <w:rPr/>
              <w:t> </w:t>
            </w:r>
          </w:p>
        </w:tc>
      </w:tr>
      <w:tr>
        <w:trPr/>
        <w:tc>
          <w:tcPr>
            <w:tcW w:w="579"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left"/>
              <w:rPr/>
            </w:pPr>
            <w:r>
              <w:rPr/>
              <w:t>Other</w:t>
            </w:r>
          </w:p>
        </w:tc>
        <w:tc>
          <w:tcPr>
            <w:tcW w:w="60"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left"/>
              <w:rPr/>
            </w:pPr>
            <w:r>
              <w:rPr/>
              <w:t>Warrants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(4)</w:t>
            </w:r>
          </w:p>
        </w:tc>
        <w:tc>
          <w:tcPr>
            <w:tcW w:w="60" w:type="dxa"/>
            <w:tcBorders/>
            <w:vAlign w:val="center"/>
          </w:tcPr>
          <w:p>
            <w:pPr>
              <w:pStyle w:val="TableContents"/>
              <w:bidi w:val="0"/>
              <w:spacing w:before="0" w:after="283"/>
              <w:jc w:val="left"/>
              <w:rPr/>
            </w:pPr>
            <w:r>
              <w:rPr/>
              <w:t> </w:t>
            </w:r>
          </w:p>
        </w:tc>
        <w:tc>
          <w:tcPr>
            <w:tcW w:w="1120" w:type="dxa"/>
            <w:tcBorders/>
            <w:vAlign w:val="center"/>
          </w:tcPr>
          <w:p>
            <w:pPr>
              <w:pStyle w:val="TableContents"/>
              <w:bidi w:val="0"/>
              <w:spacing w:before="0" w:after="283"/>
              <w:jc w:val="center"/>
              <w:rPr/>
            </w:pPr>
            <w:r>
              <w:rPr/>
              <w:t>457(r)</w:t>
            </w:r>
          </w:p>
        </w:tc>
        <w:tc>
          <w:tcPr>
            <w:tcW w:w="60"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0.0000870</w:t>
            </w:r>
          </w:p>
        </w:tc>
        <w:tc>
          <w:tcPr>
            <w:tcW w:w="6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962" w:type="dxa"/>
            <w:tcBorders/>
            <w:vAlign w:val="center"/>
          </w:tcPr>
          <w:p>
            <w:pPr>
              <w:pStyle w:val="TableContents"/>
              <w:bidi w:val="0"/>
              <w:spacing w:before="0" w:after="283"/>
              <w:jc w:val="right"/>
              <w:rPr/>
            </w:pPr>
            <w:r>
              <w:rPr/>
              <w:t> </w:t>
            </w:r>
          </w:p>
        </w:tc>
      </w:tr>
      <w:tr>
        <w:trPr/>
        <w:tc>
          <w:tcPr>
            <w:tcW w:w="579"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left"/>
              <w:rPr/>
            </w:pPr>
            <w:r>
              <w:rPr/>
              <w:t>Other</w:t>
            </w:r>
          </w:p>
        </w:tc>
        <w:tc>
          <w:tcPr>
            <w:tcW w:w="60"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left"/>
              <w:rPr/>
            </w:pPr>
            <w:r>
              <w:rPr/>
              <w:t>Purchase Contracts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(5)</w:t>
            </w:r>
          </w:p>
        </w:tc>
        <w:tc>
          <w:tcPr>
            <w:tcW w:w="60" w:type="dxa"/>
            <w:tcBorders/>
            <w:vAlign w:val="center"/>
          </w:tcPr>
          <w:p>
            <w:pPr>
              <w:pStyle w:val="TableContents"/>
              <w:bidi w:val="0"/>
              <w:spacing w:before="0" w:after="283"/>
              <w:jc w:val="left"/>
              <w:rPr/>
            </w:pPr>
            <w:r>
              <w:rPr/>
              <w:t> </w:t>
            </w:r>
          </w:p>
        </w:tc>
        <w:tc>
          <w:tcPr>
            <w:tcW w:w="1120" w:type="dxa"/>
            <w:tcBorders/>
            <w:vAlign w:val="center"/>
          </w:tcPr>
          <w:p>
            <w:pPr>
              <w:pStyle w:val="TableContents"/>
              <w:bidi w:val="0"/>
              <w:spacing w:before="0" w:after="283"/>
              <w:jc w:val="center"/>
              <w:rPr/>
            </w:pPr>
            <w:r>
              <w:rPr/>
              <w:t>457(r)</w:t>
            </w:r>
          </w:p>
        </w:tc>
        <w:tc>
          <w:tcPr>
            <w:tcW w:w="60"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0.0000870</w:t>
            </w:r>
          </w:p>
        </w:tc>
        <w:tc>
          <w:tcPr>
            <w:tcW w:w="6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962" w:type="dxa"/>
            <w:tcBorders/>
            <w:vAlign w:val="center"/>
          </w:tcPr>
          <w:p>
            <w:pPr>
              <w:pStyle w:val="TableContents"/>
              <w:bidi w:val="0"/>
              <w:spacing w:before="0" w:after="283"/>
              <w:jc w:val="right"/>
              <w:rPr/>
            </w:pPr>
            <w:r>
              <w:rPr/>
              <w:t> </w:t>
            </w:r>
          </w:p>
        </w:tc>
      </w:tr>
      <w:tr>
        <w:trPr/>
        <w:tc>
          <w:tcPr>
            <w:tcW w:w="579"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left"/>
              <w:rPr/>
            </w:pPr>
            <w:r>
              <w:rPr/>
              <w:t>Other</w:t>
            </w:r>
          </w:p>
        </w:tc>
        <w:tc>
          <w:tcPr>
            <w:tcW w:w="60"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left"/>
              <w:rPr/>
            </w:pPr>
            <w:r>
              <w:rPr/>
              <w:t>Units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(6)</w:t>
            </w:r>
          </w:p>
        </w:tc>
        <w:tc>
          <w:tcPr>
            <w:tcW w:w="60" w:type="dxa"/>
            <w:tcBorders/>
            <w:vAlign w:val="center"/>
          </w:tcPr>
          <w:p>
            <w:pPr>
              <w:pStyle w:val="TableContents"/>
              <w:bidi w:val="0"/>
              <w:spacing w:before="0" w:after="283"/>
              <w:jc w:val="left"/>
              <w:rPr/>
            </w:pPr>
            <w:r>
              <w:rPr/>
              <w:t> </w:t>
            </w:r>
          </w:p>
        </w:tc>
        <w:tc>
          <w:tcPr>
            <w:tcW w:w="1120" w:type="dxa"/>
            <w:tcBorders/>
            <w:vAlign w:val="center"/>
          </w:tcPr>
          <w:p>
            <w:pPr>
              <w:pStyle w:val="TableContents"/>
              <w:bidi w:val="0"/>
              <w:spacing w:before="0" w:after="283"/>
              <w:jc w:val="center"/>
              <w:rPr/>
            </w:pPr>
            <w:r>
              <w:rPr/>
              <w:t>457(r)</w:t>
            </w:r>
          </w:p>
        </w:tc>
        <w:tc>
          <w:tcPr>
            <w:tcW w:w="60"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left"/>
              <w:rPr/>
            </w:pPr>
            <w:r>
              <w:rPr/>
              <w:t>$</w:t>
            </w:r>
          </w:p>
        </w:tc>
        <w:tc>
          <w:tcPr>
            <w:tcW w:w="32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w:t>
            </w:r>
          </w:p>
        </w:tc>
        <w:tc>
          <w:tcPr>
            <w:tcW w:w="86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0.0000870</w:t>
            </w:r>
          </w:p>
        </w:tc>
        <w:tc>
          <w:tcPr>
            <w:tcW w:w="6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w:t>
            </w:r>
          </w:p>
        </w:tc>
        <w:tc>
          <w:tcPr>
            <w:tcW w:w="962" w:type="dxa"/>
            <w:tcBorders/>
            <w:vAlign w:val="center"/>
          </w:tcPr>
          <w:p>
            <w:pPr>
              <w:pStyle w:val="TableContents"/>
              <w:bidi w:val="0"/>
              <w:spacing w:before="0" w:after="283"/>
              <w:jc w:val="right"/>
              <w:rPr/>
            </w:pPr>
            <w:r>
              <w:rPr/>
              <w:t> </w:t>
            </w:r>
          </w:p>
        </w:tc>
      </w:tr>
      <w:tr>
        <w:trPr/>
        <w:tc>
          <w:tcPr>
            <w:tcW w:w="5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2" w:type="dxa"/>
            <w:tcBorders>
              <w:bottom w:val="single" w:sz="8" w:space="0" w:color="000000"/>
            </w:tcBorders>
            <w:tcMar>
              <w:bottom w:w="28" w:type="dxa"/>
            </w:tcMar>
            <w:vAlign w:val="center"/>
          </w:tcPr>
          <w:p>
            <w:pPr>
              <w:pStyle w:val="TableContents"/>
              <w:bidi w:val="0"/>
              <w:spacing w:before="0" w:after="283"/>
              <w:jc w:val="left"/>
              <w:rPr/>
            </w:pPr>
            <w:r>
              <w:rPr/>
              <w:t> </w:t>
            </w:r>
          </w:p>
        </w:tc>
        <w:tc>
          <w:tcPr>
            <w:tcW w:w="861"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3" w:type="dxa"/>
            <w:tcBorders>
              <w:bottom w:val="single" w:sz="8" w:space="0" w:color="000000"/>
            </w:tcBorders>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597" w:type="dxa"/>
            <w:gridSpan w:val="14"/>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w:t>
            </w:r>
          </w:p>
        </w:tc>
        <w:tc>
          <w:tcPr>
            <w:tcW w:w="861" w:type="dxa"/>
            <w:tcBorders/>
            <w:vAlign w:val="center"/>
          </w:tcPr>
          <w:p>
            <w:pPr>
              <w:pStyle w:val="TableContents"/>
              <w:bidi w:val="0"/>
              <w:spacing w:before="0" w:after="283"/>
              <w:jc w:val="right"/>
              <w:rPr/>
            </w:pPr>
            <w:r>
              <w:rPr/>
              <w:t>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962" w:type="dxa"/>
            <w:tcBorders/>
            <w:vAlign w:val="center"/>
          </w:tcPr>
          <w:p>
            <w:pPr>
              <w:pStyle w:val="TableContents"/>
              <w:bidi w:val="0"/>
              <w:spacing w:before="0" w:after="283"/>
              <w:jc w:val="right"/>
              <w:rPr/>
            </w:pPr>
            <w:r>
              <w:rPr/>
              <w:t>0.00</w:t>
            </w:r>
          </w:p>
        </w:tc>
      </w:tr>
      <w:tr>
        <w:trPr/>
        <w:tc>
          <w:tcPr>
            <w:tcW w:w="6597" w:type="dxa"/>
            <w:gridSpan w:val="14"/>
            <w:tcBorders/>
            <w:vAlign w:val="center"/>
          </w:tcPr>
          <w:p>
            <w:pPr>
              <w:pStyle w:val="TableContents"/>
              <w:bidi w:val="0"/>
              <w:spacing w:before="0" w:after="283"/>
              <w:jc w:val="right"/>
              <w:rPr/>
            </w:pPr>
            <w:r>
              <w:rPr/>
              <w:t>Total Fees Previously Paid:</w:t>
            </w:r>
          </w:p>
        </w:tc>
        <w:tc>
          <w:tcPr>
            <w:tcW w:w="6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962" w:type="dxa"/>
            <w:tcBorders/>
            <w:vAlign w:val="center"/>
          </w:tcPr>
          <w:p>
            <w:pPr>
              <w:pStyle w:val="TableContents"/>
              <w:bidi w:val="0"/>
              <w:spacing w:before="0" w:after="283"/>
              <w:jc w:val="right"/>
              <w:rPr/>
            </w:pPr>
            <w:r>
              <w:rPr/>
              <w:t>0.00</w:t>
            </w:r>
          </w:p>
        </w:tc>
      </w:tr>
      <w:tr>
        <w:trPr/>
        <w:tc>
          <w:tcPr>
            <w:tcW w:w="6597" w:type="dxa"/>
            <w:gridSpan w:val="14"/>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3" w:type="dxa"/>
            <w:tcBorders>
              <w:bottom w:val="single" w:sz="8" w:space="0" w:color="000000"/>
            </w:tcBorders>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tcMar>
              <w:bottom w:w="28" w:type="dxa"/>
            </w:tcMar>
            <w:vAlign w:val="center"/>
          </w:tcPr>
          <w:p>
            <w:pPr>
              <w:pStyle w:val="TableContents"/>
              <w:bidi w:val="0"/>
              <w:spacing w:before="0" w:after="283"/>
              <w:jc w:val="right"/>
              <w:rPr/>
            </w:pPr>
            <w:r>
              <w:rPr/>
              <w:t>0.00</w:t>
            </w:r>
          </w:p>
        </w:tc>
      </w:tr>
      <w:tr>
        <w:trPr/>
        <w:tc>
          <w:tcPr>
            <w:tcW w:w="6597" w:type="dxa"/>
            <w:gridSpan w:val="14"/>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3" w:type="dxa"/>
            <w:tcBorders>
              <w:bottom w:val="double" w:sz="8" w:space="0" w:color="000000"/>
            </w:tcBorders>
            <w:tcMar>
              <w:bottom w:w="28" w:type="dxa"/>
            </w:tcMar>
            <w:vAlign w:val="center"/>
          </w:tcPr>
          <w:p>
            <w:pPr>
              <w:pStyle w:val="TableContents"/>
              <w:bidi w:val="0"/>
              <w:spacing w:before="0" w:after="283"/>
              <w:jc w:val="left"/>
              <w:rPr/>
            </w:pPr>
            <w:r>
              <w:rPr/>
              <w:t>$</w:t>
            </w:r>
          </w:p>
        </w:tc>
        <w:tc>
          <w:tcPr>
            <w:tcW w:w="962" w:type="dxa"/>
            <w:tcBorders>
              <w:bottom w:val="double" w:sz="8" w:space="0" w:color="000000"/>
            </w:tcBorders>
            <w:tcMar>
              <w:bottom w:w="28" w:type="dxa"/>
            </w:tcMar>
            <w:vAlign w:val="center"/>
          </w:tcPr>
          <w:p>
            <w:pPr>
              <w:pStyle w:val="TableContents"/>
              <w:bidi w:val="0"/>
              <w:spacing w:before="0" w:after="283"/>
              <w:jc w:val="right"/>
              <w:rPr/>
            </w:pPr>
            <w:r>
              <w:rPr/>
              <w:t>0.00</w:t>
            </w:r>
          </w:p>
        </w:tc>
      </w:tr>
    </w:tbl>
    <w:p>
      <w:pPr>
        <w:pStyle w:val="TextBody"/>
        <w:bidi w:val="0"/>
        <w:spacing w:before="0" w:after="0"/>
        <w:jc w:val="left"/>
        <w:rPr>
          <w:caps w:val="false"/>
          <w:smallCaps w:val="false"/>
          <w:color w:val="3265FF"/>
        </w:rPr>
      </w:pPr>
      <w:r>
        <w:rPr>
          <w:caps w:val="false"/>
          <w:smallCaps w:val="false"/>
          <w:color w:val="3265FF"/>
        </w:rPr>
        <w:t> </w:t>
      </w:r>
    </w:p>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40"/>
        <w:gridCol w:w="23"/>
        <w:gridCol w:w="9942"/>
      </w:tblGrid>
      <w:tr>
        <w:trPr/>
        <w:tc>
          <w:tcPr>
            <w:tcW w:w="240"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42" w:type="dxa"/>
            <w:tcBorders/>
            <w:vAlign w:val="center"/>
          </w:tcPr>
          <w:p>
            <w:pPr>
              <w:pStyle w:val="TableContents"/>
              <w:bidi w:val="0"/>
              <w:spacing w:before="0" w:after="283"/>
              <w:jc w:val="both"/>
              <w:rPr/>
            </w:pPr>
            <w:r>
              <w:rPr/>
              <w:t>An unspecified aggregate initial offering price and number or amount of Debt Securities, Preferred Stock, Common Stock, Warrants, Purchase Contracts and Units issued by the Registrant (collectively, “Securities”) is being registered as may from time to time be offered at unspecified prices. Separate consideration may or may not be received for securities that are issuable on exercise, conversion or exchange of other securities or that are issued in units or represented by depositary shares.</w:t>
              <w:br/>
              <w:br/>
              <w:t>This Registration Statement also relates to offers and sales of securities in connection with market making transactions by and through affiliates of the Registrant. These securities consist of an indeterminate amount of the Securities that are initially being registered, and will initially be offered and sold, under this Registration Statement. All such market-making reoffers and resales of these securities that are made pursuant to a registration statement after the effectiveness of this Registration Statement are being made solely pursuant to this Registration Statement.</w:t>
              <w:br/>
              <w:br/>
              <w:t>In accordance with Rules 456(b) and 457(r) under the Securities Act of 1933, as amended (the “Securities Act”), the Registrant is deferring payment of all of the registration fee. In connection with the Securities offered hereby, the Registrant shall pay the registration fees (“pay-as-you-go registration fees”) calculated in accordance with Rule 456(b) under the Securities Act. Pursuant to Rule 457(q) under the Securities Act, no separate registration fee is required for the registration of an indeterminate amount of securities to be offered solely for market-making purposes by direct or indirect subsidiaries of Figure Technology Solutions, Inc.</w:t>
            </w:r>
          </w:p>
        </w:tc>
      </w:tr>
    </w:tbl>
    <w:tbl>
      <w:tblPr>
        <w:tblW w:w="2343" w:type="dxa"/>
        <w:jc w:val="left"/>
        <w:tblInd w:w="0" w:type="dxa"/>
        <w:tblLayout w:type="fixed"/>
        <w:tblCellMar>
          <w:top w:w="0" w:type="dxa"/>
          <w:left w:w="0" w:type="dxa"/>
          <w:bottom w:w="0" w:type="dxa"/>
          <w:right w:w="0" w:type="dxa"/>
        </w:tblCellMar>
      </w:tblPr>
      <w:tblGrid>
        <w:gridCol w:w="305"/>
        <w:gridCol w:w="23"/>
        <w:gridCol w:w="2015"/>
      </w:tblGrid>
      <w:tr>
        <w:trPr/>
        <w:tc>
          <w:tcPr>
            <w:tcW w:w="305" w:type="dxa"/>
            <w:tcBorders/>
            <w:vAlign w:val="center"/>
          </w:tcPr>
          <w:p>
            <w:pPr>
              <w:pStyle w:val="TableContents"/>
              <w:bidi w:val="0"/>
              <w:spacing w:before="0" w:after="283"/>
              <w:jc w:val="right"/>
              <w:rPr/>
            </w:pPr>
            <w:r>
              <w:rPr/>
              <w:t>(2)</w:t>
            </w:r>
          </w:p>
        </w:tc>
        <w:tc>
          <w:tcPr>
            <w:tcW w:w="23"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both"/>
              <w:rPr/>
            </w:pPr>
            <w:r>
              <w:rPr/>
              <w:t>See Offering Note 1.</w:t>
            </w:r>
          </w:p>
        </w:tc>
      </w:tr>
    </w:tbl>
    <w:tbl>
      <w:tblPr>
        <w:tblW w:w="2343" w:type="dxa"/>
        <w:jc w:val="left"/>
        <w:tblInd w:w="0" w:type="dxa"/>
        <w:tblLayout w:type="fixed"/>
        <w:tblCellMar>
          <w:top w:w="0" w:type="dxa"/>
          <w:left w:w="0" w:type="dxa"/>
          <w:bottom w:w="0" w:type="dxa"/>
          <w:right w:w="0" w:type="dxa"/>
        </w:tblCellMar>
      </w:tblPr>
      <w:tblGrid>
        <w:gridCol w:w="305"/>
        <w:gridCol w:w="23"/>
        <w:gridCol w:w="2015"/>
      </w:tblGrid>
      <w:tr>
        <w:trPr/>
        <w:tc>
          <w:tcPr>
            <w:tcW w:w="305" w:type="dxa"/>
            <w:tcBorders/>
            <w:vAlign w:val="center"/>
          </w:tcPr>
          <w:p>
            <w:pPr>
              <w:pStyle w:val="TableContents"/>
              <w:bidi w:val="0"/>
              <w:spacing w:before="0" w:after="283"/>
              <w:jc w:val="right"/>
              <w:rPr/>
            </w:pPr>
            <w:r>
              <w:rPr/>
              <w:t>(3)</w:t>
            </w:r>
          </w:p>
        </w:tc>
        <w:tc>
          <w:tcPr>
            <w:tcW w:w="23"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both"/>
              <w:rPr/>
            </w:pPr>
            <w:r>
              <w:rPr/>
              <w:t>See Offering Note 1.</w:t>
            </w:r>
          </w:p>
        </w:tc>
      </w:tr>
    </w:tbl>
    <w:tbl>
      <w:tblPr>
        <w:tblW w:w="2343" w:type="dxa"/>
        <w:jc w:val="left"/>
        <w:tblInd w:w="0" w:type="dxa"/>
        <w:tblLayout w:type="fixed"/>
        <w:tblCellMar>
          <w:top w:w="0" w:type="dxa"/>
          <w:left w:w="0" w:type="dxa"/>
          <w:bottom w:w="0" w:type="dxa"/>
          <w:right w:w="0" w:type="dxa"/>
        </w:tblCellMar>
      </w:tblPr>
      <w:tblGrid>
        <w:gridCol w:w="305"/>
        <w:gridCol w:w="23"/>
        <w:gridCol w:w="2015"/>
      </w:tblGrid>
      <w:tr>
        <w:trPr/>
        <w:tc>
          <w:tcPr>
            <w:tcW w:w="305" w:type="dxa"/>
            <w:tcBorders/>
            <w:vAlign w:val="center"/>
          </w:tcPr>
          <w:p>
            <w:pPr>
              <w:pStyle w:val="TableContents"/>
              <w:bidi w:val="0"/>
              <w:spacing w:before="0" w:after="283"/>
              <w:jc w:val="right"/>
              <w:rPr/>
            </w:pPr>
            <w:r>
              <w:rPr/>
              <w:t>(4)</w:t>
            </w:r>
          </w:p>
        </w:tc>
        <w:tc>
          <w:tcPr>
            <w:tcW w:w="23"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both"/>
              <w:rPr/>
            </w:pPr>
            <w:r>
              <w:rPr/>
              <w:t>See Offering Note 1.</w:t>
            </w:r>
          </w:p>
        </w:tc>
      </w:tr>
    </w:tbl>
    <w:tbl>
      <w:tblPr>
        <w:tblW w:w="2343" w:type="dxa"/>
        <w:jc w:val="left"/>
        <w:tblInd w:w="0" w:type="dxa"/>
        <w:tblLayout w:type="fixed"/>
        <w:tblCellMar>
          <w:top w:w="0" w:type="dxa"/>
          <w:left w:w="0" w:type="dxa"/>
          <w:bottom w:w="0" w:type="dxa"/>
          <w:right w:w="0" w:type="dxa"/>
        </w:tblCellMar>
      </w:tblPr>
      <w:tblGrid>
        <w:gridCol w:w="305"/>
        <w:gridCol w:w="23"/>
        <w:gridCol w:w="2015"/>
      </w:tblGrid>
      <w:tr>
        <w:trPr/>
        <w:tc>
          <w:tcPr>
            <w:tcW w:w="305" w:type="dxa"/>
            <w:tcBorders/>
            <w:vAlign w:val="center"/>
          </w:tcPr>
          <w:p>
            <w:pPr>
              <w:pStyle w:val="TableContents"/>
              <w:bidi w:val="0"/>
              <w:spacing w:before="0" w:after="283"/>
              <w:jc w:val="right"/>
              <w:rPr/>
            </w:pPr>
            <w:r>
              <w:rPr/>
              <w:t>(5)</w:t>
            </w:r>
          </w:p>
        </w:tc>
        <w:tc>
          <w:tcPr>
            <w:tcW w:w="23"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both"/>
              <w:rPr/>
            </w:pPr>
            <w:r>
              <w:rPr/>
              <w:t>See Offering Note 1.</w:t>
            </w:r>
          </w:p>
        </w:tc>
      </w:tr>
    </w:tbl>
    <w:tbl>
      <w:tblPr>
        <w:tblW w:w="2343" w:type="dxa"/>
        <w:jc w:val="left"/>
        <w:tblInd w:w="0" w:type="dxa"/>
        <w:tblLayout w:type="fixed"/>
        <w:tblCellMar>
          <w:top w:w="0" w:type="dxa"/>
          <w:left w:w="0" w:type="dxa"/>
          <w:bottom w:w="0" w:type="dxa"/>
          <w:right w:w="0" w:type="dxa"/>
        </w:tblCellMar>
      </w:tblPr>
      <w:tblGrid>
        <w:gridCol w:w="305"/>
        <w:gridCol w:w="23"/>
        <w:gridCol w:w="2015"/>
      </w:tblGrid>
      <w:tr>
        <w:trPr/>
        <w:tc>
          <w:tcPr>
            <w:tcW w:w="305" w:type="dxa"/>
            <w:tcBorders/>
            <w:vAlign w:val="center"/>
          </w:tcPr>
          <w:p>
            <w:pPr>
              <w:pStyle w:val="TableContents"/>
              <w:bidi w:val="0"/>
              <w:spacing w:before="0" w:after="283"/>
              <w:jc w:val="right"/>
              <w:rPr/>
            </w:pPr>
            <w:r>
              <w:rPr/>
              <w:t>(6)</w:t>
            </w:r>
          </w:p>
        </w:tc>
        <w:tc>
          <w:tcPr>
            <w:tcW w:w="23"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both"/>
              <w:rPr/>
            </w:pPr>
            <w:r>
              <w:rPr/>
              <w:t>See Offering Note 1.</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2064124/000206412426000009/figr-20251231.htm" TargetMode="External"/><Relationship Id="rId4" Type="http://schemas.openxmlformats.org/officeDocument/2006/relationships/hyperlink" Target="https://www.sec.gov/Archives/edgar/data/2064124/000206412426000029/figr-20260331.htm" TargetMode="External"/><Relationship Id="rId5" Type="http://schemas.openxmlformats.org/officeDocument/2006/relationships/hyperlink" Target="https://www.sec.gov/Archives/edgar/data/2064124/000162828026057061/figr-20260630.htm" TargetMode="External"/><Relationship Id="rId6" Type="http://schemas.openxmlformats.org/officeDocument/2006/relationships/hyperlink" Target="https://www.sec.gov/ix?doc=/Archives/edgar/data/0002064124/000149315226001230/form8-k.htm" TargetMode="External"/><Relationship Id="rId7" Type="http://schemas.openxmlformats.org/officeDocument/2006/relationships/hyperlink" Target="https://www.sec.gov/ix?doc=/Archives/edgar/data/0002064124/000149315226001907/form8-ka.htm" TargetMode="External"/><Relationship Id="rId8" Type="http://schemas.openxmlformats.org/officeDocument/2006/relationships/hyperlink" Target="https://www.sec.gov/ix?doc=/Archives/edgar/data/0002064124/000149315226001929/form8-ka.htm" TargetMode="External"/><Relationship Id="rId9" Type="http://schemas.openxmlformats.org/officeDocument/2006/relationships/hyperlink" Target="https://www.sec.gov/ix?doc=/Archives/edgar/data/0002064124/000149315226006658/form8-k.htm" TargetMode="External"/><Relationship Id="rId10" Type="http://schemas.openxmlformats.org/officeDocument/2006/relationships/hyperlink" Target="https://www.sec.gov/ix?doc=/Archives/edgar/data/0002064124/000162828026009377/figr-20260212.htm" TargetMode="External"/><Relationship Id="rId11" Type="http://schemas.openxmlformats.org/officeDocument/2006/relationships/hyperlink" Target="https://www.sec.gov/ix?doc=/Archives/edgar/data/0002064124/000206412426000003/figr-20260226.htm" TargetMode="External"/><Relationship Id="rId12" Type="http://schemas.openxmlformats.org/officeDocument/2006/relationships/hyperlink" Target="https://www.sec.gov/ix?doc=/Archives/edgar/data/0002064124/000149315226015048/form8-k.htm" TargetMode="External"/><Relationship Id="rId13" Type="http://schemas.openxmlformats.org/officeDocument/2006/relationships/hyperlink" Target="https://www.sec.gov/ix?doc=/Archives/edgar/data/0002064124/000206412426000026/figr-20260511.htm" TargetMode="External"/><Relationship Id="rId14" Type="http://schemas.openxmlformats.org/officeDocument/2006/relationships/hyperlink" Target="https://www.sec.gov/ix?doc=/Archives/edgar/data/0002064124/000149315226028100/form8-k.htm" TargetMode="External"/><Relationship Id="rId15" Type="http://schemas.openxmlformats.org/officeDocument/2006/relationships/hyperlink" Target="https://www.sec.gov/ix?doc=/Archives/edgar/data/0002064124/000149315226028126/form8-k.htm" TargetMode="External"/><Relationship Id="rId16" Type="http://schemas.openxmlformats.org/officeDocument/2006/relationships/hyperlink" Target="https://www.sec.gov/ix?doc=/Archives/edgar/data/0002064124/000095010326010230/dp249691_8k.htm" TargetMode="External"/><Relationship Id="rId17" Type="http://schemas.openxmlformats.org/officeDocument/2006/relationships/hyperlink" Target="https://www.sec.gov/ix?doc=/Archives/edgar/data/0002064124/000149315226032386/form8-k.htm" TargetMode="External"/><Relationship Id="rId18" Type="http://schemas.openxmlformats.org/officeDocument/2006/relationships/hyperlink" Target="https://www.sec.gov/ix?doc=/Archives/edgar/data/0002064124/000095010326010474/dp249925_8k.htm" TargetMode="External"/><Relationship Id="rId19" Type="http://schemas.openxmlformats.org/officeDocument/2006/relationships/hyperlink" Target="https://www.sec.gov/ix?doc=/Archives/edgar/data/0002064124/000095010326010619/dp250054_8k.htm" TargetMode="External"/><Relationship Id="rId20" Type="http://schemas.openxmlformats.org/officeDocument/2006/relationships/hyperlink" Target="https://www.sec.gov/ix?doc=/Archives/edgar/data/0002064124/000206412426000031/figr-20260813.htm" TargetMode="External"/><Relationship Id="rId21" Type="http://schemas.openxmlformats.org/officeDocument/2006/relationships/hyperlink" Target="https://www.sec.gov/ix?doc=/Archives/edgar/data/0002064124/000149315226040931/form8-k.htm" TargetMode="External"/><Relationship Id="rId22" Type="http://schemas.openxmlformats.org/officeDocument/2006/relationships/hyperlink" Target="https://www.sec.gov/Archives/edgar/data/2064124/000206412425000018/exhibit31-closing8xk.htm" TargetMode="External"/><Relationship Id="rId23" Type="http://schemas.openxmlformats.org/officeDocument/2006/relationships/hyperlink" Target="https://www.sec.gov/Archives/edgar/data/2064124/000206412425000018/exhibit32-closing8xk.htm" TargetMode="External"/><Relationship Id="rId24" Type="http://schemas.openxmlformats.org/officeDocument/2006/relationships/image" Target="media/image2.jpeg"/><Relationship Id="rId25" Type="http://schemas.openxmlformats.org/officeDocument/2006/relationships/image" Target="media/image2.jpeg"/><Relationship Id="rId26" Type="http://schemas.openxmlformats.org/officeDocument/2006/relationships/image" Target="media/image2.jpeg"/><Relationship Id="rId27" Type="http://schemas.openxmlformats.org/officeDocument/2006/relationships/image" Target="media/image3.jpeg"/><Relationship Id="rId28" Type="http://schemas.openxmlformats.org/officeDocument/2006/relationships/image" Target="media/image4.jpeg"/><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66883</Words>
  <Characters>342149</Characters>
  <CharactersWithSpaces>409973</CharactersWithSpaces>
  <Paragraphs>3291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