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confidentially submitted to the Securities and Exchange Commission on August 1, 2025.</w:t>
      </w:r>
    </w:p>
    <w:p>
      <w:pPr>
        <w:spacing w:after="0" w:line="69" w:lineRule="exact"/>
        <w:rPr>
          <w:sz w:val="24"/>
          <w:szCs w:val="24"/>
          <w:color w:val="auto"/>
        </w:rPr>
      </w:pPr>
    </w:p>
    <w:p>
      <w:pPr>
        <w:ind w:left="9400" w:right="60" w:hanging="9326"/>
        <w:spacing w:after="0" w:line="193" w:lineRule="exact"/>
        <w:rPr>
          <w:sz w:val="20"/>
          <w:szCs w:val="20"/>
          <w:color w:val="auto"/>
        </w:rPr>
      </w:pPr>
      <w:r>
        <w:rPr>
          <w:rFonts w:ascii="Arial" w:cs="Arial" w:eastAsia="Arial" w:hAnsi="Arial"/>
          <w:sz w:val="14"/>
          <w:szCs w:val="14"/>
          <w:b w:val="1"/>
          <w:bCs w:val="1"/>
          <w:color w:val="auto"/>
        </w:rPr>
        <w:t>This draft registration statement has not been publicly filed with the Securities and Exchange Commission, and all information herein remains strictly confidential. Registration No. 333</w:t>
      </w:r>
      <w:r>
        <w:rPr>
          <w:rFonts w:ascii="MS PGothic" w:cs="MS PGothic" w:eastAsia="MS PGothic" w:hAnsi="MS PGothic"/>
          <w:sz w:val="14"/>
          <w:szCs w:val="14"/>
          <w:color w:val="auto"/>
          <w:strike w:val="1"/>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57785</wp:posOffset>
            </wp:positionV>
            <wp:extent cx="1191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REGISTRATION STATEMENT </w:t>
      </w: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57785</wp:posOffset>
            </wp:positionV>
            <wp:extent cx="11912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FT Intermediate,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57785</wp:posOffset>
            </wp:positionV>
            <wp:extent cx="1191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00" w:lineRule="exact"/>
        <w:rPr>
          <w:sz w:val="24"/>
          <w:szCs w:val="24"/>
          <w:color w:val="auto"/>
        </w:rPr>
      </w:pPr>
    </w:p>
    <w:tbl>
      <w:tblPr>
        <w:tblLayout w:type="fixed"/>
        <w:tblInd w:w="820" w:type="dxa"/>
        <w:tblCellMar>
          <w:top w:w="0" w:type="dxa"/>
          <w:left w:w="0" w:type="dxa"/>
          <w:bottom w:w="0" w:type="dxa"/>
          <w:right w:w="0" w:type="dxa"/>
        </w:tblCellMar>
      </w:tblPr>
      <w:tr>
        <w:trPr>
          <w:trHeight w:val="223"/>
        </w:trPr>
        <w:tc>
          <w:tcPr>
            <w:tcW w:w="2940" w:type="dxa"/>
            <w:vAlign w:val="bottom"/>
          </w:tcPr>
          <w:p>
            <w:pPr>
              <w:jc w:val="center"/>
              <w:ind w:right="759"/>
              <w:spacing w:after="0"/>
              <w:rPr>
                <w:sz w:val="20"/>
                <w:szCs w:val="20"/>
                <w:color w:val="auto"/>
              </w:rPr>
            </w:pPr>
            <w:r>
              <w:rPr>
                <w:rFonts w:ascii="Arial" w:cs="Arial" w:eastAsia="Arial" w:hAnsi="Arial"/>
                <w:sz w:val="16"/>
                <w:szCs w:val="16"/>
                <w:b w:val="1"/>
                <w:bCs w:val="1"/>
                <w:color w:val="auto"/>
              </w:rPr>
              <w:t>Nevada</w:t>
            </w:r>
          </w:p>
        </w:tc>
        <w:tc>
          <w:tcPr>
            <w:tcW w:w="3840" w:type="dxa"/>
            <w:vAlign w:val="bottom"/>
          </w:tcPr>
          <w:p>
            <w:pPr>
              <w:jc w:val="center"/>
              <w:ind w:right="39"/>
              <w:spacing w:after="0"/>
              <w:rPr>
                <w:sz w:val="20"/>
                <w:szCs w:val="20"/>
                <w:color w:val="auto"/>
              </w:rPr>
            </w:pPr>
            <w:r>
              <w:rPr>
                <w:rFonts w:ascii="Arial" w:cs="Arial" w:eastAsia="Arial" w:hAnsi="Arial"/>
                <w:sz w:val="16"/>
                <w:szCs w:val="16"/>
                <w:b w:val="1"/>
                <w:bCs w:val="1"/>
                <w:color w:val="auto"/>
              </w:rPr>
              <w:t>7374</w:t>
            </w:r>
          </w:p>
        </w:tc>
        <w:tc>
          <w:tcPr>
            <w:tcW w:w="2560" w:type="dxa"/>
            <w:vAlign w:val="bottom"/>
          </w:tcPr>
          <w:p>
            <w:pPr>
              <w:jc w:val="center"/>
              <w:ind w:left="899"/>
              <w:spacing w:after="0"/>
              <w:rPr>
                <w:sz w:val="20"/>
                <w:szCs w:val="20"/>
                <w:color w:val="auto"/>
              </w:rPr>
            </w:pPr>
            <w:r>
              <w:rPr>
                <w:rFonts w:ascii="Arial" w:cs="Arial" w:eastAsia="Arial" w:hAnsi="Arial"/>
                <w:sz w:val="16"/>
                <w:szCs w:val="16"/>
                <w:b w:val="1"/>
                <w:bCs w:val="1"/>
                <w:color w:val="auto"/>
              </w:rPr>
              <w:t>99-2556408</w:t>
            </w:r>
          </w:p>
        </w:tc>
      </w:tr>
      <w:tr>
        <w:trPr>
          <w:trHeight w:val="196"/>
        </w:trPr>
        <w:tc>
          <w:tcPr>
            <w:tcW w:w="2940" w:type="dxa"/>
            <w:vAlign w:val="bottom"/>
          </w:tcPr>
          <w:p>
            <w:pPr>
              <w:jc w:val="center"/>
              <w:ind w:right="799"/>
              <w:spacing w:after="0"/>
              <w:rPr>
                <w:sz w:val="20"/>
                <w:szCs w:val="20"/>
                <w:color w:val="auto"/>
              </w:rPr>
            </w:pPr>
            <w:r>
              <w:rPr>
                <w:rFonts w:ascii="Arial" w:cs="Arial" w:eastAsia="Arial" w:hAnsi="Arial"/>
                <w:sz w:val="16"/>
                <w:szCs w:val="16"/>
                <w:color w:val="auto"/>
              </w:rPr>
              <w:t>(State or other jurisdiction of</w:t>
            </w:r>
          </w:p>
        </w:tc>
        <w:tc>
          <w:tcPr>
            <w:tcW w:w="3840" w:type="dxa"/>
            <w:vAlign w:val="bottom"/>
          </w:tcPr>
          <w:p>
            <w:pPr>
              <w:ind w:left="820"/>
              <w:spacing w:after="0"/>
              <w:rPr>
                <w:sz w:val="20"/>
                <w:szCs w:val="20"/>
                <w:color w:val="auto"/>
              </w:rPr>
            </w:pPr>
            <w:r>
              <w:rPr>
                <w:rFonts w:ascii="Arial" w:cs="Arial" w:eastAsia="Arial" w:hAnsi="Arial"/>
                <w:sz w:val="16"/>
                <w:szCs w:val="16"/>
                <w:color w:val="auto"/>
              </w:rPr>
              <w:t>(Primary Standard Industrial</w:t>
            </w:r>
          </w:p>
        </w:tc>
        <w:tc>
          <w:tcPr>
            <w:tcW w:w="2560" w:type="dxa"/>
            <w:vAlign w:val="bottom"/>
          </w:tcPr>
          <w:p>
            <w:pPr>
              <w:jc w:val="center"/>
              <w:ind w:left="839"/>
              <w:spacing w:after="0"/>
              <w:rPr>
                <w:sz w:val="20"/>
                <w:szCs w:val="20"/>
                <w:color w:val="auto"/>
              </w:rPr>
            </w:pPr>
            <w:r>
              <w:rPr>
                <w:rFonts w:ascii="Arial" w:cs="Arial" w:eastAsia="Arial" w:hAnsi="Arial"/>
                <w:sz w:val="16"/>
                <w:szCs w:val="16"/>
                <w:color w:val="auto"/>
              </w:rPr>
              <w:t>(I.R.S. Employer</w:t>
            </w:r>
          </w:p>
        </w:tc>
      </w:tr>
      <w:tr>
        <w:trPr>
          <w:trHeight w:val="215"/>
        </w:trPr>
        <w:tc>
          <w:tcPr>
            <w:tcW w:w="2940" w:type="dxa"/>
            <w:vAlign w:val="bottom"/>
          </w:tcPr>
          <w:p>
            <w:pPr>
              <w:jc w:val="center"/>
              <w:ind w:right="759"/>
              <w:spacing w:after="0"/>
              <w:rPr>
                <w:sz w:val="20"/>
                <w:szCs w:val="20"/>
                <w:color w:val="auto"/>
              </w:rPr>
            </w:pPr>
            <w:r>
              <w:rPr>
                <w:rFonts w:ascii="Arial" w:cs="Arial" w:eastAsia="Arial" w:hAnsi="Arial"/>
                <w:sz w:val="16"/>
                <w:szCs w:val="16"/>
                <w:color w:val="auto"/>
              </w:rPr>
              <w:t>incorporation or organization)</w:t>
            </w:r>
          </w:p>
        </w:tc>
        <w:tc>
          <w:tcPr>
            <w:tcW w:w="3840" w:type="dxa"/>
            <w:vAlign w:val="bottom"/>
          </w:tcPr>
          <w:p>
            <w:pPr>
              <w:jc w:val="center"/>
              <w:ind w:right="59"/>
              <w:spacing w:after="0"/>
              <w:rPr>
                <w:sz w:val="20"/>
                <w:szCs w:val="20"/>
                <w:color w:val="auto"/>
              </w:rPr>
            </w:pPr>
            <w:r>
              <w:rPr>
                <w:rFonts w:ascii="Arial" w:cs="Arial" w:eastAsia="Arial" w:hAnsi="Arial"/>
                <w:sz w:val="16"/>
                <w:szCs w:val="16"/>
                <w:color w:val="auto"/>
              </w:rPr>
              <w:t>Classification Code Number)</w:t>
            </w:r>
          </w:p>
        </w:tc>
        <w:tc>
          <w:tcPr>
            <w:tcW w:w="2560" w:type="dxa"/>
            <w:vAlign w:val="bottom"/>
          </w:tcPr>
          <w:p>
            <w:pPr>
              <w:jc w:val="center"/>
              <w:ind w:left="899"/>
              <w:spacing w:after="0"/>
              <w:rPr>
                <w:sz w:val="20"/>
                <w:szCs w:val="20"/>
                <w:color w:val="auto"/>
              </w:rPr>
            </w:pPr>
            <w:r>
              <w:rPr>
                <w:rFonts w:ascii="Arial" w:cs="Arial" w:eastAsia="Arial" w:hAnsi="Arial"/>
                <w:sz w:val="16"/>
                <w:szCs w:val="16"/>
                <w:color w:val="auto"/>
              </w:rPr>
              <w:t>Identification Number)</w:t>
            </w:r>
          </w:p>
        </w:tc>
      </w:tr>
      <w:tr>
        <w:trPr>
          <w:trHeight w:val="406"/>
        </w:trPr>
        <w:tc>
          <w:tcPr>
            <w:tcW w:w="2940" w:type="dxa"/>
            <w:vAlign w:val="bottom"/>
          </w:tcPr>
          <w:p>
            <w:pPr>
              <w:spacing w:after="0"/>
              <w:rPr>
                <w:sz w:val="24"/>
                <w:szCs w:val="24"/>
                <w:color w:val="auto"/>
              </w:rPr>
            </w:pPr>
          </w:p>
        </w:tc>
        <w:tc>
          <w:tcPr>
            <w:tcW w:w="3840" w:type="dxa"/>
            <w:vAlign w:val="bottom"/>
          </w:tcPr>
          <w:p>
            <w:pPr>
              <w:jc w:val="center"/>
              <w:ind w:right="39"/>
              <w:spacing w:after="0"/>
              <w:rPr>
                <w:sz w:val="20"/>
                <w:szCs w:val="20"/>
                <w:color w:val="auto"/>
              </w:rPr>
            </w:pPr>
            <w:r>
              <w:rPr>
                <w:rFonts w:ascii="Arial" w:cs="Arial" w:eastAsia="Arial" w:hAnsi="Arial"/>
                <w:sz w:val="16"/>
                <w:szCs w:val="16"/>
                <w:b w:val="1"/>
                <w:bCs w:val="1"/>
                <w:color w:val="auto"/>
              </w:rPr>
              <w:t>5 Bryant Park, 34th Floor</w:t>
            </w:r>
          </w:p>
        </w:tc>
        <w:tc>
          <w:tcPr>
            <w:tcW w:w="2560" w:type="dxa"/>
            <w:vAlign w:val="bottom"/>
          </w:tcPr>
          <w:p>
            <w:pPr>
              <w:spacing w:after="0"/>
              <w:rPr>
                <w:sz w:val="24"/>
                <w:szCs w:val="24"/>
                <w:color w:val="auto"/>
              </w:rPr>
            </w:pPr>
          </w:p>
        </w:tc>
      </w:tr>
      <w:tr>
        <w:trPr>
          <w:trHeight w:val="189"/>
        </w:trPr>
        <w:tc>
          <w:tcPr>
            <w:tcW w:w="2940" w:type="dxa"/>
            <w:vAlign w:val="bottom"/>
          </w:tcPr>
          <w:p>
            <w:pPr>
              <w:spacing w:after="0"/>
              <w:rPr>
                <w:sz w:val="16"/>
                <w:szCs w:val="16"/>
                <w:color w:val="auto"/>
              </w:rPr>
            </w:pPr>
          </w:p>
        </w:tc>
        <w:tc>
          <w:tcPr>
            <w:tcW w:w="3840" w:type="dxa"/>
            <w:vAlign w:val="bottom"/>
          </w:tcPr>
          <w:p>
            <w:pPr>
              <w:jc w:val="center"/>
              <w:ind w:right="19"/>
              <w:spacing w:after="0"/>
              <w:rPr>
                <w:sz w:val="20"/>
                <w:szCs w:val="20"/>
                <w:color w:val="auto"/>
              </w:rPr>
            </w:pPr>
            <w:r>
              <w:rPr>
                <w:rFonts w:ascii="Arial" w:cs="Arial" w:eastAsia="Arial" w:hAnsi="Arial"/>
                <w:sz w:val="16"/>
                <w:szCs w:val="16"/>
                <w:b w:val="1"/>
                <w:bCs w:val="1"/>
                <w:color w:val="auto"/>
              </w:rPr>
              <w:t>New York, NY 10018</w:t>
            </w:r>
          </w:p>
        </w:tc>
        <w:tc>
          <w:tcPr>
            <w:tcW w:w="2560" w:type="dxa"/>
            <w:vAlign w:val="bottom"/>
          </w:tcPr>
          <w:p>
            <w:pPr>
              <w:spacing w:after="0"/>
              <w:rPr>
                <w:sz w:val="16"/>
                <w:szCs w:val="16"/>
                <w:color w:val="auto"/>
              </w:rPr>
            </w:pPr>
          </w:p>
        </w:tc>
      </w:tr>
      <w:tr>
        <w:trPr>
          <w:trHeight w:val="218"/>
        </w:trPr>
        <w:tc>
          <w:tcPr>
            <w:tcW w:w="2940" w:type="dxa"/>
            <w:vAlign w:val="bottom"/>
          </w:tcPr>
          <w:p>
            <w:pPr>
              <w:spacing w:after="0"/>
              <w:rPr>
                <w:sz w:val="19"/>
                <w:szCs w:val="19"/>
                <w:color w:val="auto"/>
              </w:rPr>
            </w:pPr>
          </w:p>
        </w:tc>
        <w:tc>
          <w:tcPr>
            <w:tcW w:w="3840" w:type="dxa"/>
            <w:vAlign w:val="bottom"/>
          </w:tcPr>
          <w:p>
            <w:pPr>
              <w:jc w:val="center"/>
              <w:ind w:right="19"/>
              <w:spacing w:after="0"/>
              <w:rPr>
                <w:sz w:val="20"/>
                <w:szCs w:val="20"/>
                <w:color w:val="auto"/>
              </w:rPr>
            </w:pPr>
            <w:r>
              <w:rPr>
                <w:rFonts w:ascii="Arial" w:cs="Arial" w:eastAsia="Arial" w:hAnsi="Arial"/>
                <w:sz w:val="16"/>
                <w:szCs w:val="16"/>
                <w:b w:val="1"/>
                <w:bCs w:val="1"/>
                <w:color w:val="auto"/>
              </w:rPr>
              <w:t>(917) 789-8049</w:t>
            </w:r>
          </w:p>
        </w:tc>
        <w:tc>
          <w:tcPr>
            <w:tcW w:w="2560" w:type="dxa"/>
            <w:vAlign w:val="bottom"/>
          </w:tcPr>
          <w:p>
            <w:pPr>
              <w:spacing w:after="0"/>
              <w:rPr>
                <w:sz w:val="19"/>
                <w:szCs w:val="19"/>
                <w:color w:val="auto"/>
              </w:rPr>
            </w:pPr>
          </w:p>
        </w:tc>
      </w:tr>
    </w:tbl>
    <w:p>
      <w:pPr>
        <w:jc w:val="center"/>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87630</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Michael Tannenbaum</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Chief Executive Officer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FT Intermediate,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5 Bryant Park, 34th Floor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NY 10018</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(917) 789-8049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53340</wp:posOffset>
            </wp:positionV>
            <wp:extent cx="1191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1" w:lineRule="exact"/>
        <w:rPr>
          <w:sz w:val="24"/>
          <w:szCs w:val="24"/>
          <w:color w:val="auto"/>
        </w:rPr>
      </w:pPr>
    </w:p>
    <w:tbl>
      <w:tblPr>
        <w:tblLayout w:type="fixed"/>
        <w:tblInd w:w="740" w:type="dxa"/>
        <w:tblCellMar>
          <w:top w:w="0" w:type="dxa"/>
          <w:left w:w="0" w:type="dxa"/>
          <w:bottom w:w="0" w:type="dxa"/>
          <w:right w:w="0" w:type="dxa"/>
        </w:tblCellMar>
      </w:tblPr>
      <w:tr>
        <w:trPr>
          <w:trHeight w:val="221"/>
        </w:trPr>
        <w:tc>
          <w:tcPr>
            <w:tcW w:w="2720" w:type="dxa"/>
            <w:vAlign w:val="bottom"/>
          </w:tcPr>
          <w:p>
            <w:pPr>
              <w:spacing w:after="0"/>
              <w:rPr>
                <w:sz w:val="19"/>
                <w:szCs w:val="19"/>
                <w:color w:val="auto"/>
              </w:rPr>
            </w:pPr>
          </w:p>
        </w:tc>
        <w:tc>
          <w:tcPr>
            <w:tcW w:w="4360" w:type="dxa"/>
            <w:vAlign w:val="bottom"/>
          </w:tcPr>
          <w:p>
            <w:pPr>
              <w:jc w:val="center"/>
              <w:spacing w:after="0"/>
              <w:rPr>
                <w:sz w:val="20"/>
                <w:szCs w:val="20"/>
                <w:color w:val="auto"/>
              </w:rPr>
            </w:pPr>
            <w:r>
              <w:rPr>
                <w:rFonts w:ascii="Arial" w:cs="Arial" w:eastAsia="Arial" w:hAnsi="Arial"/>
                <w:sz w:val="16"/>
                <w:szCs w:val="16"/>
                <w:b w:val="1"/>
                <w:bCs w:val="1"/>
                <w:i w:val="1"/>
                <w:iCs w:val="1"/>
                <w:color w:val="auto"/>
              </w:rPr>
              <w:t>Copies to:</w:t>
            </w:r>
          </w:p>
        </w:tc>
        <w:tc>
          <w:tcPr>
            <w:tcW w:w="2580" w:type="dxa"/>
            <w:vAlign w:val="bottom"/>
          </w:tcPr>
          <w:p>
            <w:pPr>
              <w:spacing w:after="0"/>
              <w:rPr>
                <w:sz w:val="19"/>
                <w:szCs w:val="19"/>
                <w:color w:val="auto"/>
              </w:rPr>
            </w:pPr>
          </w:p>
        </w:tc>
      </w:tr>
      <w:tr>
        <w:trPr>
          <w:trHeight w:val="223"/>
        </w:trPr>
        <w:tc>
          <w:tcPr>
            <w:tcW w:w="2720" w:type="dxa"/>
            <w:vAlign w:val="bottom"/>
          </w:tcPr>
          <w:p>
            <w:pPr>
              <w:jc w:val="center"/>
              <w:ind w:right="379"/>
              <w:spacing w:after="0"/>
              <w:rPr>
                <w:sz w:val="20"/>
                <w:szCs w:val="20"/>
                <w:color w:val="auto"/>
              </w:rPr>
            </w:pPr>
            <w:r>
              <w:rPr>
                <w:rFonts w:ascii="Arial" w:cs="Arial" w:eastAsia="Arial" w:hAnsi="Arial"/>
                <w:sz w:val="16"/>
                <w:szCs w:val="16"/>
                <w:b w:val="1"/>
                <w:bCs w:val="1"/>
                <w:color w:val="auto"/>
              </w:rPr>
              <w:t>Marc D. Jaffe</w:t>
            </w:r>
          </w:p>
        </w:tc>
        <w:tc>
          <w:tcPr>
            <w:tcW w:w="4360" w:type="dxa"/>
            <w:vAlign w:val="bottom"/>
          </w:tcPr>
          <w:p>
            <w:pPr>
              <w:jc w:val="center"/>
              <w:spacing w:after="0"/>
              <w:rPr>
                <w:sz w:val="20"/>
                <w:szCs w:val="20"/>
                <w:color w:val="auto"/>
              </w:rPr>
            </w:pPr>
            <w:r>
              <w:rPr>
                <w:rFonts w:ascii="Arial" w:cs="Arial" w:eastAsia="Arial" w:hAnsi="Arial"/>
                <w:sz w:val="16"/>
                <w:szCs w:val="16"/>
                <w:b w:val="1"/>
                <w:bCs w:val="1"/>
                <w:color w:val="auto"/>
              </w:rPr>
              <w:t>Ronald Chillemi</w:t>
            </w:r>
          </w:p>
        </w:tc>
        <w:tc>
          <w:tcPr>
            <w:tcW w:w="2580" w:type="dxa"/>
            <w:vAlign w:val="bottom"/>
          </w:tcPr>
          <w:p>
            <w:pPr>
              <w:jc w:val="center"/>
              <w:ind w:left="419"/>
              <w:spacing w:after="0"/>
              <w:rPr>
                <w:sz w:val="20"/>
                <w:szCs w:val="20"/>
                <w:color w:val="auto"/>
              </w:rPr>
            </w:pPr>
            <w:r>
              <w:rPr>
                <w:rFonts w:ascii="Arial" w:cs="Arial" w:eastAsia="Arial" w:hAnsi="Arial"/>
                <w:sz w:val="16"/>
                <w:szCs w:val="16"/>
                <w:b w:val="1"/>
                <w:bCs w:val="1"/>
                <w:color w:val="auto"/>
              </w:rPr>
              <w:t>Byron B. Rooney</w:t>
            </w:r>
          </w:p>
        </w:tc>
      </w:tr>
      <w:tr>
        <w:trPr>
          <w:trHeight w:val="189"/>
        </w:trPr>
        <w:tc>
          <w:tcPr>
            <w:tcW w:w="2720" w:type="dxa"/>
            <w:vAlign w:val="bottom"/>
          </w:tcPr>
          <w:p>
            <w:pPr>
              <w:jc w:val="center"/>
              <w:ind w:right="379"/>
              <w:spacing w:after="0"/>
              <w:rPr>
                <w:sz w:val="20"/>
                <w:szCs w:val="20"/>
                <w:color w:val="auto"/>
              </w:rPr>
            </w:pPr>
            <w:r>
              <w:rPr>
                <w:rFonts w:ascii="Arial" w:cs="Arial" w:eastAsia="Arial" w:hAnsi="Arial"/>
                <w:sz w:val="16"/>
                <w:szCs w:val="16"/>
                <w:b w:val="1"/>
                <w:bCs w:val="1"/>
                <w:color w:val="auto"/>
              </w:rPr>
              <w:t>Ian D. Schuman</w:t>
            </w:r>
          </w:p>
        </w:tc>
        <w:tc>
          <w:tcPr>
            <w:tcW w:w="4360" w:type="dxa"/>
            <w:vAlign w:val="bottom"/>
          </w:tcPr>
          <w:p>
            <w:pPr>
              <w:jc w:val="center"/>
              <w:spacing w:after="0"/>
              <w:rPr>
                <w:sz w:val="20"/>
                <w:szCs w:val="20"/>
                <w:color w:val="auto"/>
              </w:rPr>
            </w:pPr>
            <w:r>
              <w:rPr>
                <w:rFonts w:ascii="Arial" w:cs="Arial" w:eastAsia="Arial" w:hAnsi="Arial"/>
                <w:sz w:val="16"/>
                <w:szCs w:val="16"/>
                <w:b w:val="1"/>
                <w:bCs w:val="1"/>
                <w:color w:val="auto"/>
              </w:rPr>
              <w:t>Chief Legal Officer and Corporate Secretary</w:t>
            </w:r>
          </w:p>
        </w:tc>
        <w:tc>
          <w:tcPr>
            <w:tcW w:w="2580" w:type="dxa"/>
            <w:vAlign w:val="bottom"/>
          </w:tcPr>
          <w:p>
            <w:pPr>
              <w:jc w:val="center"/>
              <w:ind w:left="419"/>
              <w:spacing w:after="0"/>
              <w:rPr>
                <w:sz w:val="20"/>
                <w:szCs w:val="20"/>
                <w:color w:val="auto"/>
              </w:rPr>
            </w:pPr>
            <w:r>
              <w:rPr>
                <w:rFonts w:ascii="Arial" w:cs="Arial" w:eastAsia="Arial" w:hAnsi="Arial"/>
                <w:sz w:val="16"/>
                <w:szCs w:val="16"/>
                <w:b w:val="1"/>
                <w:bCs w:val="1"/>
                <w:color w:val="auto"/>
              </w:rPr>
              <w:t>Derek Dostal</w:t>
            </w:r>
          </w:p>
        </w:tc>
      </w:tr>
      <w:tr>
        <w:trPr>
          <w:trHeight w:val="203"/>
        </w:trPr>
        <w:tc>
          <w:tcPr>
            <w:tcW w:w="2720" w:type="dxa"/>
            <w:vAlign w:val="bottom"/>
          </w:tcPr>
          <w:p>
            <w:pPr>
              <w:jc w:val="center"/>
              <w:ind w:right="379"/>
              <w:spacing w:after="0"/>
              <w:rPr>
                <w:sz w:val="20"/>
                <w:szCs w:val="20"/>
                <w:color w:val="auto"/>
              </w:rPr>
            </w:pPr>
            <w:r>
              <w:rPr>
                <w:rFonts w:ascii="Arial" w:cs="Arial" w:eastAsia="Arial" w:hAnsi="Arial"/>
                <w:sz w:val="16"/>
                <w:szCs w:val="16"/>
                <w:b w:val="1"/>
                <w:bCs w:val="1"/>
                <w:color w:val="auto"/>
              </w:rPr>
              <w:t>Adam J. Gelardi</w:t>
            </w:r>
          </w:p>
        </w:tc>
        <w:tc>
          <w:tcPr>
            <w:tcW w:w="4360" w:type="dxa"/>
            <w:vAlign w:val="bottom"/>
          </w:tcPr>
          <w:p>
            <w:pPr>
              <w:jc w:val="center"/>
              <w:spacing w:after="0"/>
              <w:rPr>
                <w:sz w:val="20"/>
                <w:szCs w:val="20"/>
                <w:color w:val="auto"/>
              </w:rPr>
            </w:pPr>
            <w:r>
              <w:rPr>
                <w:rFonts w:ascii="Arial" w:cs="Arial" w:eastAsia="Arial" w:hAnsi="Arial"/>
                <w:sz w:val="16"/>
                <w:szCs w:val="16"/>
                <w:b w:val="1"/>
                <w:bCs w:val="1"/>
                <w:color w:val="auto"/>
              </w:rPr>
              <w:t>FT Intermediate, Inc.</w:t>
            </w:r>
          </w:p>
        </w:tc>
        <w:tc>
          <w:tcPr>
            <w:tcW w:w="2580" w:type="dxa"/>
            <w:vAlign w:val="bottom"/>
          </w:tcPr>
          <w:p>
            <w:pPr>
              <w:jc w:val="center"/>
              <w:ind w:left="419"/>
              <w:spacing w:after="0"/>
              <w:rPr>
                <w:sz w:val="20"/>
                <w:szCs w:val="20"/>
                <w:color w:val="auto"/>
              </w:rPr>
            </w:pPr>
            <w:r>
              <w:rPr>
                <w:rFonts w:ascii="Arial" w:cs="Arial" w:eastAsia="Arial" w:hAnsi="Arial"/>
                <w:sz w:val="16"/>
                <w:szCs w:val="16"/>
                <w:b w:val="1"/>
                <w:bCs w:val="1"/>
                <w:color w:val="auto"/>
              </w:rPr>
              <w:t>Davis Polk &amp; Wardwell LLP</w:t>
            </w:r>
          </w:p>
        </w:tc>
      </w:tr>
      <w:tr>
        <w:trPr>
          <w:trHeight w:val="189"/>
        </w:trPr>
        <w:tc>
          <w:tcPr>
            <w:tcW w:w="2720" w:type="dxa"/>
            <w:vAlign w:val="bottom"/>
          </w:tcPr>
          <w:p>
            <w:pPr>
              <w:jc w:val="center"/>
              <w:ind w:right="379"/>
              <w:spacing w:after="0"/>
              <w:rPr>
                <w:sz w:val="20"/>
                <w:szCs w:val="20"/>
                <w:color w:val="auto"/>
              </w:rPr>
            </w:pPr>
            <w:r>
              <w:rPr>
                <w:rFonts w:ascii="Arial" w:cs="Arial" w:eastAsia="Arial" w:hAnsi="Arial"/>
                <w:sz w:val="16"/>
                <w:szCs w:val="16"/>
                <w:b w:val="1"/>
                <w:bCs w:val="1"/>
                <w:color w:val="auto"/>
              </w:rPr>
              <w:t>Latham &amp; Watkins LLP</w:t>
            </w:r>
          </w:p>
        </w:tc>
        <w:tc>
          <w:tcPr>
            <w:tcW w:w="4360" w:type="dxa"/>
            <w:vAlign w:val="bottom"/>
          </w:tcPr>
          <w:p>
            <w:pPr>
              <w:jc w:val="center"/>
              <w:spacing w:after="0"/>
              <w:rPr>
                <w:sz w:val="20"/>
                <w:szCs w:val="20"/>
                <w:color w:val="auto"/>
              </w:rPr>
            </w:pPr>
            <w:r>
              <w:rPr>
                <w:rFonts w:ascii="Arial" w:cs="Arial" w:eastAsia="Arial" w:hAnsi="Arial"/>
                <w:sz w:val="16"/>
                <w:szCs w:val="16"/>
                <w:b w:val="1"/>
                <w:bCs w:val="1"/>
                <w:color w:val="auto"/>
              </w:rPr>
              <w:t>5 Bryant Park, 34th Floor</w:t>
            </w:r>
          </w:p>
        </w:tc>
        <w:tc>
          <w:tcPr>
            <w:tcW w:w="2580" w:type="dxa"/>
            <w:vAlign w:val="bottom"/>
          </w:tcPr>
          <w:p>
            <w:pPr>
              <w:jc w:val="center"/>
              <w:ind w:left="459"/>
              <w:spacing w:after="0"/>
              <w:rPr>
                <w:sz w:val="20"/>
                <w:szCs w:val="20"/>
                <w:color w:val="auto"/>
              </w:rPr>
            </w:pPr>
            <w:r>
              <w:rPr>
                <w:rFonts w:ascii="Arial" w:cs="Arial" w:eastAsia="Arial" w:hAnsi="Arial"/>
                <w:sz w:val="16"/>
                <w:szCs w:val="16"/>
                <w:b w:val="1"/>
                <w:bCs w:val="1"/>
                <w:color w:val="auto"/>
              </w:rPr>
              <w:t>450 Lexington Avenue</w:t>
            </w:r>
          </w:p>
        </w:tc>
      </w:tr>
      <w:tr>
        <w:trPr>
          <w:trHeight w:val="189"/>
        </w:trPr>
        <w:tc>
          <w:tcPr>
            <w:tcW w:w="2720" w:type="dxa"/>
            <w:vAlign w:val="bottom"/>
          </w:tcPr>
          <w:p>
            <w:pPr>
              <w:jc w:val="center"/>
              <w:ind w:right="379"/>
              <w:spacing w:after="0"/>
              <w:rPr>
                <w:sz w:val="20"/>
                <w:szCs w:val="20"/>
                <w:color w:val="auto"/>
              </w:rPr>
            </w:pPr>
            <w:r>
              <w:rPr>
                <w:rFonts w:ascii="Arial" w:cs="Arial" w:eastAsia="Arial" w:hAnsi="Arial"/>
                <w:sz w:val="16"/>
                <w:szCs w:val="16"/>
                <w:b w:val="1"/>
                <w:bCs w:val="1"/>
                <w:color w:val="auto"/>
              </w:rPr>
              <w:t>1271 Avenue of the Americas</w:t>
            </w:r>
          </w:p>
        </w:tc>
        <w:tc>
          <w:tcPr>
            <w:tcW w:w="4360" w:type="dxa"/>
            <w:vAlign w:val="bottom"/>
          </w:tcPr>
          <w:p>
            <w:pPr>
              <w:jc w:val="center"/>
              <w:spacing w:after="0"/>
              <w:rPr>
                <w:sz w:val="20"/>
                <w:szCs w:val="20"/>
                <w:color w:val="auto"/>
              </w:rPr>
            </w:pPr>
            <w:r>
              <w:rPr>
                <w:rFonts w:ascii="Arial" w:cs="Arial" w:eastAsia="Arial" w:hAnsi="Arial"/>
                <w:sz w:val="16"/>
                <w:szCs w:val="16"/>
                <w:b w:val="1"/>
                <w:bCs w:val="1"/>
                <w:color w:val="auto"/>
              </w:rPr>
              <w:t>New York, NY 10018</w:t>
            </w:r>
          </w:p>
        </w:tc>
        <w:tc>
          <w:tcPr>
            <w:tcW w:w="2580" w:type="dxa"/>
            <w:vAlign w:val="bottom"/>
          </w:tcPr>
          <w:p>
            <w:pPr>
              <w:jc w:val="center"/>
              <w:ind w:left="439"/>
              <w:spacing w:after="0"/>
              <w:rPr>
                <w:sz w:val="20"/>
                <w:szCs w:val="20"/>
                <w:color w:val="auto"/>
              </w:rPr>
            </w:pPr>
            <w:r>
              <w:rPr>
                <w:rFonts w:ascii="Arial" w:cs="Arial" w:eastAsia="Arial" w:hAnsi="Arial"/>
                <w:sz w:val="16"/>
                <w:szCs w:val="16"/>
                <w:b w:val="1"/>
                <w:bCs w:val="1"/>
                <w:color w:val="auto"/>
              </w:rPr>
              <w:t>New York, NY 10017</w:t>
            </w:r>
          </w:p>
        </w:tc>
      </w:tr>
      <w:tr>
        <w:trPr>
          <w:trHeight w:val="203"/>
        </w:trPr>
        <w:tc>
          <w:tcPr>
            <w:tcW w:w="2720" w:type="dxa"/>
            <w:vAlign w:val="bottom"/>
          </w:tcPr>
          <w:p>
            <w:pPr>
              <w:jc w:val="center"/>
              <w:ind w:right="379"/>
              <w:spacing w:after="0"/>
              <w:rPr>
                <w:sz w:val="20"/>
                <w:szCs w:val="20"/>
                <w:color w:val="auto"/>
              </w:rPr>
            </w:pPr>
            <w:r>
              <w:rPr>
                <w:rFonts w:ascii="Arial" w:cs="Arial" w:eastAsia="Arial" w:hAnsi="Arial"/>
                <w:sz w:val="16"/>
                <w:szCs w:val="16"/>
                <w:b w:val="1"/>
                <w:bCs w:val="1"/>
                <w:color w:val="auto"/>
              </w:rPr>
              <w:t>New York, NY 10020</w:t>
            </w:r>
          </w:p>
        </w:tc>
        <w:tc>
          <w:tcPr>
            <w:tcW w:w="4360" w:type="dxa"/>
            <w:vAlign w:val="bottom"/>
          </w:tcPr>
          <w:p>
            <w:pPr>
              <w:jc w:val="center"/>
              <w:spacing w:after="0"/>
              <w:rPr>
                <w:sz w:val="20"/>
                <w:szCs w:val="20"/>
                <w:color w:val="auto"/>
              </w:rPr>
            </w:pPr>
            <w:r>
              <w:rPr>
                <w:rFonts w:ascii="Arial" w:cs="Arial" w:eastAsia="Arial" w:hAnsi="Arial"/>
                <w:sz w:val="16"/>
                <w:szCs w:val="16"/>
                <w:b w:val="1"/>
                <w:bCs w:val="1"/>
                <w:color w:val="auto"/>
              </w:rPr>
              <w:t>(917) 789-8049</w:t>
            </w:r>
          </w:p>
        </w:tc>
        <w:tc>
          <w:tcPr>
            <w:tcW w:w="2580" w:type="dxa"/>
            <w:vAlign w:val="bottom"/>
          </w:tcPr>
          <w:p>
            <w:pPr>
              <w:jc w:val="center"/>
              <w:ind w:left="419"/>
              <w:spacing w:after="0"/>
              <w:rPr>
                <w:sz w:val="20"/>
                <w:szCs w:val="20"/>
                <w:color w:val="auto"/>
              </w:rPr>
            </w:pPr>
            <w:r>
              <w:rPr>
                <w:rFonts w:ascii="Arial" w:cs="Arial" w:eastAsia="Arial" w:hAnsi="Arial"/>
                <w:sz w:val="16"/>
                <w:szCs w:val="16"/>
                <w:b w:val="1"/>
                <w:bCs w:val="1"/>
                <w:color w:val="auto"/>
              </w:rPr>
              <w:t>(212) 450-4000</w:t>
            </w:r>
          </w:p>
        </w:tc>
      </w:tr>
      <w:tr>
        <w:trPr>
          <w:trHeight w:val="223"/>
        </w:trPr>
        <w:tc>
          <w:tcPr>
            <w:tcW w:w="2720" w:type="dxa"/>
            <w:vAlign w:val="bottom"/>
          </w:tcPr>
          <w:p>
            <w:pPr>
              <w:jc w:val="center"/>
              <w:ind w:right="379"/>
              <w:spacing w:after="0"/>
              <w:rPr>
                <w:sz w:val="20"/>
                <w:szCs w:val="20"/>
                <w:color w:val="auto"/>
              </w:rPr>
            </w:pPr>
            <w:r>
              <w:rPr>
                <w:rFonts w:ascii="Arial" w:cs="Arial" w:eastAsia="Arial" w:hAnsi="Arial"/>
                <w:sz w:val="16"/>
                <w:szCs w:val="16"/>
                <w:b w:val="1"/>
                <w:bCs w:val="1"/>
                <w:color w:val="auto"/>
              </w:rPr>
              <w:t>(212) 906-1200</w:t>
            </w:r>
          </w:p>
        </w:tc>
        <w:tc>
          <w:tcPr>
            <w:tcW w:w="4360" w:type="dxa"/>
            <w:vAlign w:val="bottom"/>
          </w:tcPr>
          <w:p>
            <w:pPr>
              <w:spacing w:after="0"/>
              <w:rPr>
                <w:sz w:val="19"/>
                <w:szCs w:val="19"/>
                <w:color w:val="auto"/>
              </w:rPr>
            </w:pPr>
          </w:p>
        </w:tc>
        <w:tc>
          <w:tcPr>
            <w:tcW w:w="25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116205</wp:posOffset>
            </wp:positionV>
            <wp:extent cx="1191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5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As soon as practicable after this registration statement becomes effective.</w:t>
      </w:r>
    </w:p>
    <w:p>
      <w:pPr>
        <w:spacing w:after="0" w:line="46" w:lineRule="exact"/>
        <w:rPr>
          <w:sz w:val="24"/>
          <w:szCs w:val="24"/>
          <w:color w:val="auto"/>
        </w:rPr>
      </w:pPr>
    </w:p>
    <w:p>
      <w:pPr>
        <w:jc w:val="both"/>
        <w:spacing w:after="0" w:line="213"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16"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09"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16"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2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44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160" w:type="dxa"/>
            <w:vAlign w:val="bottom"/>
          </w:tcPr>
          <w:p>
            <w:pPr>
              <w:ind w:left="1680"/>
              <w:spacing w:after="0"/>
              <w:rPr>
                <w:sz w:val="20"/>
                <w:szCs w:val="20"/>
                <w:color w:val="auto"/>
              </w:rPr>
            </w:pPr>
            <w:r>
              <w:rPr>
                <w:rFonts w:ascii="Arial" w:cs="Arial" w:eastAsia="Arial" w:hAnsi="Arial"/>
                <w:sz w:val="16"/>
                <w:szCs w:val="16"/>
                <w:color w:val="auto"/>
              </w:rPr>
              <w:t>Accelerated filer</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220" w:type="dxa"/>
            <w:vAlign w:val="bottom"/>
          </w:tcPr>
          <w:p>
            <w:pPr>
              <w:spacing w:after="0"/>
              <w:rPr>
                <w:sz w:val="20"/>
                <w:szCs w:val="20"/>
                <w:color w:val="auto"/>
              </w:rPr>
            </w:pPr>
            <w:r>
              <w:rPr>
                <w:rFonts w:ascii="Arial" w:cs="Arial" w:eastAsia="Arial" w:hAnsi="Arial"/>
                <w:sz w:val="16"/>
                <w:szCs w:val="16"/>
                <w:color w:val="auto"/>
              </w:rPr>
              <w:t>Non-accelerated filer</w:t>
            </w:r>
          </w:p>
        </w:tc>
        <w:tc>
          <w:tcPr>
            <w:tcW w:w="244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160" w:type="dxa"/>
            <w:vAlign w:val="bottom"/>
          </w:tcPr>
          <w:p>
            <w:pPr>
              <w:ind w:left="1680"/>
              <w:spacing w:after="0"/>
              <w:rPr>
                <w:sz w:val="20"/>
                <w:szCs w:val="20"/>
                <w:color w:val="auto"/>
              </w:rPr>
            </w:pPr>
            <w:r>
              <w:rPr>
                <w:rFonts w:ascii="Arial" w:cs="Arial" w:eastAsia="Arial" w:hAnsi="Arial"/>
                <w:sz w:val="16"/>
                <w:szCs w:val="16"/>
                <w:color w:val="auto"/>
              </w:rPr>
              <w:t>Smaller reporting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4160" w:type="dxa"/>
            <w:vAlign w:val="bottom"/>
          </w:tcPr>
          <w:p>
            <w:pPr>
              <w:ind w:left="1680"/>
              <w:spacing w:after="0"/>
              <w:rPr>
                <w:sz w:val="20"/>
                <w:szCs w:val="20"/>
                <w:color w:val="auto"/>
              </w:rPr>
            </w:pPr>
            <w:r>
              <w:rPr>
                <w:rFonts w:ascii="Arial" w:cs="Arial" w:eastAsia="Arial" w:hAnsi="Arial"/>
                <w:sz w:val="16"/>
                <w:szCs w:val="16"/>
                <w:color w:val="auto"/>
              </w:rPr>
              <w:t>Emerging growth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2" w:lineRule="exact"/>
        <w:rPr>
          <w:sz w:val="24"/>
          <w:szCs w:val="24"/>
          <w:color w:val="auto"/>
        </w:rPr>
      </w:pPr>
    </w:p>
    <w:p>
      <w:pPr>
        <w:jc w:val="both"/>
        <w:ind w:right="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7" w:lineRule="exact"/>
        <w:rPr>
          <w:sz w:val="24"/>
          <w:szCs w:val="24"/>
          <w:color w:val="auto"/>
        </w:rPr>
      </w:pPr>
    </w:p>
    <w:p>
      <w:pPr>
        <w:jc w:val="both"/>
        <w:spacing w:after="0" w:line="269"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1" w:name="page2"/>
    <w:bookmarkEnd w:id="1"/>
    <w:p>
      <w:pPr>
        <w:ind w:right="280"/>
        <w:spacing w:after="0" w:line="280" w:lineRule="auto"/>
        <w:rPr>
          <w:sz w:val="20"/>
          <w:szCs w:val="20"/>
          <w:color w:val="auto"/>
        </w:rPr>
      </w:pPr>
      <w:r>
        <w:rPr>
          <w:rFonts w:ascii="Arial" w:cs="Arial" w:eastAsia="Arial" w:hAnsi="Arial"/>
          <w:sz w:val="16"/>
          <w:szCs w:val="16"/>
          <w:b w:val="1"/>
          <w:bCs w:val="1"/>
          <w:color w:val="DE1A1E"/>
        </w:rPr>
        <w:t>The information contained in this preliminary prospectus is not complete and may be changed. These securities may not be sold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45" w:lineRule="exact"/>
        <w:rPr>
          <w:sz w:val="20"/>
          <w:szCs w:val="20"/>
          <w:color w:val="auto"/>
        </w:rPr>
      </w:pPr>
    </w:p>
    <w:tbl>
      <w:tblPr>
        <w:tblLayout w:type="fixed"/>
        <w:tblInd w:w="3820" w:type="dxa"/>
        <w:tblCellMar>
          <w:top w:w="0" w:type="dxa"/>
          <w:left w:w="0" w:type="dxa"/>
          <w:bottom w:w="0" w:type="dxa"/>
          <w:right w:w="0" w:type="dxa"/>
        </w:tblCellMar>
      </w:tblPr>
      <w:tr>
        <w:trPr>
          <w:trHeight w:val="223"/>
        </w:trPr>
        <w:tc>
          <w:tcPr>
            <w:tcW w:w="2700" w:type="dxa"/>
            <w:vAlign w:val="bottom"/>
          </w:tcPr>
          <w:p>
            <w:pPr>
              <w:spacing w:after="0"/>
              <w:rPr>
                <w:sz w:val="20"/>
                <w:szCs w:val="20"/>
                <w:color w:val="auto"/>
              </w:rPr>
            </w:pPr>
            <w:r>
              <w:rPr>
                <w:rFonts w:ascii="Arial" w:cs="Arial" w:eastAsia="Arial" w:hAnsi="Arial"/>
                <w:sz w:val="16"/>
                <w:szCs w:val="16"/>
                <w:b w:val="1"/>
                <w:bCs w:val="1"/>
                <w:color w:val="DE1A1E"/>
              </w:rPr>
              <w:t>Subject to Completion, Dated</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DE1A1E"/>
              </w:rPr>
              <w:t>, 2025</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PRELIMINARY PROSPECTUS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97790</wp:posOffset>
            </wp:positionV>
            <wp:extent cx="2057400" cy="436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5740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FT Intermediate, Inc.</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140335</wp:posOffset>
            </wp:positionV>
            <wp:extent cx="13112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This is the initial public offering of FT Intermediate, Inc. We are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shares of our Class A common stock.</w:t>
      </w:r>
    </w:p>
    <w:p>
      <w:pPr>
        <w:spacing w:after="0" w:line="123" w:lineRule="exact"/>
        <w:rPr>
          <w:sz w:val="20"/>
          <w:szCs w:val="20"/>
          <w:color w:val="auto"/>
        </w:rPr>
      </w:pPr>
    </w:p>
    <w:p>
      <w:pPr>
        <w:sectPr>
          <w:pgSz w:w="11900" w:h="16838" w:orient="portrait"/>
          <w:cols w:equalWidth="0" w:num="2">
            <w:col w:w="4920" w:space="720"/>
            <w:col w:w="5600"/>
          </w:cols>
          <w:pgMar w:left="320" w:top="1205" w:right="339"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Prior to this offering, there has been no public market for our Class A common stock. It is currently estimated that the initial public offering price will be between</w:t>
      </w:r>
    </w:p>
    <w:p>
      <w:pPr>
        <w:spacing w:after="0" w:line="15"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4"/>
          <w:szCs w:val="14"/>
          <w:color w:val="auto"/>
        </w:rPr>
        <w:t>and $</w:t>
      </w:r>
      <w:r>
        <w:rPr>
          <w:sz w:val="20"/>
          <w:szCs w:val="20"/>
          <w:color w:val="auto"/>
        </w:rPr>
        <w:tab/>
      </w:r>
      <w:r>
        <w:rPr>
          <w:rFonts w:ascii="Arial" w:cs="Arial" w:eastAsia="Arial" w:hAnsi="Arial"/>
          <w:sz w:val="14"/>
          <w:szCs w:val="14"/>
          <w:color w:val="auto"/>
        </w:rPr>
        <w:t>per share.</w:t>
      </w:r>
    </w:p>
    <w:p>
      <w:pPr>
        <w:spacing w:after="0" w:line="109" w:lineRule="exact"/>
        <w:rPr>
          <w:sz w:val="20"/>
          <w:szCs w:val="20"/>
          <w:color w:val="auto"/>
        </w:rPr>
      </w:pPr>
    </w:p>
    <w:p>
      <w:pPr>
        <w:sectPr>
          <w:pgSz w:w="11900" w:h="16838" w:orient="portrait"/>
          <w:cols w:equalWidth="0" w:num="2">
            <w:col w:w="80" w:space="260"/>
            <w:col w:w="10900"/>
          </w:cols>
          <w:pgMar w:left="320" w:top="1205" w:right="339" w:bottom="1440" w:gutter="0" w:footer="0" w:header="0"/>
          <w:type w:val="continuous"/>
        </w:sectPr>
      </w:pPr>
    </w:p>
    <w:p>
      <w:pPr>
        <w:ind w:left="340"/>
        <w:spacing w:after="0"/>
        <w:rPr>
          <w:sz w:val="20"/>
          <w:szCs w:val="20"/>
          <w:color w:val="auto"/>
        </w:rPr>
      </w:pPr>
      <w:r>
        <w:rPr>
          <w:rFonts w:ascii="Arial" w:cs="Arial" w:eastAsia="Arial" w:hAnsi="Arial"/>
          <w:sz w:val="14"/>
          <w:szCs w:val="14"/>
          <w:color w:val="auto"/>
        </w:rPr>
        <w:t>We intend to apply to list our Class A common stock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under the symbol “FIGR.”</w:t>
      </w:r>
    </w:p>
    <w:p>
      <w:pPr>
        <w:spacing w:after="0" w:line="123" w:lineRule="exact"/>
        <w:rPr>
          <w:sz w:val="20"/>
          <w:szCs w:val="20"/>
          <w:color w:val="auto"/>
        </w:rPr>
      </w:pPr>
    </w:p>
    <w:p>
      <w:pPr>
        <w:sectPr>
          <w:pgSz w:w="11900" w:h="16838" w:orient="portrait"/>
          <w:cols w:equalWidth="0" w:num="2">
            <w:col w:w="3920" w:space="720"/>
            <w:col w:w="6600"/>
          </w:cols>
          <w:pgMar w:left="320" w:top="1205" w:right="339" w:bottom="1440" w:gutter="0" w:footer="0" w:header="0"/>
          <w:type w:val="continuous"/>
        </w:sectPr>
      </w:pPr>
    </w:p>
    <w:p>
      <w:pPr>
        <w:ind w:left="340"/>
        <w:spacing w:after="0"/>
        <w:rPr>
          <w:sz w:val="20"/>
          <w:szCs w:val="20"/>
          <w:color w:val="auto"/>
        </w:rPr>
      </w:pPr>
      <w:r>
        <w:rPr>
          <w:rFonts w:ascii="Arial" w:cs="Arial" w:eastAsia="Arial" w:hAnsi="Arial"/>
          <w:sz w:val="14"/>
          <w:szCs w:val="14"/>
          <w:color w:val="auto"/>
        </w:rPr>
        <w:t>Following this offering, we will have two classes of authorized common stock, Class A common stock and Class B common stock. The rights of the holders of our Class A</w:t>
      </w:r>
    </w:p>
    <w:p>
      <w:pPr>
        <w:sectPr>
          <w:pgSz w:w="11900" w:h="16838" w:orient="portrait"/>
          <w:cols w:equalWidth="0" w:num="1">
            <w:col w:w="11240"/>
          </w:cols>
          <w:pgMar w:left="320" w:top="1205" w:right="339" w:bottom="1440" w:gutter="0" w:footer="0" w:header="0"/>
          <w:type w:val="continuous"/>
        </w:sectPr>
      </w:pPr>
    </w:p>
    <w:p>
      <w:pPr>
        <w:spacing w:after="0" w:line="29"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common stock and Class B common stock will be identical, except with respect to voting and conversion rights. Each share of Class A common stock will be entitled to one vote per share. Each share of Class B common stock will be entitled to ten votes per share and will be convertible at any time into one share of Class A common stock. Immediately</w:t>
      </w:r>
    </w:p>
    <w:p>
      <w:pPr>
        <w:spacing w:after="0"/>
        <w:tabs>
          <w:tab w:leader="none" w:pos="10620" w:val="left"/>
        </w:tabs>
        <w:rPr>
          <w:sz w:val="20"/>
          <w:szCs w:val="20"/>
          <w:color w:val="auto"/>
        </w:rPr>
      </w:pPr>
      <w:r>
        <w:rPr>
          <w:rFonts w:ascii="Arial" w:cs="Arial" w:eastAsia="Arial" w:hAnsi="Arial"/>
          <w:sz w:val="14"/>
          <w:szCs w:val="14"/>
          <w:color w:val="auto"/>
        </w:rPr>
        <w:t>following the completion of this offering, Michael Cagney, our co-founder and a member of our board of directors, and his permitted transferees, will hold</w:t>
      </w:r>
      <w:r>
        <w:rPr>
          <w:sz w:val="20"/>
          <w:szCs w:val="20"/>
          <w:color w:val="auto"/>
        </w:rPr>
        <w:tab/>
      </w:r>
      <w:r>
        <w:rPr>
          <w:rFonts w:ascii="Arial" w:cs="Arial" w:eastAsia="Arial" w:hAnsi="Arial"/>
          <w:sz w:val="14"/>
          <w:szCs w:val="14"/>
          <w:color w:val="auto"/>
        </w:rPr>
        <w:t>shares of</w:t>
      </w:r>
    </w:p>
    <w:p>
      <w:pPr>
        <w:sectPr>
          <w:pgSz w:w="11900" w:h="16838" w:orient="portrait"/>
          <w:cols w:equalWidth="0" w:num="1">
            <w:col w:w="11240"/>
          </w:cols>
          <w:pgMar w:left="320" w:top="1205" w:right="3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Class B common stock representing approximately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of the voting power of our outstanding capital stock, assuming no exercise of the underwriters’ option to</w:t>
      </w:r>
    </w:p>
    <w:p>
      <w:pPr>
        <w:spacing w:after="0" w:line="15" w:lineRule="exact"/>
        <w:rPr>
          <w:sz w:val="20"/>
          <w:szCs w:val="20"/>
          <w:color w:val="auto"/>
        </w:rPr>
      </w:pPr>
    </w:p>
    <w:p>
      <w:pPr>
        <w:sectPr>
          <w:pgSz w:w="11900" w:h="16838" w:orient="portrait"/>
          <w:cols w:equalWidth="0" w:num="2">
            <w:col w:w="3600" w:space="720"/>
            <w:col w:w="6920"/>
          </w:cols>
          <w:pgMar w:left="320" w:top="1205" w:right="339" w:bottom="1440" w:gutter="0" w:footer="0" w:header="0"/>
          <w:type w:val="continuous"/>
        </w:sectPr>
      </w:pPr>
    </w:p>
    <w:p>
      <w:pPr>
        <w:spacing w:after="0"/>
        <w:rPr>
          <w:sz w:val="20"/>
          <w:szCs w:val="20"/>
          <w:color w:val="auto"/>
        </w:rPr>
      </w:pPr>
      <w:r>
        <w:rPr>
          <w:rFonts w:ascii="Arial" w:cs="Arial" w:eastAsia="Arial" w:hAnsi="Arial"/>
          <w:sz w:val="14"/>
          <w:szCs w:val="14"/>
          <w:color w:val="auto"/>
        </w:rPr>
        <w:t>purchase additional shares of Class A common stock. As a result, following this offering we will be a “controlled company” within the meaning of the corporate governance rules</w:t>
      </w:r>
    </w:p>
    <w:p>
      <w:pPr>
        <w:spacing w:after="0" w:line="14"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color w:val="auto"/>
        </w:rPr>
        <w:t>of</w:t>
      </w:r>
      <w:r>
        <w:rPr>
          <w:sz w:val="20"/>
          <w:szCs w:val="20"/>
          <w:color w:val="auto"/>
        </w:rPr>
        <w:tab/>
      </w:r>
      <w:r>
        <w:rPr>
          <w:rFonts w:ascii="Arial" w:cs="Arial" w:eastAsia="Arial" w:hAnsi="Arial"/>
          <w:sz w:val="14"/>
          <w:szCs w:val="14"/>
          <w:color w:val="auto"/>
        </w:rPr>
        <w:t>. For additional information, see the section titled “Management—Controlled Company.”</w:t>
      </w:r>
    </w:p>
    <w:p>
      <w:pPr>
        <w:spacing w:after="0" w:line="109" w:lineRule="exact"/>
        <w:rPr>
          <w:sz w:val="20"/>
          <w:szCs w:val="20"/>
          <w:color w:val="auto"/>
        </w:rPr>
      </w:pPr>
    </w:p>
    <w:p>
      <w:pPr>
        <w:ind w:right="20" w:firstLine="324"/>
        <w:spacing w:after="0" w:line="285" w:lineRule="auto"/>
        <w:rPr>
          <w:sz w:val="20"/>
          <w:szCs w:val="20"/>
          <w:color w:val="auto"/>
        </w:rPr>
      </w:pPr>
      <w:r>
        <w:rPr>
          <w:rFonts w:ascii="Arial" w:cs="Arial" w:eastAsia="Arial" w:hAnsi="Arial"/>
          <w:sz w:val="14"/>
          <w:szCs w:val="14"/>
          <w:color w:val="auto"/>
        </w:rPr>
        <w:t>We are an “emerging growth company” as defined under the federal securities laws and, as such, have elected to comply with certain reduced public company reporting requirements in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62865</wp:posOffset>
            </wp:positionV>
            <wp:extent cx="13112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75" w:lineRule="exact"/>
        <w:rPr>
          <w:sz w:val="20"/>
          <w:szCs w:val="20"/>
          <w:color w:val="auto"/>
        </w:rPr>
      </w:pPr>
    </w:p>
    <w:p>
      <w:pPr>
        <w:ind w:firstLine="324"/>
        <w:spacing w:after="0" w:line="311" w:lineRule="auto"/>
        <w:rPr>
          <w:sz w:val="20"/>
          <w:szCs w:val="20"/>
          <w:color w:val="auto"/>
        </w:rPr>
      </w:pPr>
      <w:r>
        <w:rPr>
          <w:rFonts w:ascii="Arial" w:cs="Arial" w:eastAsia="Arial" w:hAnsi="Arial"/>
          <w:sz w:val="14"/>
          <w:szCs w:val="14"/>
          <w:b w:val="1"/>
          <w:bCs w:val="1"/>
          <w:i w:val="1"/>
          <w:iCs w:val="1"/>
          <w:color w:val="auto"/>
        </w:rPr>
        <w:t>Investing in our Class A common stock involves risks. See the section titled “</w:t>
      </w:r>
      <w:r>
        <w:rPr>
          <w:rFonts w:ascii="Arial" w:cs="Arial" w:eastAsia="Arial" w:hAnsi="Arial"/>
          <w:sz w:val="14"/>
          <w:szCs w:val="14"/>
          <w:b w:val="1"/>
          <w:bCs w:val="1"/>
          <w:i w:val="1"/>
          <w:iCs w:val="1"/>
          <w:u w:val="single" w:color="auto"/>
          <w:color w:val="0000FF"/>
        </w:rPr>
        <w:t>Risk Factors</w:t>
      </w:r>
      <w:r>
        <w:rPr>
          <w:rFonts w:ascii="Arial" w:cs="Arial" w:eastAsia="Arial" w:hAnsi="Arial"/>
          <w:sz w:val="14"/>
          <w:szCs w:val="14"/>
          <w:b w:val="1"/>
          <w:bCs w:val="1"/>
          <w:i w:val="1"/>
          <w:iCs w:val="1"/>
          <w:color w:val="auto"/>
        </w:rPr>
        <w:t xml:space="preserve">” beginning on page </w:t>
      </w:r>
      <w:r>
        <w:rPr>
          <w:rFonts w:ascii="Arial" w:cs="Arial" w:eastAsia="Arial" w:hAnsi="Arial"/>
          <w:sz w:val="14"/>
          <w:szCs w:val="14"/>
          <w:b w:val="1"/>
          <w:bCs w:val="1"/>
          <w:i w:val="1"/>
          <w:iCs w:val="1"/>
          <w:u w:val="single" w:color="auto"/>
          <w:color w:val="0000FF"/>
        </w:rPr>
        <w:t>30</w:t>
      </w:r>
      <w:r>
        <w:rPr>
          <w:rFonts w:ascii="Arial" w:cs="Arial" w:eastAsia="Arial" w:hAnsi="Arial"/>
          <w:sz w:val="14"/>
          <w:szCs w:val="14"/>
          <w:b w:val="1"/>
          <w:bCs w:val="1"/>
          <w:i w:val="1"/>
          <w:iCs w:val="1"/>
          <w:color w:val="auto"/>
        </w:rPr>
        <w:t xml:space="preserve"> to read about factors you should consider before deciding to invest in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39370</wp:posOffset>
            </wp:positionV>
            <wp:extent cx="13112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36" w:lineRule="exact"/>
        <w:rPr>
          <w:sz w:val="20"/>
          <w:szCs w:val="20"/>
          <w:color w:val="auto"/>
        </w:rPr>
      </w:pPr>
    </w:p>
    <w:p>
      <w:pPr>
        <w:ind w:firstLine="324"/>
        <w:spacing w:after="0" w:line="314"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46990</wp:posOffset>
            </wp:positionV>
            <wp:extent cx="13112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420" w:type="dxa"/>
            <w:vAlign w:val="bottom"/>
          </w:tcPr>
          <w:p>
            <w:pPr>
              <w:spacing w:after="0"/>
              <w:rPr>
                <w:sz w:val="17"/>
                <w:szCs w:val="17"/>
                <w:color w:val="auto"/>
              </w:rPr>
            </w:pPr>
          </w:p>
        </w:tc>
        <w:tc>
          <w:tcPr>
            <w:tcW w:w="1440" w:type="dxa"/>
            <w:vAlign w:val="bottom"/>
            <w:gridSpan w:val="2"/>
          </w:tcPr>
          <w:p>
            <w:pPr>
              <w:ind w:left="340"/>
              <w:spacing w:after="0"/>
              <w:rPr>
                <w:sz w:val="20"/>
                <w:szCs w:val="20"/>
                <w:color w:val="auto"/>
              </w:rPr>
            </w:pPr>
            <w:r>
              <w:rPr>
                <w:rFonts w:ascii="Arial" w:cs="Arial" w:eastAsia="Arial" w:hAnsi="Arial"/>
                <w:sz w:val="14"/>
                <w:szCs w:val="14"/>
                <w:b w:val="1"/>
                <w:bCs w:val="1"/>
                <w:color w:val="auto"/>
              </w:rPr>
              <w:t>Per Share</w:t>
            </w:r>
          </w:p>
        </w:tc>
        <w:tc>
          <w:tcPr>
            <w:tcW w:w="1360" w:type="dxa"/>
            <w:vAlign w:val="bottom"/>
          </w:tcPr>
          <w:p>
            <w:pPr>
              <w:jc w:val="right"/>
              <w:ind w:right="448"/>
              <w:spacing w:after="0"/>
              <w:rPr>
                <w:sz w:val="20"/>
                <w:szCs w:val="20"/>
                <w:color w:val="auto"/>
              </w:rPr>
            </w:pPr>
            <w:r>
              <w:rPr>
                <w:rFonts w:ascii="Arial" w:cs="Arial" w:eastAsia="Arial" w:hAnsi="Arial"/>
                <w:sz w:val="14"/>
                <w:szCs w:val="14"/>
                <w:b w:val="1"/>
                <w:bCs w:val="1"/>
                <w:color w:val="auto"/>
              </w:rPr>
              <w:t>Total</w:t>
            </w:r>
          </w:p>
        </w:tc>
      </w:tr>
      <w:tr>
        <w:trPr>
          <w:trHeight w:val="190"/>
        </w:trPr>
        <w:tc>
          <w:tcPr>
            <w:tcW w:w="8420" w:type="dxa"/>
            <w:vAlign w:val="bottom"/>
          </w:tcPr>
          <w:p>
            <w:pPr>
              <w:spacing w:after="0"/>
              <w:rPr>
                <w:sz w:val="20"/>
                <w:szCs w:val="20"/>
                <w:color w:val="auto"/>
              </w:rPr>
            </w:pPr>
            <w:r>
              <w:rPr>
                <w:rFonts w:ascii="Arial" w:cs="Arial" w:eastAsia="Arial" w:hAnsi="Arial"/>
                <w:sz w:val="14"/>
                <w:szCs w:val="14"/>
                <w:color w:val="auto"/>
              </w:rPr>
              <w:t>Initial public offering price</w:t>
            </w:r>
          </w:p>
        </w:tc>
        <w:tc>
          <w:tcPr>
            <w:tcW w:w="1360" w:type="dxa"/>
            <w:vAlign w:val="bottom"/>
            <w:tcBorders>
              <w:top w:val="single" w:sz="8" w:color="auto"/>
            </w:tcBorders>
          </w:tcPr>
          <w:p>
            <w:pPr>
              <w:jc w:val="right"/>
              <w:ind w:right="11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360" w:type="dxa"/>
            <w:vAlign w:val="bottom"/>
            <w:tcBorders>
              <w:top w:val="single" w:sz="8" w:color="auto"/>
            </w:tcBorders>
          </w:tcPr>
          <w:p>
            <w:pPr>
              <w:jc w:val="right"/>
              <w:ind w:right="1188"/>
              <w:spacing w:after="0"/>
              <w:rPr>
                <w:sz w:val="20"/>
                <w:szCs w:val="20"/>
                <w:color w:val="auto"/>
              </w:rPr>
            </w:pPr>
            <w:r>
              <w:rPr>
                <w:rFonts w:ascii="Arial" w:cs="Arial" w:eastAsia="Arial" w:hAnsi="Arial"/>
                <w:sz w:val="14"/>
                <w:szCs w:val="14"/>
                <w:color w:val="auto"/>
              </w:rPr>
              <w:t>$</w:t>
            </w:r>
          </w:p>
        </w:tc>
      </w:tr>
      <w:tr>
        <w:trPr>
          <w:trHeight w:val="203"/>
        </w:trPr>
        <w:tc>
          <w:tcPr>
            <w:tcW w:w="8420" w:type="dxa"/>
            <w:vAlign w:val="bottom"/>
          </w:tcPr>
          <w:p>
            <w:pPr>
              <w:spacing w:after="0"/>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9"/>
                <w:szCs w:val="9"/>
                <w:color w:val="auto"/>
              </w:rPr>
              <w:t>(1)</w:t>
            </w: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r>
      <w:tr>
        <w:trPr>
          <w:trHeight w:val="203"/>
        </w:trPr>
        <w:tc>
          <w:tcPr>
            <w:tcW w:w="8420" w:type="dxa"/>
            <w:vAlign w:val="bottom"/>
          </w:tcPr>
          <w:p>
            <w:pPr>
              <w:spacing w:after="0"/>
              <w:rPr>
                <w:sz w:val="20"/>
                <w:szCs w:val="20"/>
                <w:color w:val="auto"/>
              </w:rPr>
            </w:pPr>
            <w:r>
              <w:rPr>
                <w:rFonts w:ascii="Arial" w:cs="Arial" w:eastAsia="Arial" w:hAnsi="Arial"/>
                <w:sz w:val="14"/>
                <w:szCs w:val="14"/>
                <w:color w:val="auto"/>
              </w:rPr>
              <w:t>Proceeds to us, before expenses</w:t>
            </w: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r>
    </w:tbl>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See the section titled “Underwriting” for a description of the compensation payable to the underwriters.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80" w:type="dxa"/>
            <w:vAlign w:val="bottom"/>
            <w:gridSpan w:val="3"/>
          </w:tcPr>
          <w:p>
            <w:pPr>
              <w:ind w:left="340"/>
              <w:spacing w:after="0"/>
              <w:rPr>
                <w:sz w:val="20"/>
                <w:szCs w:val="20"/>
                <w:color w:val="auto"/>
              </w:rPr>
            </w:pPr>
            <w:r>
              <w:rPr>
                <w:rFonts w:ascii="Arial" w:cs="Arial" w:eastAsia="Arial" w:hAnsi="Arial"/>
                <w:sz w:val="14"/>
                <w:szCs w:val="14"/>
                <w:color w:val="auto"/>
              </w:rPr>
              <w:t>We have granted the underwriters an option to purchase up to an additional</w:t>
            </w:r>
          </w:p>
        </w:tc>
        <w:tc>
          <w:tcPr>
            <w:tcW w:w="5460" w:type="dxa"/>
            <w:vAlign w:val="bottom"/>
            <w:gridSpan w:val="3"/>
          </w:tcPr>
          <w:p>
            <w:pPr>
              <w:jc w:val="right"/>
              <w:spacing w:after="0"/>
              <w:rPr>
                <w:sz w:val="20"/>
                <w:szCs w:val="20"/>
                <w:color w:val="auto"/>
              </w:rPr>
            </w:pPr>
            <w:r>
              <w:rPr>
                <w:rFonts w:ascii="Arial" w:cs="Arial" w:eastAsia="Arial" w:hAnsi="Arial"/>
                <w:sz w:val="14"/>
                <w:szCs w:val="14"/>
                <w:color w:val="auto"/>
              </w:rPr>
              <w:t>shares of our Class A common stock from us at the initial public offering price, less</w:t>
            </w:r>
          </w:p>
        </w:tc>
      </w:tr>
      <w:tr>
        <w:trPr>
          <w:trHeight w:val="190"/>
        </w:trPr>
        <w:tc>
          <w:tcPr>
            <w:tcW w:w="3860" w:type="dxa"/>
            <w:vAlign w:val="bottom"/>
          </w:tcPr>
          <w:p>
            <w:pPr>
              <w:spacing w:after="0"/>
              <w:rPr>
                <w:sz w:val="20"/>
                <w:szCs w:val="20"/>
                <w:color w:val="auto"/>
              </w:rPr>
            </w:pPr>
            <w:r>
              <w:rPr>
                <w:rFonts w:ascii="Arial" w:cs="Arial" w:eastAsia="Arial" w:hAnsi="Arial"/>
                <w:sz w:val="14"/>
                <w:szCs w:val="14"/>
                <w:color w:val="auto"/>
              </w:rPr>
              <w:t>underwriting discounts and commissions.</w:t>
            </w: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0" w:type="dxa"/>
            <w:vAlign w:val="bottom"/>
          </w:tcPr>
          <w:p>
            <w:pPr>
              <w:spacing w:after="0"/>
              <w:rPr>
                <w:sz w:val="16"/>
                <w:szCs w:val="16"/>
                <w:color w:val="auto"/>
              </w:rPr>
            </w:pPr>
          </w:p>
        </w:tc>
      </w:tr>
      <w:tr>
        <w:trPr>
          <w:trHeight w:val="283"/>
        </w:trPr>
        <w:tc>
          <w:tcPr>
            <w:tcW w:w="7040" w:type="dxa"/>
            <w:vAlign w:val="bottom"/>
            <w:gridSpan w:val="5"/>
          </w:tcPr>
          <w:p>
            <w:pPr>
              <w:ind w:left="340"/>
              <w:spacing w:after="0"/>
              <w:rPr>
                <w:sz w:val="20"/>
                <w:szCs w:val="20"/>
                <w:color w:val="auto"/>
              </w:rPr>
            </w:pPr>
            <w:r>
              <w:rPr>
                <w:rFonts w:ascii="Arial" w:cs="Arial" w:eastAsia="Arial" w:hAnsi="Arial"/>
                <w:sz w:val="14"/>
                <w:szCs w:val="14"/>
                <w:color w:val="auto"/>
              </w:rPr>
              <w:t>The underwriters expect to deliver the shares against payment in New York, New York on or about</w:t>
            </w:r>
          </w:p>
        </w:tc>
        <w:tc>
          <w:tcPr>
            <w:tcW w:w="4200" w:type="dxa"/>
            <w:vAlign w:val="bottom"/>
          </w:tcPr>
          <w:p>
            <w:pPr>
              <w:jc w:val="right"/>
              <w:ind w:right="3381"/>
              <w:spacing w:after="0"/>
              <w:rPr>
                <w:sz w:val="20"/>
                <w:szCs w:val="20"/>
                <w:color w:val="auto"/>
              </w:rPr>
            </w:pPr>
            <w:r>
              <w:rPr>
                <w:rFonts w:ascii="Arial" w:cs="Arial" w:eastAsia="Arial" w:hAnsi="Arial"/>
                <w:sz w:val="14"/>
                <w:szCs w:val="14"/>
                <w:color w:val="auto"/>
              </w:rPr>
              <w:t>, 2025.</w:t>
            </w:r>
          </w:p>
        </w:tc>
      </w:tr>
      <w:tr>
        <w:trPr>
          <w:trHeight w:val="184"/>
        </w:trPr>
        <w:tc>
          <w:tcPr>
            <w:tcW w:w="3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60" w:type="dxa"/>
            <w:vAlign w:val="bottom"/>
            <w:tcBorders>
              <w:bottom w:val="single" w:sz="8" w:color="auto"/>
            </w:tcBorders>
            <w:gridSpan w:val="2"/>
          </w:tcPr>
          <w:p>
            <w:pPr>
              <w:spacing w:after="0"/>
              <w:rPr>
                <w:sz w:val="15"/>
                <w:szCs w:val="15"/>
                <w:color w:val="auto"/>
              </w:rPr>
            </w:pPr>
          </w:p>
        </w:tc>
        <w:tc>
          <w:tcPr>
            <w:tcW w:w="380" w:type="dxa"/>
            <w:vAlign w:val="bottom"/>
          </w:tcPr>
          <w:p>
            <w:pPr>
              <w:spacing w:after="0"/>
              <w:rPr>
                <w:sz w:val="15"/>
                <w:szCs w:val="15"/>
                <w:color w:val="auto"/>
              </w:rPr>
            </w:pPr>
          </w:p>
        </w:tc>
        <w:tc>
          <w:tcPr>
            <w:tcW w:w="4200" w:type="dxa"/>
            <w:vAlign w:val="bottom"/>
          </w:tcPr>
          <w:p>
            <w:pPr>
              <w:spacing w:after="0"/>
              <w:rPr>
                <w:sz w:val="15"/>
                <w:szCs w:val="15"/>
                <w:color w:val="auto"/>
              </w:rPr>
            </w:pPr>
          </w:p>
        </w:tc>
      </w:tr>
      <w:tr>
        <w:trPr>
          <w:trHeight w:val="546"/>
        </w:trPr>
        <w:tc>
          <w:tcPr>
            <w:tcW w:w="3860" w:type="dxa"/>
            <w:vAlign w:val="bottom"/>
          </w:tcPr>
          <w:p>
            <w:pPr>
              <w:ind w:left="20"/>
              <w:spacing w:after="0"/>
              <w:rPr>
                <w:sz w:val="20"/>
                <w:szCs w:val="20"/>
                <w:color w:val="auto"/>
              </w:rPr>
            </w:pPr>
            <w:r>
              <w:rPr>
                <w:rFonts w:ascii="Arial" w:cs="Arial" w:eastAsia="Arial" w:hAnsi="Arial"/>
                <w:sz w:val="25"/>
                <w:szCs w:val="25"/>
                <w:b w:val="1"/>
                <w:bCs w:val="1"/>
                <w:color w:val="auto"/>
              </w:rPr>
              <w:t>Goldman Sachs &amp; Co. LLC</w:t>
            </w:r>
          </w:p>
        </w:tc>
        <w:tc>
          <w:tcPr>
            <w:tcW w:w="740" w:type="dxa"/>
            <w:vAlign w:val="bottom"/>
          </w:tcPr>
          <w:p>
            <w:pPr>
              <w:spacing w:after="0"/>
              <w:rPr>
                <w:sz w:val="24"/>
                <w:szCs w:val="24"/>
                <w:color w:val="auto"/>
              </w:rPr>
            </w:pPr>
          </w:p>
        </w:tc>
        <w:tc>
          <w:tcPr>
            <w:tcW w:w="2440" w:type="dxa"/>
            <w:vAlign w:val="bottom"/>
            <w:gridSpan w:val="3"/>
          </w:tcPr>
          <w:p>
            <w:pPr>
              <w:jc w:val="right"/>
              <w:ind w:right="920"/>
              <w:spacing w:after="0"/>
              <w:rPr>
                <w:sz w:val="20"/>
                <w:szCs w:val="20"/>
                <w:color w:val="auto"/>
              </w:rPr>
            </w:pPr>
            <w:r>
              <w:rPr>
                <w:rFonts w:ascii="Arial" w:cs="Arial" w:eastAsia="Arial" w:hAnsi="Arial"/>
                <w:sz w:val="25"/>
                <w:szCs w:val="25"/>
                <w:b w:val="1"/>
                <w:bCs w:val="1"/>
                <w:color w:val="auto"/>
              </w:rPr>
              <w:t>Jefferies</w:t>
            </w:r>
          </w:p>
        </w:tc>
        <w:tc>
          <w:tcPr>
            <w:tcW w:w="4200" w:type="dxa"/>
            <w:vAlign w:val="bottom"/>
          </w:tcPr>
          <w:p>
            <w:pPr>
              <w:jc w:val="right"/>
              <w:spacing w:after="0"/>
              <w:rPr>
                <w:sz w:val="20"/>
                <w:szCs w:val="20"/>
                <w:color w:val="auto"/>
              </w:rPr>
            </w:pPr>
            <w:r>
              <w:rPr>
                <w:rFonts w:ascii="Arial" w:cs="Arial" w:eastAsia="Arial" w:hAnsi="Arial"/>
                <w:sz w:val="25"/>
                <w:szCs w:val="25"/>
                <w:b w:val="1"/>
                <w:bCs w:val="1"/>
                <w:color w:val="auto"/>
              </w:rPr>
              <w:t>BofA Securities</w:t>
            </w:r>
          </w:p>
        </w:tc>
      </w:tr>
      <w:tr>
        <w:trPr>
          <w:trHeight w:val="176"/>
        </w:trPr>
        <w:tc>
          <w:tcPr>
            <w:tcW w:w="3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200" w:type="dxa"/>
            <w:vAlign w:val="bottom"/>
          </w:tcPr>
          <w:p>
            <w:pPr>
              <w:spacing w:after="0"/>
              <w:rPr>
                <w:sz w:val="15"/>
                <w:szCs w:val="15"/>
                <w:color w:val="auto"/>
              </w:rPr>
            </w:pPr>
          </w:p>
        </w:tc>
      </w:tr>
      <w:tr>
        <w:trPr>
          <w:trHeight w:val="364"/>
        </w:trPr>
        <w:tc>
          <w:tcPr>
            <w:tcW w:w="3860" w:type="dxa"/>
            <w:vAlign w:val="bottom"/>
          </w:tcPr>
          <w:p>
            <w:pPr>
              <w:spacing w:after="0"/>
              <w:rPr>
                <w:sz w:val="24"/>
                <w:szCs w:val="24"/>
                <w:color w:val="auto"/>
              </w:rPr>
            </w:pPr>
          </w:p>
        </w:tc>
        <w:tc>
          <w:tcPr>
            <w:tcW w:w="1920" w:type="dxa"/>
            <w:vAlign w:val="bottom"/>
            <w:gridSpan w:val="2"/>
          </w:tcPr>
          <w:p>
            <w:pPr>
              <w:ind w:left="620"/>
              <w:spacing w:after="0"/>
              <w:rPr>
                <w:sz w:val="20"/>
                <w:szCs w:val="20"/>
                <w:color w:val="auto"/>
              </w:rPr>
            </w:pPr>
            <w:r>
              <w:rPr>
                <w:rFonts w:ascii="Arial" w:cs="Arial" w:eastAsia="Arial" w:hAnsi="Arial"/>
                <w:sz w:val="14"/>
                <w:szCs w:val="14"/>
                <w:color w:val="auto"/>
              </w:rPr>
              <w:t>Prospectus dated</w:t>
            </w: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 2025</w:t>
            </w:r>
          </w:p>
        </w:tc>
        <w:tc>
          <w:tcPr>
            <w:tcW w:w="4200" w:type="dxa"/>
            <w:vAlign w:val="bottom"/>
          </w:tcPr>
          <w:p>
            <w:pPr>
              <w:spacing w:after="0"/>
              <w:rPr>
                <w:sz w:val="24"/>
                <w:szCs w:val="24"/>
                <w:color w:val="auto"/>
              </w:rPr>
            </w:pPr>
          </w:p>
        </w:tc>
      </w:tr>
    </w:tbl>
    <w:p>
      <w:pPr>
        <w:sectPr>
          <w:pgSz w:w="11900" w:h="16838" w:orient="portrait"/>
          <w:cols w:equalWidth="0" w:num="1">
            <w:col w:w="11240"/>
          </w:cols>
          <w:pgMar w:left="320" w:top="1205" w:right="339" w:bottom="1440" w:gutter="0" w:footer="0" w:header="0"/>
          <w:type w:val="continuous"/>
        </w:sectPr>
      </w:pPr>
    </w:p>
    <w:bookmarkStart w:id="2" w:name="page3"/>
    <w:bookmarkEnd w:id="2"/>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Page</w:t>
            </w:r>
          </w:p>
        </w:tc>
      </w:tr>
      <w:tr>
        <w:trPr>
          <w:trHeight w:val="185"/>
        </w:trPr>
        <w:tc>
          <w:tcPr>
            <w:tcW w:w="2220" w:type="dxa"/>
            <w:vAlign w:val="bottom"/>
            <w:gridSpan w:val="10"/>
          </w:tcPr>
          <w:p>
            <w:pPr>
              <w:spacing w:after="0" w:line="184" w:lineRule="exact"/>
              <w:rPr>
                <w:sz w:val="20"/>
                <w:szCs w:val="20"/>
                <w:color w:val="auto"/>
              </w:rPr>
            </w:pPr>
            <w:r>
              <w:rPr>
                <w:rFonts w:ascii="Arial" w:cs="Arial" w:eastAsia="Arial" w:hAnsi="Arial"/>
                <w:sz w:val="18"/>
                <w:szCs w:val="18"/>
                <w:color w:val="0000FF"/>
                <w:w w:val="99"/>
              </w:rPr>
              <w:t>PROSPECTUS SUMMARY</w:t>
            </w:r>
          </w:p>
        </w:tc>
        <w:tc>
          <w:tcPr>
            <w:tcW w:w="8140" w:type="dxa"/>
            <w:vAlign w:val="bottom"/>
            <w:gridSpan w:val="10"/>
          </w:tcPr>
          <w:p>
            <w:pPr>
              <w:spacing w:after="0"/>
              <w:rPr>
                <w:sz w:val="16"/>
                <w:szCs w:val="16"/>
                <w:color w:val="auto"/>
              </w:rPr>
            </w:pPr>
          </w:p>
        </w:tc>
        <w:tc>
          <w:tcPr>
            <w:tcW w:w="740" w:type="dxa"/>
            <w:vAlign w:val="bottom"/>
            <w:gridSpan w:val="2"/>
          </w:tcPr>
          <w:p>
            <w:pPr>
              <w:spacing w:after="0"/>
              <w:rPr>
                <w:sz w:val="16"/>
                <w:szCs w:val="16"/>
                <w:color w:val="auto"/>
              </w:rPr>
            </w:pPr>
          </w:p>
        </w:tc>
        <w:tc>
          <w:tcPr>
            <w:tcW w:w="120" w:type="dxa"/>
            <w:vAlign w:val="bottom"/>
            <w:gridSpan w:val="2"/>
          </w:tcPr>
          <w:p>
            <w:pPr>
              <w:jc w:val="right"/>
              <w:ind w:right="20"/>
              <w:spacing w:after="0" w:line="184" w:lineRule="exact"/>
              <w:rPr>
                <w:sz w:val="20"/>
                <w:szCs w:val="20"/>
                <w:color w:val="auto"/>
              </w:rPr>
            </w:pPr>
            <w:r>
              <w:rPr>
                <w:rFonts w:ascii="Arial" w:cs="Arial" w:eastAsia="Arial" w:hAnsi="Arial"/>
                <w:sz w:val="18"/>
                <w:szCs w:val="18"/>
                <w:color w:val="0000FF"/>
                <w:w w:val="79"/>
              </w:rPr>
              <w:t>1</w:t>
            </w:r>
          </w:p>
        </w:tc>
      </w:tr>
      <w:tr>
        <w:trPr>
          <w:trHeight w:val="20"/>
        </w:trPr>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220" w:type="dxa"/>
            <w:vAlign w:val="bottom"/>
            <w:gridSpan w:val="10"/>
          </w:tcPr>
          <w:p>
            <w:pPr>
              <w:spacing w:after="0"/>
              <w:rPr>
                <w:sz w:val="20"/>
                <w:szCs w:val="20"/>
                <w:color w:val="auto"/>
              </w:rPr>
            </w:pPr>
            <w:r>
              <w:rPr>
                <w:rFonts w:ascii="Arial" w:cs="Arial" w:eastAsia="Arial" w:hAnsi="Arial"/>
                <w:sz w:val="18"/>
                <w:szCs w:val="18"/>
                <w:color w:val="0000FF"/>
              </w:rPr>
              <w:t>RISK FACTORS</w:t>
            </w:r>
          </w:p>
        </w:tc>
        <w:tc>
          <w:tcPr>
            <w:tcW w:w="8140" w:type="dxa"/>
            <w:vAlign w:val="bottom"/>
            <w:gridSpan w:val="10"/>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0000FF"/>
              </w:rPr>
              <w:t>30</w:t>
            </w:r>
          </w:p>
        </w:tc>
      </w:tr>
      <w:tr>
        <w:trPr>
          <w:trHeight w:val="20"/>
        </w:trPr>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56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SPECIAL NOTE REGARDING FORWARD-LOOKING STATEMENTS</w:t>
            </w:r>
          </w:p>
        </w:tc>
        <w:tc>
          <w:tcPr>
            <w:tcW w:w="4800" w:type="dxa"/>
            <w:vAlign w:val="bottom"/>
            <w:gridSpan w:val="4"/>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125</w:t>
            </w:r>
          </w:p>
        </w:tc>
        <w:tc>
          <w:tcPr>
            <w:tcW w:w="20" w:type="dxa"/>
            <w:vAlign w:val="bottom"/>
          </w:tcPr>
          <w:p>
            <w:pPr>
              <w:spacing w:after="0"/>
              <w:rPr>
                <w:sz w:val="18"/>
                <w:szCs w:val="18"/>
                <w:color w:val="auto"/>
              </w:rPr>
            </w:pPr>
          </w:p>
        </w:tc>
      </w:tr>
      <w:tr>
        <w:trPr>
          <w:trHeight w:val="209"/>
        </w:trPr>
        <w:tc>
          <w:tcPr>
            <w:tcW w:w="34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7"/>
              </w:rPr>
              <w:t>MARKET, INDUSTRY, AND OTHER DATA</w:t>
            </w:r>
          </w:p>
        </w:tc>
        <w:tc>
          <w:tcPr>
            <w:tcW w:w="6960" w:type="dxa"/>
            <w:vAlign w:val="bottom"/>
            <w:gridSpan w:val="6"/>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127</w:t>
            </w:r>
          </w:p>
        </w:tc>
        <w:tc>
          <w:tcPr>
            <w:tcW w:w="20" w:type="dxa"/>
            <w:vAlign w:val="bottom"/>
          </w:tcPr>
          <w:p>
            <w:pPr>
              <w:spacing w:after="0"/>
              <w:rPr>
                <w:sz w:val="18"/>
                <w:szCs w:val="18"/>
                <w:color w:val="auto"/>
              </w:rPr>
            </w:pPr>
          </w:p>
        </w:tc>
      </w:tr>
      <w:tr>
        <w:trPr>
          <w:trHeight w:val="210"/>
        </w:trPr>
        <w:tc>
          <w:tcPr>
            <w:tcW w:w="17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USE OF PROCEEDS</w:t>
            </w:r>
          </w:p>
        </w:tc>
        <w:tc>
          <w:tcPr>
            <w:tcW w:w="8620" w:type="dxa"/>
            <w:vAlign w:val="bottom"/>
            <w:gridSpan w:val="11"/>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128</w:t>
            </w:r>
          </w:p>
        </w:tc>
        <w:tc>
          <w:tcPr>
            <w:tcW w:w="20" w:type="dxa"/>
            <w:vAlign w:val="bottom"/>
          </w:tcPr>
          <w:p>
            <w:pPr>
              <w:spacing w:after="0"/>
              <w:rPr>
                <w:sz w:val="18"/>
                <w:szCs w:val="18"/>
                <w:color w:val="auto"/>
              </w:rPr>
            </w:pPr>
          </w:p>
        </w:tc>
      </w:tr>
      <w:tr>
        <w:trPr>
          <w:trHeight w:val="210"/>
        </w:trPr>
        <w:tc>
          <w:tcPr>
            <w:tcW w:w="15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DIVIDEND POLICY</w:t>
            </w:r>
          </w:p>
        </w:tc>
        <w:tc>
          <w:tcPr>
            <w:tcW w:w="8780" w:type="dxa"/>
            <w:vAlign w:val="bottom"/>
            <w:gridSpan w:val="12"/>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129</w:t>
            </w:r>
          </w:p>
        </w:tc>
        <w:tc>
          <w:tcPr>
            <w:tcW w:w="20" w:type="dxa"/>
            <w:vAlign w:val="bottom"/>
          </w:tcPr>
          <w:p>
            <w:pPr>
              <w:spacing w:after="0"/>
              <w:rPr>
                <w:sz w:val="18"/>
                <w:szCs w:val="18"/>
                <w:color w:val="auto"/>
              </w:rPr>
            </w:pPr>
          </w:p>
        </w:tc>
      </w:tr>
      <w:tr>
        <w:trPr>
          <w:trHeight w:val="209"/>
        </w:trPr>
        <w:tc>
          <w:tcPr>
            <w:tcW w:w="14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7"/>
              </w:rPr>
              <w:t>CAPITALIZATION</w:t>
            </w:r>
          </w:p>
        </w:tc>
        <w:tc>
          <w:tcPr>
            <w:tcW w:w="8920" w:type="dxa"/>
            <w:vAlign w:val="bottom"/>
            <w:gridSpan w:val="14"/>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130</w:t>
            </w:r>
          </w:p>
        </w:tc>
        <w:tc>
          <w:tcPr>
            <w:tcW w:w="20" w:type="dxa"/>
            <w:vAlign w:val="bottom"/>
          </w:tcPr>
          <w:p>
            <w:pPr>
              <w:spacing w:after="0"/>
              <w:rPr>
                <w:sz w:val="18"/>
                <w:szCs w:val="18"/>
                <w:color w:val="auto"/>
              </w:rPr>
            </w:pPr>
          </w:p>
        </w:tc>
      </w:tr>
      <w:tr>
        <w:trPr>
          <w:trHeight w:val="209"/>
        </w:trPr>
        <w:tc>
          <w:tcPr>
            <w:tcW w:w="8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DILUTION</w:t>
            </w:r>
          </w:p>
        </w:tc>
        <w:tc>
          <w:tcPr>
            <w:tcW w:w="9500" w:type="dxa"/>
            <w:vAlign w:val="bottom"/>
            <w:gridSpan w:val="18"/>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132</w:t>
            </w:r>
          </w:p>
        </w:tc>
        <w:tc>
          <w:tcPr>
            <w:tcW w:w="20" w:type="dxa"/>
            <w:vAlign w:val="bottom"/>
          </w:tcPr>
          <w:p>
            <w:pPr>
              <w:spacing w:after="0"/>
              <w:rPr>
                <w:sz w:val="18"/>
                <w:szCs w:val="18"/>
                <w:color w:val="auto"/>
              </w:rPr>
            </w:pPr>
          </w:p>
        </w:tc>
      </w:tr>
      <w:tr>
        <w:trPr>
          <w:trHeight w:val="210"/>
        </w:trPr>
        <w:tc>
          <w:tcPr>
            <w:tcW w:w="914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135</w:t>
            </w:r>
          </w:p>
        </w:tc>
        <w:tc>
          <w:tcPr>
            <w:tcW w:w="20" w:type="dxa"/>
            <w:vAlign w:val="bottom"/>
          </w:tcPr>
          <w:p>
            <w:pPr>
              <w:spacing w:after="0"/>
              <w:rPr>
                <w:sz w:val="18"/>
                <w:szCs w:val="18"/>
                <w:color w:val="auto"/>
              </w:rPr>
            </w:pPr>
          </w:p>
        </w:tc>
      </w:tr>
      <w:tr>
        <w:trPr>
          <w:trHeight w:val="209"/>
        </w:trPr>
        <w:tc>
          <w:tcPr>
            <w:tcW w:w="9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BUSINESS</w:t>
            </w:r>
          </w:p>
        </w:tc>
        <w:tc>
          <w:tcPr>
            <w:tcW w:w="9440" w:type="dxa"/>
            <w:vAlign w:val="bottom"/>
            <w:gridSpan w:val="17"/>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173</w:t>
            </w:r>
          </w:p>
        </w:tc>
        <w:tc>
          <w:tcPr>
            <w:tcW w:w="20" w:type="dxa"/>
            <w:vAlign w:val="bottom"/>
          </w:tcPr>
          <w:p>
            <w:pPr>
              <w:spacing w:after="0"/>
              <w:rPr>
                <w:sz w:val="18"/>
                <w:szCs w:val="18"/>
                <w:color w:val="auto"/>
              </w:rPr>
            </w:pPr>
          </w:p>
        </w:tc>
      </w:tr>
      <w:tr>
        <w:trPr>
          <w:trHeight w:val="210"/>
        </w:trPr>
        <w:tc>
          <w:tcPr>
            <w:tcW w:w="13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MANAGEMENT</w:t>
            </w:r>
          </w:p>
        </w:tc>
        <w:tc>
          <w:tcPr>
            <w:tcW w:w="9040" w:type="dxa"/>
            <w:vAlign w:val="bottom"/>
            <w:gridSpan w:val="16"/>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197</w:t>
            </w:r>
          </w:p>
        </w:tc>
        <w:tc>
          <w:tcPr>
            <w:tcW w:w="20" w:type="dxa"/>
            <w:vAlign w:val="bottom"/>
          </w:tcPr>
          <w:p>
            <w:pPr>
              <w:spacing w:after="0"/>
              <w:rPr>
                <w:sz w:val="18"/>
                <w:szCs w:val="18"/>
                <w:color w:val="auto"/>
              </w:rPr>
            </w:pPr>
          </w:p>
        </w:tc>
      </w:tr>
      <w:tr>
        <w:trPr>
          <w:trHeight w:val="209"/>
        </w:trPr>
        <w:tc>
          <w:tcPr>
            <w:tcW w:w="10360" w:type="dxa"/>
            <w:vAlign w:val="bottom"/>
            <w:gridSpan w:val="20"/>
          </w:tcPr>
          <w:p>
            <w:pPr>
              <w:spacing w:after="0"/>
              <w:rPr>
                <w:sz w:val="20"/>
                <w:szCs w:val="20"/>
                <w:color w:val="auto"/>
              </w:rPr>
            </w:pPr>
            <w:r>
              <w:rPr>
                <w:rFonts w:ascii="Arial" w:cs="Arial" w:eastAsia="Arial" w:hAnsi="Arial"/>
                <w:sz w:val="18"/>
                <w:szCs w:val="18"/>
                <w:color w:val="0000FF"/>
              </w:rPr>
              <w:t>EXECUTIVE COMPENSATION</w:t>
            </w: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205</w:t>
            </w:r>
          </w:p>
        </w:tc>
        <w:tc>
          <w:tcPr>
            <w:tcW w:w="2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40" w:type="dxa"/>
            <w:vAlign w:val="bottom"/>
            <w:tcBorders>
              <w:right w:val="single" w:sz="8" w:color="0000FF"/>
            </w:tcBorders>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360" w:type="dxa"/>
            <w:vAlign w:val="bottom"/>
            <w:gridSpan w:val="20"/>
          </w:tcPr>
          <w:p>
            <w:pPr>
              <w:spacing w:after="0"/>
              <w:rPr>
                <w:sz w:val="20"/>
                <w:szCs w:val="20"/>
                <w:color w:val="auto"/>
              </w:rPr>
            </w:pPr>
            <w:r>
              <w:rPr>
                <w:rFonts w:ascii="Arial" w:cs="Arial" w:eastAsia="Arial" w:hAnsi="Arial"/>
                <w:sz w:val="18"/>
                <w:szCs w:val="18"/>
                <w:color w:val="0000FF"/>
              </w:rPr>
              <w:t>CERTAIN RELATIONSHIPS AND RELATED PARTY TRANSACTIONS</w:t>
            </w: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218</w:t>
            </w:r>
          </w:p>
        </w:tc>
        <w:tc>
          <w:tcPr>
            <w:tcW w:w="20" w:type="dxa"/>
            <w:vAlign w:val="bottom"/>
          </w:tcPr>
          <w:p>
            <w:pPr>
              <w:spacing w:after="0"/>
              <w:rPr>
                <w:sz w:val="18"/>
                <w:szCs w:val="18"/>
                <w:color w:val="auto"/>
              </w:rPr>
            </w:pPr>
          </w:p>
        </w:tc>
      </w:tr>
      <w:tr>
        <w:trPr>
          <w:trHeight w:val="210"/>
        </w:trPr>
        <w:tc>
          <w:tcPr>
            <w:tcW w:w="252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99"/>
              </w:rPr>
              <w:t>PRINCIPAL STOCKHOLDERS</w:t>
            </w:r>
          </w:p>
        </w:tc>
        <w:tc>
          <w:tcPr>
            <w:tcW w:w="3120" w:type="dxa"/>
            <w:vAlign w:val="bottom"/>
            <w:tcBorders>
              <w:top w:val="single" w:sz="8" w:color="0000FF"/>
            </w:tcBorders>
            <w:gridSpan w:val="6"/>
          </w:tcPr>
          <w:p>
            <w:pPr>
              <w:spacing w:after="0"/>
              <w:rPr>
                <w:sz w:val="18"/>
                <w:szCs w:val="18"/>
                <w:color w:val="auto"/>
              </w:rPr>
            </w:pPr>
          </w:p>
        </w:tc>
        <w:tc>
          <w:tcPr>
            <w:tcW w:w="4720" w:type="dxa"/>
            <w:vAlign w:val="bottom"/>
            <w:gridSpan w:val="3"/>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224</w:t>
            </w:r>
          </w:p>
        </w:tc>
        <w:tc>
          <w:tcPr>
            <w:tcW w:w="20" w:type="dxa"/>
            <w:vAlign w:val="bottom"/>
          </w:tcPr>
          <w:p>
            <w:pPr>
              <w:spacing w:after="0"/>
              <w:rPr>
                <w:sz w:val="18"/>
                <w:szCs w:val="18"/>
                <w:color w:val="auto"/>
              </w:rPr>
            </w:pPr>
          </w:p>
        </w:tc>
      </w:tr>
      <w:tr>
        <w:trPr>
          <w:trHeight w:val="209"/>
        </w:trPr>
        <w:tc>
          <w:tcPr>
            <w:tcW w:w="10360" w:type="dxa"/>
            <w:vAlign w:val="bottom"/>
            <w:gridSpan w:val="20"/>
          </w:tcPr>
          <w:p>
            <w:pPr>
              <w:spacing w:after="0"/>
              <w:rPr>
                <w:sz w:val="20"/>
                <w:szCs w:val="20"/>
                <w:color w:val="auto"/>
              </w:rPr>
            </w:pPr>
            <w:r>
              <w:rPr>
                <w:rFonts w:ascii="Arial" w:cs="Arial" w:eastAsia="Arial" w:hAnsi="Arial"/>
                <w:sz w:val="18"/>
                <w:szCs w:val="18"/>
                <w:color w:val="0000FF"/>
              </w:rPr>
              <w:t>DESCRIPTION OF CAPITAL STOCK</w:t>
            </w: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226</w:t>
            </w:r>
          </w:p>
        </w:tc>
        <w:tc>
          <w:tcPr>
            <w:tcW w:w="2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3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SHARES ELIGIBLE FOR FUTURE SALE</w:t>
            </w:r>
          </w:p>
        </w:tc>
        <w:tc>
          <w:tcPr>
            <w:tcW w:w="7040" w:type="dxa"/>
            <w:vAlign w:val="bottom"/>
            <w:gridSpan w:val="7"/>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232</w:t>
            </w:r>
          </w:p>
        </w:tc>
        <w:tc>
          <w:tcPr>
            <w:tcW w:w="20" w:type="dxa"/>
            <w:vAlign w:val="bottom"/>
          </w:tcPr>
          <w:p>
            <w:pPr>
              <w:spacing w:after="0"/>
              <w:rPr>
                <w:sz w:val="18"/>
                <w:szCs w:val="18"/>
                <w:color w:val="auto"/>
              </w:rPr>
            </w:pPr>
          </w:p>
        </w:tc>
      </w:tr>
      <w:tr>
        <w:trPr>
          <w:trHeight w:val="210"/>
        </w:trPr>
        <w:tc>
          <w:tcPr>
            <w:tcW w:w="698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MATERIAL U.S. FEDERAL INCOME TAX CONSEQUENCES TO NON U.S. HOLDERS</w:t>
            </w:r>
          </w:p>
        </w:tc>
        <w:tc>
          <w:tcPr>
            <w:tcW w:w="338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234</w:t>
            </w:r>
          </w:p>
        </w:tc>
        <w:tc>
          <w:tcPr>
            <w:tcW w:w="20" w:type="dxa"/>
            <w:vAlign w:val="bottom"/>
          </w:tcPr>
          <w:p>
            <w:pPr>
              <w:spacing w:after="0"/>
              <w:rPr>
                <w:sz w:val="18"/>
                <w:szCs w:val="18"/>
                <w:color w:val="auto"/>
              </w:rPr>
            </w:pPr>
          </w:p>
        </w:tc>
      </w:tr>
      <w:tr>
        <w:trPr>
          <w:trHeight w:val="209"/>
        </w:trPr>
        <w:tc>
          <w:tcPr>
            <w:tcW w:w="10360" w:type="dxa"/>
            <w:vAlign w:val="bottom"/>
            <w:gridSpan w:val="20"/>
          </w:tcPr>
          <w:p>
            <w:pPr>
              <w:spacing w:after="0"/>
              <w:rPr>
                <w:sz w:val="20"/>
                <w:szCs w:val="20"/>
                <w:color w:val="auto"/>
              </w:rPr>
            </w:pPr>
            <w:r>
              <w:rPr>
                <w:rFonts w:ascii="Arial" w:cs="Arial" w:eastAsia="Arial" w:hAnsi="Arial"/>
                <w:sz w:val="18"/>
                <w:szCs w:val="18"/>
                <w:color w:val="0000FF"/>
              </w:rPr>
              <w:t>UNDERWRITING</w:t>
            </w: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238</w:t>
            </w:r>
          </w:p>
        </w:tc>
        <w:tc>
          <w:tcPr>
            <w:tcW w:w="2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960" w:type="dxa"/>
            <w:vAlign w:val="bottom"/>
            <w:gridSpan w:val="8"/>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360" w:type="dxa"/>
            <w:vAlign w:val="bottom"/>
            <w:gridSpan w:val="20"/>
          </w:tcPr>
          <w:p>
            <w:pPr>
              <w:spacing w:after="0"/>
              <w:rPr>
                <w:sz w:val="20"/>
                <w:szCs w:val="20"/>
                <w:color w:val="auto"/>
              </w:rPr>
            </w:pPr>
            <w:r>
              <w:rPr>
                <w:rFonts w:ascii="Arial" w:cs="Arial" w:eastAsia="Arial" w:hAnsi="Arial"/>
                <w:sz w:val="18"/>
                <w:szCs w:val="18"/>
                <w:color w:val="0000FF"/>
              </w:rPr>
              <w:t>LEGAL MATTERS</w:t>
            </w: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247</w:t>
            </w:r>
          </w:p>
        </w:tc>
        <w:tc>
          <w:tcPr>
            <w:tcW w:w="20" w:type="dxa"/>
            <w:vAlign w:val="bottom"/>
          </w:tcPr>
          <w:p>
            <w:pPr>
              <w:spacing w:after="0"/>
              <w:rPr>
                <w:sz w:val="18"/>
                <w:szCs w:val="18"/>
                <w:color w:val="auto"/>
              </w:rPr>
            </w:pPr>
          </w:p>
        </w:tc>
      </w:tr>
      <w:tr>
        <w:trPr>
          <w:trHeight w:val="210"/>
        </w:trPr>
        <w:tc>
          <w:tcPr>
            <w:tcW w:w="148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EXPERTS</w:t>
            </w:r>
          </w:p>
        </w:tc>
        <w:tc>
          <w:tcPr>
            <w:tcW w:w="8880" w:type="dxa"/>
            <w:vAlign w:val="bottom"/>
            <w:gridSpan w:val="13"/>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247</w:t>
            </w:r>
          </w:p>
        </w:tc>
        <w:tc>
          <w:tcPr>
            <w:tcW w:w="2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3600" w:type="dxa"/>
            <w:vAlign w:val="bottom"/>
            <w:gridSpan w:val="1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360" w:type="dxa"/>
            <w:vAlign w:val="bottom"/>
            <w:gridSpan w:val="20"/>
          </w:tcPr>
          <w:p>
            <w:pPr>
              <w:spacing w:after="0"/>
              <w:rPr>
                <w:sz w:val="20"/>
                <w:szCs w:val="20"/>
                <w:color w:val="auto"/>
              </w:rPr>
            </w:pPr>
            <w:r>
              <w:rPr>
                <w:rFonts w:ascii="Arial" w:cs="Arial" w:eastAsia="Arial" w:hAnsi="Arial"/>
                <w:sz w:val="18"/>
                <w:szCs w:val="18"/>
                <w:color w:val="0000FF"/>
              </w:rPr>
              <w:t>WHERE YOU CAN FIND ADDITIONAL INFORMATION</w:t>
            </w: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247</w:t>
            </w:r>
          </w:p>
        </w:tc>
        <w:tc>
          <w:tcPr>
            <w:tcW w:w="20" w:type="dxa"/>
            <w:vAlign w:val="bottom"/>
          </w:tcPr>
          <w:p>
            <w:pPr>
              <w:spacing w:after="0"/>
              <w:rPr>
                <w:sz w:val="18"/>
                <w:szCs w:val="18"/>
                <w:color w:val="auto"/>
              </w:rPr>
            </w:pPr>
          </w:p>
        </w:tc>
      </w:tr>
      <w:tr>
        <w:trPr>
          <w:trHeight w:val="20"/>
        </w:trPr>
        <w:tc>
          <w:tcPr>
            <w:tcW w:w="4440" w:type="dxa"/>
            <w:vAlign w:val="bottom"/>
            <w:gridSpan w:val="15"/>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560" w:type="dxa"/>
            <w:vAlign w:val="bottom"/>
            <w:gridSpan w:val="16"/>
          </w:tcPr>
          <w:p>
            <w:pPr>
              <w:spacing w:after="0"/>
              <w:rPr>
                <w:sz w:val="20"/>
                <w:szCs w:val="20"/>
                <w:color w:val="auto"/>
              </w:rPr>
            </w:pPr>
            <w:r>
              <w:rPr>
                <w:rFonts w:ascii="Arial" w:cs="Arial" w:eastAsia="Arial" w:hAnsi="Arial"/>
                <w:sz w:val="18"/>
                <w:szCs w:val="18"/>
                <w:color w:val="0000FF"/>
                <w:w w:val="98"/>
              </w:rPr>
              <w:t>INDEX TO COMBINED CONSOLIDATED FINANCIAL STATEMENTS</w:t>
            </w:r>
          </w:p>
        </w:tc>
        <w:tc>
          <w:tcPr>
            <w:tcW w:w="4800" w:type="dxa"/>
            <w:vAlign w:val="bottom"/>
            <w:gridSpan w:val="4"/>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7"/>
                <w:szCs w:val="17"/>
                <w:color w:val="0000FF"/>
                <w:w w:val="70"/>
              </w:rPr>
              <w:t>F-1</w:t>
            </w:r>
          </w:p>
        </w:tc>
      </w:tr>
      <w:tr>
        <w:trPr>
          <w:trHeight w:val="20"/>
        </w:trPr>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40" w:top="1440" w:right="339" w:bottom="1440" w:gutter="0" w:footer="0" w:header="0"/>
        </w:sectPr>
      </w:pPr>
    </w:p>
    <w:bookmarkStart w:id="3" w:name="page4"/>
    <w:bookmarkEnd w:id="3"/>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1"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FT Intermediate, Inc. (“FTI”), the registrant whose name appears on the cover of this registration statement, is a corporation incorporated under the laws of the State of Nevada.</w:t>
      </w:r>
    </w:p>
    <w:p>
      <w:pPr>
        <w:spacing w:after="0" w:line="9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March 2024, we separated our business through a series of transactions in which Figure Lending Corp. (“FLC”) and Figure Markets Holdings, Inc. (“FMH”) were separated and began operating as separate businesses (the “Separation”). In connection with and to effectuate the Separation, FT (as defined below) created each of FMH and FTI as direct wholly-owned subsidiaries of FT. Following the formation of these entities, we completed the Separation through a series of steps, which resulted in, (i) FLC being the sole owner of certain lending-related intellectual property and commercial contracts that were previously owned by FT, (ii) FTI becoming a holding company whose principal assets were the shares it held in FLC, (iii) FMH becoming a separate company, and (iv) FT being a wholly-owned subsidiary of FMH. On March 19, 2024, Figure Technologies, Inc. converted into Figure Technologies, LLC. As used in this prospectus, unless the context otherwise indicates, any reference to “FT” refers to Figure Technologies, LLC (f/k/a Figure Technologies, Inc.).</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of each of FLC and FMH made a determination that it is in the best interests of both entities to recombine the</w:t>
      </w:r>
    </w:p>
    <w:p>
      <w:pPr>
        <w:spacing w:after="0" w:line="2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businesses. On , 2025, we recombined the businesses through a series of transactions (the “Recombination”), and FMH became a wholly-owned subsidiary of FTI. For additional information, see the section titled “Prospectus Summary—Organizational History.”</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the Recombination, (i) FTI is a holding company with its principal assets consisting of shares in FLC and FMH, (ii) FTI is the sole shareholder of FLC and FMH, (iii) FMH is a wholly-owned subsidiary of FTI, and (iv) FTI operates and controls all of the business and affairs of FLC, FMH, and their respective direct and indirect subsidiaries. Except as otherwise disclosed in the prospectus included in this registration statement, the historical consolidated financial statements, the summary historical consolidated financial data, and the other financial information included in this registration statement are those of FTI and its consolidated subsidiaries after giving effect to the Recombination.</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used in this prospectus, unless the context otherwise indicates, any reference to “Figure,” “our Company,” “us,” “we,” and “our” refers to FTI, which as a result of the Recombination includes FMH, a Nevada corporation and a wholly-owned subsidiary of FTI, together with its consolidated subsidiaries.</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Neither we nor any of the underwriters have authorized anyone to provide you with information that is different from the information contained in this prospectus and any free writing prospectus prepared by or on behalf of us or to which we have referred you. Neither we nor the underwriters take any responsibility for, and cannot provide any assurance as to the reliability of, any other information that others may give you. The information contained in this prospectus or in any applicable free writing prospectus is accurate only as of the date of this prospectus or such free writing prospectus, as applicable, regardless of the time of delivery of this prospectus or any such free writing prospectus or of any sale of the securities offered hereby. Our business, results of operations, financial condition, and prospects may have changed since that date.</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prospectus is an offer to sell only the securities offered hereby and only under circumstances and in jurisdictions where it is lawful to do so. Neither we nor any of the underwriters have taken any action that would permit this offering or possession or distribution of this prospectus in any jurisdiction where action for that purpose is required, other than in the United States. Persons who have come into possession of this prospectus in a jurisdiction outside the United States are required to inform themselves about and to observe any restrictions relating to this offering and the distribution of this prospectus.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Basis of Presentation</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Except as otherwise disclosed in this prospectus, the historical consolidated financial statements, the summary historical consolidated financial data, and the other financial information included elsewhere in this prospectus have been prepared in U.S. dollars in accordance with accounting principles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1440" w:right="339" w:bottom="1440" w:gutter="0" w:footer="0" w:header="0"/>
        </w:sectPr>
      </w:pPr>
    </w:p>
    <w:bookmarkStart w:id="4" w:name="page5"/>
    <w:bookmarkEnd w:id="4"/>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accepted in the United States (“GAAP”) and for the three months ended March 31, 2025 and the year ended December 31, 2024 reflect the combined consolidated statements of FTI and FMH, whereas the comparative information for the three months ended March 31, 2024 and the year ended December 31, 2023 reflects the consolidated financial statements of the previous parent company, FT, prior to the Separation. This historical financial information does not give effect to this offering.</w:t>
      </w:r>
    </w:p>
    <w:p>
      <w:pPr>
        <w:spacing w:after="0" w:line="12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Recombination by which FMH became a wholly-owned subsidiary of FTI was accounted for as a reorganization of entities under the common control of Michael Cagney. As a result, the consolidated financial statements of FTI recognize the assets and liabilities received in connection with the Recombination at their historical carrying amounts. As required under GAAP, the financial statements of FTI reflect the retrospective consolidation of FMH to give effect to the Recombination.</w:t>
      </w:r>
    </w:p>
    <w:p>
      <w:pPr>
        <w:spacing w:after="0" w:line="122"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Glossary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abbreviations and definitions of certain consumer credit, digital asset, and other terms used in this prospectus.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DART</w:t>
      </w:r>
      <w:r>
        <w:rPr>
          <w:rFonts w:ascii="Arial" w:cs="Arial" w:eastAsia="Arial" w:hAnsi="Arial"/>
          <w:sz w:val="18"/>
          <w:szCs w:val="18"/>
          <w:color w:val="auto"/>
        </w:rPr>
        <w:t>—Digital Asset Registration Technologies, our lien and eNote registry platform that utilizes the Provenance Blockchain.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DeFi</w:t>
      </w:r>
      <w:r>
        <w:rPr>
          <w:rFonts w:ascii="Arial" w:cs="Arial" w:eastAsia="Arial" w:hAnsi="Arial"/>
          <w:sz w:val="18"/>
          <w:szCs w:val="18"/>
          <w:color w:val="auto"/>
        </w:rPr>
        <w:t>—Decentralized Finance.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DSCR loans</w:t>
      </w:r>
      <w:r>
        <w:rPr>
          <w:rFonts w:ascii="Arial" w:cs="Arial" w:eastAsia="Arial" w:hAnsi="Arial"/>
          <w:sz w:val="18"/>
          <w:szCs w:val="18"/>
          <w:color w:val="auto"/>
        </w:rPr>
        <w:t>—Our debt service coverage ratio loan product.</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color w:val="auto"/>
        </w:rPr>
        <w:t>Digitally native assets</w:t>
      </w:r>
      <w:r>
        <w:rPr>
          <w:rFonts w:ascii="Arial" w:cs="Arial" w:eastAsia="Arial" w:hAnsi="Arial"/>
          <w:sz w:val="18"/>
          <w:szCs w:val="18"/>
          <w:color w:val="auto"/>
        </w:rPr>
        <w:t>—Assets that are created, issued, recorded, and kept in a digital system, typically a distributed ledger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such as a blockchain. They are created and exist purely within the digital realm.</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Figure-branded</w:t>
      </w:r>
      <w:r>
        <w:rPr>
          <w:rFonts w:ascii="Arial" w:cs="Arial" w:eastAsia="Arial" w:hAnsi="Arial"/>
          <w:sz w:val="18"/>
          <w:szCs w:val="18"/>
          <w:color w:val="auto"/>
        </w:rPr>
        <w:t>—When loans are originated using our LOS under the Figure brand.</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Homogeneous loan origination</w:t>
      </w:r>
      <w:r>
        <w:rPr>
          <w:rFonts w:ascii="Arial" w:cs="Arial" w:eastAsia="Arial" w:hAnsi="Arial"/>
          <w:sz w:val="18"/>
          <w:szCs w:val="18"/>
          <w:color w:val="auto"/>
        </w:rPr>
        <w:t>—Loan origination protocols and processes that are based on the same pre-defined standards and</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underwriting criteria, which generate loans with similar characteristics and are comparable for purposes of evaluation, documentation and transfer of ownership.</w:t>
      </w:r>
    </w:p>
    <w:p>
      <w:pPr>
        <w:spacing w:after="0" w:line="11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color w:val="auto"/>
        </w:rPr>
        <w:t>Layer 1 blockchain</w:t>
      </w:r>
      <w:r>
        <w:rPr>
          <w:rFonts w:ascii="Arial" w:cs="Arial" w:eastAsia="Arial" w:hAnsi="Arial"/>
          <w:sz w:val="18"/>
          <w:szCs w:val="18"/>
          <w:color w:val="auto"/>
        </w:rPr>
        <w:t>—The foundational base layer of a blockchain network. It provides the core infrastructure for transactions, data</w:t>
      </w:r>
      <w:r>
        <w:rPr>
          <w:rFonts w:ascii="Arial" w:cs="Arial" w:eastAsia="Arial" w:hAnsi="Arial"/>
          <w:sz w:val="18"/>
          <w:szCs w:val="18"/>
          <w:b w:val="1"/>
          <w:bCs w:val="1"/>
          <w:color w:val="auto"/>
        </w:rPr>
        <w:t xml:space="preserve"> </w:t>
      </w:r>
      <w:r>
        <w:rPr>
          <w:rFonts w:ascii="Arial" w:cs="Arial" w:eastAsia="Arial" w:hAnsi="Arial"/>
          <w:sz w:val="18"/>
          <w:szCs w:val="18"/>
          <w:color w:val="auto"/>
        </w:rPr>
        <w:t>validation, and consensus, and forms the fundamental framework upon which all other layers and applications are built.</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Loss rates</w:t>
      </w:r>
      <w:r>
        <w:rPr>
          <w:rFonts w:ascii="Arial" w:cs="Arial" w:eastAsia="Arial" w:hAnsi="Arial"/>
          <w:sz w:val="18"/>
          <w:szCs w:val="18"/>
          <w:color w:val="auto"/>
        </w:rPr>
        <w:t>—Total amount of the unpaid balance of (i) loans originated by us that have been charged-off, foreclosed, and dismissed in</w:t>
      </w:r>
      <w:r>
        <w:rPr>
          <w:rFonts w:ascii="Arial" w:cs="Arial" w:eastAsia="Arial" w:hAnsi="Arial"/>
          <w:sz w:val="18"/>
          <w:szCs w:val="18"/>
          <w:b w:val="1"/>
          <w:bCs w:val="1"/>
          <w:color w:val="auto"/>
        </w:rPr>
        <w:t xml:space="preserve"> </w:t>
      </w:r>
      <w:r>
        <w:rPr>
          <w:rFonts w:ascii="Arial" w:cs="Arial" w:eastAsia="Arial" w:hAnsi="Arial"/>
          <w:sz w:val="18"/>
          <w:szCs w:val="18"/>
          <w:color w:val="auto"/>
        </w:rPr>
        <w:t>bankruptcy, and (ii) non-performing loans that have been sold divided by the total amount of unpaid principal balance of loans originated by us.</w:t>
      </w:r>
    </w:p>
    <w:p>
      <w:pPr>
        <w:spacing w:after="0" w:line="11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color w:val="auto"/>
        </w:rPr>
        <w:t>Partner</w:t>
      </w:r>
      <w:r>
        <w:rPr>
          <w:rFonts w:ascii="Arial" w:cs="Arial" w:eastAsia="Arial" w:hAnsi="Arial"/>
          <w:sz w:val="18"/>
          <w:szCs w:val="18"/>
          <w:color w:val="auto"/>
        </w:rPr>
        <w:t>—An organization in our Partner-branded strategy. Our partners are typically mortgage originators, servicers, banks, wholesale</w:t>
      </w:r>
      <w:r>
        <w:rPr>
          <w:rFonts w:ascii="Arial" w:cs="Arial" w:eastAsia="Arial" w:hAnsi="Arial"/>
          <w:sz w:val="18"/>
          <w:szCs w:val="18"/>
          <w:b w:val="1"/>
          <w:bCs w:val="1"/>
          <w:color w:val="auto"/>
        </w:rPr>
        <w:t xml:space="preserve"> </w:t>
      </w:r>
      <w:r>
        <w:rPr>
          <w:rFonts w:ascii="Arial" w:cs="Arial" w:eastAsia="Arial" w:hAnsi="Arial"/>
          <w:sz w:val="18"/>
          <w:szCs w:val="18"/>
          <w:color w:val="auto"/>
        </w:rPr>
        <w:t>brokers, and credit unions.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Partner-branded</w:t>
      </w:r>
      <w:r>
        <w:rPr>
          <w:rFonts w:ascii="Arial" w:cs="Arial" w:eastAsia="Arial" w:hAnsi="Arial"/>
          <w:sz w:val="18"/>
          <w:szCs w:val="18"/>
          <w:color w:val="auto"/>
        </w:rPr>
        <w:t>—When loans are originated using our LOS under our partners’ brands.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Real-world assets</w:t>
      </w:r>
      <w:r>
        <w:rPr>
          <w:rFonts w:ascii="Arial" w:cs="Arial" w:eastAsia="Arial" w:hAnsi="Arial"/>
          <w:sz w:val="18"/>
          <w:szCs w:val="18"/>
          <w:color w:val="auto"/>
        </w:rPr>
        <w:t>—Tangible assets with clear economic value, such as loans, stocks, bonds and real estate.</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Standardized assets</w:t>
      </w:r>
      <w:r>
        <w:rPr>
          <w:rFonts w:ascii="Arial" w:cs="Arial" w:eastAsia="Arial" w:hAnsi="Arial"/>
          <w:sz w:val="18"/>
          <w:szCs w:val="18"/>
          <w:color w:val="auto"/>
        </w:rPr>
        <w:t>—Assets that have uniformity in characteristics, documentation, underwriting standards and processes. This</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standardization allows buyers and sellers of loans to streamline processes, improve efficiency and enhance transparency in the transacting of these assets.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Tokenized real-world assets</w:t>
      </w:r>
      <w:r>
        <w:rPr>
          <w:rFonts w:ascii="Arial" w:cs="Arial" w:eastAsia="Arial" w:hAnsi="Arial"/>
          <w:sz w:val="18"/>
          <w:szCs w:val="18"/>
          <w:color w:val="auto"/>
        </w:rPr>
        <w:t>—Physical or tangible assets that are represented on a blockchain through a digital token or marker. This</w:t>
      </w:r>
      <w:r>
        <w:rPr>
          <w:rFonts w:ascii="Arial" w:cs="Arial" w:eastAsia="Arial" w:hAnsi="Arial"/>
          <w:sz w:val="18"/>
          <w:szCs w:val="18"/>
          <w:b w:val="1"/>
          <w:bCs w:val="1"/>
          <w:color w:val="auto"/>
        </w:rPr>
        <w:t xml:space="preserve"> </w:t>
      </w:r>
      <w:r>
        <w:rPr>
          <w:rFonts w:ascii="Arial" w:cs="Arial" w:eastAsia="Arial" w:hAnsi="Arial"/>
          <w:sz w:val="18"/>
          <w:szCs w:val="18"/>
          <w:color w:val="auto"/>
        </w:rPr>
        <w:t>token conveys ownership rights of the underlying asset to the holder and enables transfers of ownership to occur exclusively on the blockchain. If the owner wishes to remove the asset from the blockchain, they may do so by presenting the digital proof of ownership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320" w:top="1440" w:right="339" w:bottom="1440" w:gutter="0" w:footer="0" w:header="0"/>
        </w:sectPr>
      </w:pPr>
    </w:p>
    <w:bookmarkStart w:id="5" w:name="page6"/>
    <w:bookmarkEnd w:id="5"/>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reverting to traditional methods of asset transfer. To ensure there is no duplication of ownership records, the corresponding blockchain key is destroyed, eliminating blockchain-based access to the asset. All parties with interests in the underlying real-world asset will typically participate in the transfer of ownership unless their fractional interests remain unaffected by the digital conveyance.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993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This summary highlights selected information that is presented in greater detail elsewhere in this prospectus. This summary does not contain all the information you should consider before investing in our Class A common stock. You should read this entire prospectus carefully, including the sections titled “</w:t>
      </w:r>
      <w:r>
        <w:rPr>
          <w:rFonts w:ascii="Arial" w:cs="Arial" w:eastAsia="Arial" w:hAnsi="Arial"/>
          <w:sz w:val="18"/>
          <w:szCs w:val="18"/>
          <w:i w:val="1"/>
          <w:iCs w:val="1"/>
          <w:u w:val="single" w:color="auto"/>
          <w:color w:val="0000FF"/>
        </w:rPr>
        <w:t>Risk Factors</w:t>
      </w:r>
      <w:r>
        <w:rPr>
          <w:rFonts w:ascii="Arial" w:cs="Arial" w:eastAsia="Arial" w:hAnsi="Arial"/>
          <w:sz w:val="18"/>
          <w:szCs w:val="18"/>
          <w:i w:val="1"/>
          <w:iCs w:val="1"/>
          <w:color w:val="auto"/>
        </w:rPr>
        <w:t>,” “</w:t>
      </w:r>
      <w:r>
        <w:rPr>
          <w:rFonts w:ascii="Arial" w:cs="Arial" w:eastAsia="Arial" w:hAnsi="Arial"/>
          <w:sz w:val="18"/>
          <w:szCs w:val="18"/>
          <w:i w:val="1"/>
          <w:iCs w:val="1"/>
          <w:u w:val="single" w:color="auto"/>
          <w:color w:val="0000FF"/>
        </w:rPr>
        <w:t>Management’s Discussion and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0000FF"/>
        </w:rPr>
        <w:t>Analysis of Financial Condition and Results of Operations</w:t>
      </w:r>
      <w:r>
        <w:rPr>
          <w:rFonts w:ascii="Arial" w:cs="Arial" w:eastAsia="Arial" w:hAnsi="Arial"/>
          <w:sz w:val="18"/>
          <w:szCs w:val="18"/>
          <w:i w:val="1"/>
          <w:iCs w:val="1"/>
          <w:color w:val="000000"/>
        </w:rPr>
        <w:t>,” and our consolidated financial statements and related notes</w:t>
      </w:r>
      <w:r>
        <w:rPr>
          <w:rFonts w:ascii="Arial" w:cs="Arial" w:eastAsia="Arial" w:hAnsi="Arial"/>
          <w:sz w:val="18"/>
          <w:szCs w:val="18"/>
          <w:i w:val="1"/>
          <w:iCs w:val="1"/>
          <w:color w:val="0000FF"/>
        </w:rPr>
        <w:t xml:space="preserve"> </w:t>
      </w:r>
      <w:r>
        <w:rPr>
          <w:rFonts w:ascii="Arial" w:cs="Arial" w:eastAsia="Arial" w:hAnsi="Arial"/>
          <w:sz w:val="18"/>
          <w:szCs w:val="18"/>
          <w:i w:val="1"/>
          <w:iCs w:val="1"/>
          <w:color w:val="000000"/>
        </w:rPr>
        <w:t>included elsewhere in this prospectus, before making an investment decision.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Figure is building the future of capital markets using blockchain-based technology.</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Figure’s proprietary technology powers next-generation lending, trading and investing activities in areas such as consumer credit and digital assets. Our application of the blockchain ledger allows us to better serve our end-customers, improve speed and efficiency, and enhance standardization and liquidity. Using our technology, we continue to develop dynamic, vertically-integrated marketplaces across the approximately $2 trillion consumer credit market and the rapidly growing approximately $3 trillion cryptocurrency and digital asset market. As a result, Figure has grown quickly and profitably, with net loss of $1 million and Adjusted EBITDA of $31 million, for the three months ended March 31, 2025, and accumulated deficit of $322 million and total stockholders’ equity of $369 million, as of March 31, 2025, and net income of $20 million and Adjusted EBITDA of $101 million, for the year ended December 31, 2024, and accumulated deficit of $321 million and total stockholders’ equity of $363 million, as of December 31, 2024.</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infrastructure supporting capital markets today is fragmented and operates on legacy systems which employ antiquated processes for loan approvals and transaction processing. This creates process and cost inefficiencies in serving consumer credit markets and limits the development of alternative marketplaces. Furthermore, the manual elements underpinning the records of ownership and transfer of financial and real assets constrain liquidity, maintain elevated costs, and are error-prone.</w:t>
      </w:r>
    </w:p>
    <w:p>
      <w:pPr>
        <w:spacing w:after="0" w:line="12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Figure aims to address these challenges by using blockchain-based technology to innovate beyond legacy processes. We built a transformative, scaled and fast growing technology platform that displaces trust with truth in the financial ecosystem. Our platform also supports legacy systems, and our goal is to shift customer adoption towards blockchain-based solutions. Furthermore, our technology significantly reduces complexity and increases speed for market participants across the application, underwriting, funding and subsequent capital markets processes. Using our proprietary Loan Origination System (“LOS”), the time it takes to fund a home equity loan from application has been reduced to a median of 11 days from an industry median of approximately 42 days (based on data from industry sources) as of March 31, 2025. In comparison, for asset classes outside of mortgages, such as personal loans, there are many loan originators that utilize digitized, fast and automated processes that can fund as fast as same-day or often in as little as three to five days. Additionally, the average production cost per loan was reduced to approximately $730 for the year ended December 31, 2024 from a mortgage industry average of $11,230 for the quarter ended December 31, 2024, according to the Mortgage Bankers Association (“MBA”). This is a result of our entirely automated application process that takes as little as five minutes to complete and as few as five days to fund. Our platform automates income verification and offers customers the ability to redraw without incurring closing or out-of-pocket costs. Additionally, our platform employs an automatic valuation model, replacing the traditional, time-consuming appraisal process, and utilizes a digital lien matching process instead of the traditional analog title search. It also facilitates remote closings, including remote notaries, in jurisdictions where permitted by applicable laws. Importantly, we have brought a liquid capital market for loans behind this low cost, automated and blockchain-based origination engine.</w:t>
      </w:r>
    </w:p>
    <w:p>
      <w:pPr>
        <w:spacing w:after="0" w:line="138"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Our technology enables the immutable recording of all assets and their key information on Provenance Blockchain. Provenance Blockchain, an independent Layer 1 blockchain, provides the scale,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900"/>
          </w:cols>
          <w:pgMar w:left="1000" w:top="1440" w:right="99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993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security, speed and cost structure to facilitate activity across the broad financial services landscape as a record of truth for assets. Using loans as an example, this authenticity record provides a validation mechanism to support the traditional, off-chain processes we use for tracking and monitoring loan transactions. This record provides verified information regarding the chain of ownership for all of the loans originated on our platform. Adoption of our technology has scaled significantly with every asset passing through Figure’s system being recorded on Provenance Blockchain and accumulating over $50 billion in both real-world and digital asset transactions from our launch in late 2018 to March 31, 2025. According to data from RWA.xyz, our real-world assets total value locked is approximately $10 billion as of June 1, 2025 and our share of tokenized private credit is approximately 75% based on the value of outstanding loans originated as of June 18, 2025. Further, 71% of loans originated through our LOS, which include loans originated by Figure as well as by our partners, for the quarter ended March 31, 2025 utilized our DART platform, our lien and eNote registry that is built on Provenance Blockchain, compared to only 2% of loan originations for the year ended December 31, 2024. Loans originated by our partners utilizing DART accounted for 65% of Partner-branded loans and 49% of all loans originated by our LOS (including wholesale (brokered) transactions) for the three months ended March 31, 2025. We pay a minimal amount in the form of HASH for our use of the Provenance Blockchain. HASH is the utility token of the Provenance Blockchain and therefore gas fees (usage fees) are paid in HASH. A small amount of HASH is required to complete each transaction, and we pay these fees on behalf of all participants for any activity they complete with our assets. The average gas fee has been less than one HASH since 2018, which is equivalent to approximately $0.026.</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began addressing the consumer credit market in 2018 with our Figure-branded product, which catered to direct-to-consumer home equity loans. We then expanded further through Partner-branded strategies, in which a growing number of partners use our technology to independently originate home equity loans. For the quarter ended March 31, 2025, we facilitated over $1 billion of home equity lending, representing an increase of 14% compared to the quarter ended March 31, 2024. For the year ended December 31, 2024, we facilitated approximately $5 billion of home equity lending, representing an increase of 51% compared to the year ended December 31, 2023, and a compound annual growth rate of 83% since March 31, 2021. As of March 31, 2025 we had 144 active partners.</w:t>
      </w:r>
    </w:p>
    <w:p>
      <w:pPr>
        <w:spacing w:after="0" w:line="12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relationship with our partners is based on our partners’ right to use our solutions. Once a partner is approved and onboarded, the partner enters into a contractual agreement with us for the right to use our LOS and Figure Connect marketplace in exchange for fees. These agreements typically have a fixed term with auto-renewals unless notice is given to terminate, are non-exclusive and do not obligate our partners to use our solutions.</w:t>
      </w:r>
    </w:p>
    <w:p>
      <w:pPr>
        <w:spacing w:after="0" w:line="122"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In June 2024, we launched Figure Connect, an electronic marketplace that employs blockchain technology, to directly connect sellers and buyers of loans. During the short period of 10 months from launch in June 2024 to March 2025, approximately $260 million in home equity line of credit (“HELOC“) volume was transacted on Figure Connect by third parties and 23 total marketplace participants (across loan originators, buyers and investors) were onboarded as of March 31, 2025.</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 our technology applicable to the broader capital markets, we are expanding beyond our foundational solutions by developing trading and investing products. One example is Figure Exchange, a digital asset marketplace that provides customers advantages for crypto-trading, such as cross-asset collateralization for margin lending. Another example is YLDS, a groundbreaking interest-bearing peer-to-peer transferable stablecoin that is both native to a public blockchain and a security registered with the Securities and Exchange Commission (“SEC”). YLDS has many use cases resulting from its status as a security, including yielding collateral for institutions, cross-border payments and serving as the de-facto currency of Figure Exchange. For the three months ended March 31, 2025, we did not generate revenue from Figure Exchange and revenue generated from YLDS was less than $1 thousand.</w:t>
      </w:r>
    </w:p>
    <w:p>
      <w:pPr>
        <w:spacing w:after="0" w:line="1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believe that we have established a regulatory and licensing apparatus which sets us apart from our competitors and enables us to continue expanding our diverse product offering. We currently have more than 180 lending and servicing licenses, 48 money transmitter licenses, and are an SEC-registered</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900"/>
          </w:cols>
          <w:pgMar w:left="1000" w:top="1440" w:right="99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25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broker-dealer with authority to operate an alternative trading system (“ATS”), which operations are conducted in accordance with SEC and Financial Industry Regulatory Authority (“FINRA”) rules and regulations.</w:t>
      </w:r>
    </w:p>
    <w:p>
      <w:pPr>
        <w:spacing w:after="0" w:line="9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generate revenue from the volume transacted on our marketplaces and through the use of our proprietary technology. We earn volume-based fees from partners and users who utilize our technology solutions to transact in our ecosystem. Within this usage-based model, we target positive unit economics in each of our solutions. In addition to our growing stream of ecosystem and technology fees, we also earn origination, gain on sale, and servicing revenue from assets generated through our LOS. During the three months ended March 31, 2025, HELOCs comprised over 99% of our total loan originations.</w:t>
      </w:r>
    </w:p>
    <w:p>
      <w:pPr>
        <w:spacing w:after="0" w:line="12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For the year ended December 31, 2024, approximately 82% of our total net revenue was generated from origination fees, gain on sale of loans, servicing fees and interest income from assets generated through our LOS from both Figure and our network of partners. For the three months ended March 31, 2025, this represented approximately 81% of total net revenue, as revenue from Figure Connect and other new products grew faster than the solely LOS-driven revenue sources.</w:t>
      </w:r>
    </w:p>
    <w:p>
      <w:pPr>
        <w:spacing w:after="0" w:line="12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grown quickly in a capital-efficient manner since our founding, and more recently have achieved strong and growing profitability. For the three months ended March 31, 2025 and 2024, we generated net revenue of $85 million and $75 million, respectively, Adjusted Net Revenue of $89 million and $70 million, respectively, net loss of $1 million and net loss of $28 million, respectively, and Adjusted EBITDA of $31 million and $12 million, respectively, and as of March 31, 2025 and 2024, accumulated deficit of $322 million and $368 million, respectively, and total stockholders’ equity of $369 million and $272 million, respectively. For the years ended December 31, 2024 and 2023, we generated net revenue of $341 million and $210 million, respectively, Adjusted Net Revenue of $339 million and $214 million, respectively, net income of $20 million and net loss of $52 million, respectively, and Adjusted EBITDA of $ 101 million and $(12) million, respectively, and as of December 31, 2024 and 2023, accumulated deficit of $321 million and $338 million, respectively, and total stockholders’ equity of $363 million and $222 million, respectively. See the section titled “Management’s Discussion and Analysis of Financial Condition and Results of Operations—Non-GAAP Financial Measures” for information regarding our use of Adjusted Net Revenue and Adjusted EBITDA and a reconciliation of such non-GAAP financial measures to certain directly comparable financial measures calculated in accordance with GAAP.</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Industry Dynamics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There is a need for a vertically integrated capital markets infrastructure platform that provides one-stop digital technology solutions from asset origination to asset exchange. The industry currently operates via disparate, legacy approaches to consumer credit asset origination and funding and trading of those assets. These approaches are manual, time-consuming, expensive, error-prone and are unable to fully access market funding potential.</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Friction in Access and Extension of Consumer Credit, with Challenging and Antiquated Funding Markets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There is significant friction in the process of accessing and extending consumer credit, which ultimately impacts even the highest quality borrowers. The vast majority of consumer credit today is extended by financial institutions that rely on manual, difficult-to-navigate processes burdened by dated technology.</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Loan application processes that involve excessive paperwork, physical appraisals, expensive title processes and manual income verification result in slow timelines to approval and funding. For example, home equity loans can take approximately 42 days to complete, driving incremental costs for borrowers, according to industry sources.</w:t>
      </w:r>
    </w:p>
    <w:p>
      <w:pPr>
        <w:spacing w:after="0" w:line="11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Similarly, the legacy asset transfer process is paper-intensive, presents several burdens associated with manual assignments and document management, and relies heavily upon conventional loan-tracking</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900"/>
          </w:cols>
          <w:pgMar w:left="1000" w:top="1440" w:right="99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964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19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databases, which are error-prone. Digitizing this process increases safeguards, provides greater transparency, and improves efficiency.</w:t>
      </w:r>
    </w:p>
    <w:p>
      <w:pPr>
        <w:spacing w:after="0" w:line="9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Additionally, in order to access off-balance sheet sources of funding today, originators seek institutional funding partners bilaterally and one-by-one. Often due to the lack of information transparency around assets and funding sources, the liquidity potential to facilitate incremental asset origination growth has not been fully unlocked. As an example, and based on data from industry sources, while the quantum of private credit capital raised globally grew by a compound annual growth rate of approximately 14% over the five-year period ended December 31, 2023 to reach over $1 trillion, and is estimated to reach $3 trillion by 2028, access to private credit remains challenging for originators. Similarly, investors struggle to obtain expeditious and consistent access to reliable, quality assets.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Limited Real-World Success of Blockchain Technology</w:t>
      </w:r>
    </w:p>
    <w:p>
      <w:pPr>
        <w:spacing w:after="0" w:line="169"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There are limited examples of real-world success using blockchain technology. We believe that on-chain digital real-world assets continue to represent a greenfield of opportunity of significant scale. According to data from RWA.xyz and other industry sources as of April 2025, less than 1% of real-world assets are currently on blockchain. Using a blockchain-native ecosystem would reduce costs, improve liquidity and expand access to capital.</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Additionally, there is a scarcity of interest-bearing stablecoins. Stablecoins offer a digitally native way to hold fiat value on-chain. They are designed to maintain a stable value, typically $1.00 per token, and are generally backed by bank deposits or government securities such as U.S. Treasury bonds held in trust by the stablecoin issuer. However, unlike a bank account, money market account, U.S. Treasury bonds, or corporate debt, most stablecoins do not pay their holder any yield. As of March 31, 2025, only 2% of the $ 240 billion of stablecoins in circulation yielded interest, according to CoinGecko. Paying any type of yield could cause a stablecoin to be subject to securities laws, including being required to be registered as a security. Figure has created YLDS to solve this by designing a digitally native blockchain-based stablecoin that is registered as a security with the SEC and offers a yield to token holders, which we believe should result in an uptick in adoption as compared to non-yielding stablecoins.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Figure has built a vertically integrated suite of blockchain-based solutions that powers our marketplaces, including lending, trading, and investing activities in areas such as consumer credit and digital assets. Our solutions produce greater efficiency and liquidity across asset classes and markets. Provenance Blockchain is the sole system of record for our major solutions across DART, Figure Connect, YLDS and, except for all personally identifiable information of the borrower, our LOS.</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highlight w:val="white"/>
        </w:rPr>
        <w:t xml:space="preserve">Our vision is to create a one-stop, vertically integrated capital markets trading platform for consumer assets. </w:t>
      </w:r>
      <w:r>
        <w:rPr>
          <w:rFonts w:ascii="Arial" w:cs="Arial" w:eastAsia="Arial" w:hAnsi="Arial"/>
          <w:sz w:val="18"/>
          <w:szCs w:val="18"/>
          <w:color w:val="auto"/>
        </w:rPr>
        <w:t>As a first</w:t>
      </w:r>
      <w:r>
        <w:rPr>
          <w:rFonts w:ascii="Arial" w:cs="Arial" w:eastAsia="Arial" w:hAnsi="Arial"/>
          <w:sz w:val="18"/>
          <w:szCs w:val="18"/>
          <w:color w:val="auto"/>
          <w:highlight w:val="white"/>
        </w:rPr>
        <w:t xml:space="preserve"> </w:t>
      </w:r>
      <w:r>
        <w:rPr>
          <w:rFonts w:ascii="Arial" w:cs="Arial" w:eastAsia="Arial" w:hAnsi="Arial"/>
          <w:sz w:val="18"/>
          <w:szCs w:val="18"/>
          <w:color w:val="auto"/>
        </w:rPr>
        <w:t>step, we developed a next-generation, proprietary LOS that drives fast, transparent and homogeneous loan origination. We have since paired this LOS with a loan distribution marketplace, Figure Connect, to enable access to a broad and growing pool of capital markets partners. Additionally, we created DART, our registry technology built on Provenance Blockchain, to provide certainty and transparency in asset ownership.</w:t>
      </w:r>
    </w:p>
    <w:p>
      <w:pPr>
        <w:spacing w:after="0" w:line="1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foundation for our differentiated infrastructure has been in the HELOC market. We entered the market through our own Figure-branded strategy, which we utilize to originate loans directly to borrowers, and have subsequently developed a Partner-branded strategy through which mortgage originators, servicers, banks, wholesale brokers, and credit unions can use our technology to originate and distribute their own loans. We facilitated approximately $5 billion in loans in 2024, up 50% from 2023, accumulating more than $14 billion in cumulative originations since the product was launched in late 2018 to March 31, 2025 and achieving the #1 market share in the non-bank HELOC lending market in 2024, as reported by Home Equity Lending News.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900"/>
          </w:cols>
          <w:pgMar w:left="1000" w:top="1440" w:right="99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927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592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months ended March 31, 2025, HELOC originations through our LOS utilization of Figure Connect and sales of loans contributed to 71% of our revenue and 72% of Adjusted Net Revenue including 15% from transactions via Figure Connect, and Servicing and Interest Income Revenue contributed the remaining 27%. All of our loan originations are recorded on the Provenance Blockchain as a hashed record and, through our DART application, in county land records. Ownership of loans is updated on the Provenance Blockchain as loans are bought and sold in our marketplace.</w:t>
      </w:r>
    </w:p>
    <w:p>
      <w:pPr>
        <w:spacing w:after="0" w:line="1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since developed and extended our infrastructure into additional use cases, including launching Figure Exchange, developing an ATS, and issuing the YLDS stablecoin. YLDS is a SEC-registered face amount certificate and is freely transferable peer-to-peer to wallets that have gone through a Know Your Customer (“KYC”) and anti-money laundering onboarding process, consistent with applicable U.S. federal and state financial regulatory requirements. This process is administered directly by us or through a registered transfer agent and includes the collection of personally identifiable information such as name, date of birth, address, social security number, and contact information. Going forward, we believe our infrastructure is portable across a broad array of activities on our roadmap, ultimately allowing us to deliver powerful synergies across our vertically integrated platform. Our Ecosystem Volume experienced a compound annual growth rate of 86% from the year ended December 31, 2020 to the year ended December 31, 2024. See “Management’s Discussion and Analysis of Financial Condition and Results of Operations—Key Operating Metrics” for the definition of Ecosystem Volume and how we calculate it.</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Proprietary Loan Origination System</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July 2018, we launched our proprietary LOS, which uses modern technology to help deliver efficiency, speed and lower costs at each stage of the loan origination process. Leveraging automated valuation models (“AVMs”), digital title and lien matching, and digital income verification via data aggregators, we are able to offer HELOC loan approval in as little as five minutes and funding in as few as five days (median of 11 days during the three months ended March 31, 2025). In the three months ended March 31, 2025, 86% of the loans we facilitated were fully automated from the start of the application to the underwriting stage of the loan process.</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contrast to legacy lending infrastructure, our LOS is built upon a differentiated technology stack that digitizes key aspects of underwriting, including credit, income, and property. Our underwriting process is streamlined through a fully digital and paperless user interface that is simple, fast, and offers a superior user experience. Our operational processes reduce the work effort and error rate of applications and provide greater transparency and functionality for end-customers and partners. By deploying our modern LOS, we believe we are the first company to develop and offer a consumer-friendly HELOC product that can compete with unsecured personal loan alternatives and cash-out mortgage refinance products.</w:t>
      </w:r>
    </w:p>
    <w:p>
      <w:pPr>
        <w:spacing w:after="0" w:line="1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LOS excels in handling secured asset classes, such as HELOCs and mortgages, due to its robust infrastructure for data capture and verification. These capabilities are enhanced by data immutability and process compliance, as all loans and related data (except for all personally identifiable information of the borrower) are recorded on a public blockchain, Provenance Blockchain. Our LOS also extends well to unsecured loans, such as personal loans and credit lines, given the automated underwriting that swiftly assesses borrower creditworthiness.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900"/>
          </w:cols>
          <w:pgMar w:left="1000" w:top="1440" w:right="99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164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316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8"/>
          <w:szCs w:val="18"/>
          <w:i w:val="1"/>
          <w:iCs w:val="1"/>
          <w:u w:val="single" w:color="auto"/>
          <w:color w:val="auto"/>
        </w:rPr>
        <w:t>We have reduced the time from HELOC application to funding from an industry median of approximately 42 days, according to industry sources, to a median of 11 days for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typical end-customers for HELOCs are homeowners with high creditworthiness, as seen through an average FICO score of 749 and average income of approximately $187,000 for originations during the year ended December 31, 2024. Our customer base values financial products that reflect their strong financial standing. We provide a HELOC product that is fast and convenient to our end-customers, and is an alternative to taking out personal loans or holding credit card balances. During the quarter ended March 31, 2025, 14% of the total principal amount of loans originated via our LOS were first-lien.</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8"/>
          <w:szCs w:val="18"/>
          <w:color w:val="auto"/>
          <w:highlight w:val="white"/>
        </w:rPr>
        <w:t>We deploy our LOS through two strategies:</w:t>
      </w:r>
    </w:p>
    <w:p>
      <w:pPr>
        <w:spacing w:after="0" w:line="171" w:lineRule="exact"/>
        <w:rPr>
          <w:sz w:val="20"/>
          <w:szCs w:val="20"/>
          <w:color w:val="auto"/>
        </w:rPr>
      </w:pPr>
    </w:p>
    <w:p>
      <w:pPr>
        <w:jc w:val="both"/>
        <w:ind w:left="640" w:hanging="322"/>
        <w:spacing w:after="0" w:line="259" w:lineRule="auto"/>
        <w:tabs>
          <w:tab w:leader="none" w:pos="63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Partner-branded</w:t>
      </w:r>
      <w:r>
        <w:rPr>
          <w:rFonts w:ascii="Arial" w:cs="Arial" w:eastAsia="Arial" w:hAnsi="Arial"/>
          <w:sz w:val="18"/>
          <w:szCs w:val="18"/>
          <w:color w:val="auto"/>
        </w:rPr>
        <w:t>: Our partners are mortgage originators, servicers, banks, wholesale brokers, and credit unions.</w:t>
      </w:r>
      <w:r>
        <w:rPr>
          <w:rFonts w:ascii="Arial" w:cs="Arial" w:eastAsia="Arial" w:hAnsi="Arial"/>
          <w:sz w:val="18"/>
          <w:szCs w:val="18"/>
          <w:b w:val="1"/>
          <w:bCs w:val="1"/>
          <w:color w:val="auto"/>
        </w:rPr>
        <w:t xml:space="preserve"> </w:t>
      </w:r>
      <w:r>
        <w:rPr>
          <w:rFonts w:ascii="Arial" w:cs="Arial" w:eastAsia="Arial" w:hAnsi="Arial"/>
          <w:sz w:val="18"/>
          <w:szCs w:val="18"/>
          <w:color w:val="auto"/>
        </w:rPr>
        <w:t>These partners use our consumer-facing application portal, which is branded in the partner’s name and provides homogeneous automated underwriting, loan-decisioning software, and loan closing tools. The offering is used by both retail and wholesale lenders. Our lending and distribution platform is designed to support the diverse business models of our network of lending partners.</w:t>
      </w:r>
    </w:p>
    <w:p>
      <w:pPr>
        <w:spacing w:after="0" w:line="125" w:lineRule="exact"/>
        <w:rPr>
          <w:rFonts w:ascii="Arial" w:cs="Arial" w:eastAsia="Arial" w:hAnsi="Arial"/>
          <w:sz w:val="18"/>
          <w:szCs w:val="18"/>
          <w:color w:val="auto"/>
        </w:rPr>
      </w:pPr>
    </w:p>
    <w:p>
      <w:pPr>
        <w:jc w:val="both"/>
        <w:ind w:left="640"/>
        <w:spacing w:after="0" w:line="268" w:lineRule="auto"/>
        <w:rPr>
          <w:rFonts w:ascii="Arial" w:cs="Arial" w:eastAsia="Arial" w:hAnsi="Arial"/>
          <w:sz w:val="18"/>
          <w:szCs w:val="18"/>
          <w:color w:val="auto"/>
        </w:rPr>
      </w:pPr>
      <w:r>
        <w:rPr>
          <w:rFonts w:ascii="Arial" w:cs="Arial" w:eastAsia="Arial" w:hAnsi="Arial"/>
          <w:sz w:val="18"/>
          <w:szCs w:val="18"/>
          <w:color w:val="auto"/>
        </w:rPr>
        <w:t>Partner-branded loan originations have grown from $37 million for the last twelve months ended March 31, 2022 to approximately $4 billion for the last twelve months ended March 31, 2025. For the three months ended March 31, 2025, Partner-branded loans comprised 77% of our total loan originations.</w:t>
      </w:r>
    </w:p>
    <w:p>
      <w:pPr>
        <w:spacing w:after="0" w:line="116" w:lineRule="exact"/>
        <w:rPr>
          <w:rFonts w:ascii="Arial" w:cs="Arial" w:eastAsia="Arial" w:hAnsi="Arial"/>
          <w:sz w:val="18"/>
          <w:szCs w:val="18"/>
          <w:color w:val="auto"/>
        </w:rPr>
      </w:pPr>
    </w:p>
    <w:p>
      <w:pPr>
        <w:jc w:val="both"/>
        <w:ind w:left="640" w:right="20"/>
        <w:spacing w:after="0" w:line="259" w:lineRule="auto"/>
        <w:rPr>
          <w:rFonts w:ascii="Arial" w:cs="Arial" w:eastAsia="Arial" w:hAnsi="Arial"/>
          <w:sz w:val="18"/>
          <w:szCs w:val="18"/>
          <w:color w:val="auto"/>
        </w:rPr>
      </w:pPr>
      <w:r>
        <w:rPr>
          <w:rFonts w:ascii="Arial" w:cs="Arial" w:eastAsia="Arial" w:hAnsi="Arial"/>
          <w:sz w:val="18"/>
          <w:szCs w:val="18"/>
          <w:color w:val="auto"/>
        </w:rPr>
        <w:t>Our network of partners has grown from four partners as of December 31, 2021, to 144 as of March 31, 2025, with our top 10 partners contributing 54% and 52% of our origination volume for the three months ended March 31, 2025 and the year ended December 31, 2024, respectively. Our top 10 partners are medium to large non-bank finance companies in the mortgage industry. They are concentrated in the United States, with some having a nationwide presence and others focusing on specific regional markets.</w:t>
      </w:r>
    </w:p>
    <w:p>
      <w:pPr>
        <w:spacing w:after="0" w:line="125" w:lineRule="exact"/>
        <w:rPr>
          <w:rFonts w:ascii="Arial" w:cs="Arial" w:eastAsia="Arial" w:hAnsi="Arial"/>
          <w:sz w:val="18"/>
          <w:szCs w:val="18"/>
          <w:color w:val="auto"/>
        </w:rPr>
      </w:pPr>
    </w:p>
    <w:p>
      <w:pPr>
        <w:ind w:left="640" w:right="20" w:hanging="322"/>
        <w:spacing w:after="0" w:line="287" w:lineRule="auto"/>
        <w:tabs>
          <w:tab w:leader="none" w:pos="63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Figure-branded</w:t>
      </w:r>
      <w:r>
        <w:rPr>
          <w:rFonts w:ascii="Arial" w:cs="Arial" w:eastAsia="Arial" w:hAnsi="Arial"/>
          <w:sz w:val="18"/>
          <w:szCs w:val="18"/>
          <w:color w:val="auto"/>
        </w:rPr>
        <w:t>: We utilize the Figure-branded strategy to launch new asset classes through our LOS, which</w:t>
      </w:r>
      <w:r>
        <w:rPr>
          <w:rFonts w:ascii="Arial" w:cs="Arial" w:eastAsia="Arial" w:hAnsi="Arial"/>
          <w:sz w:val="18"/>
          <w:szCs w:val="18"/>
          <w:b w:val="1"/>
          <w:bCs w:val="1"/>
          <w:color w:val="auto"/>
        </w:rPr>
        <w:t xml:space="preserve"> </w:t>
      </w:r>
      <w:r>
        <w:rPr>
          <w:rFonts w:ascii="Arial" w:cs="Arial" w:eastAsia="Arial" w:hAnsi="Arial"/>
          <w:sz w:val="18"/>
          <w:szCs w:val="18"/>
          <w:color w:val="auto"/>
        </w:rPr>
        <w:t>enables us to prove demand and product efficacy and validate results of upgrades and modifications.</w:t>
      </w:r>
    </w:p>
    <w:p>
      <w:pPr>
        <w:spacing w:after="0" w:line="98" w:lineRule="exact"/>
        <w:rPr>
          <w:rFonts w:ascii="Arial" w:cs="Arial" w:eastAsia="Arial" w:hAnsi="Arial"/>
          <w:sz w:val="18"/>
          <w:szCs w:val="18"/>
          <w:color w:val="auto"/>
        </w:rPr>
      </w:pPr>
    </w:p>
    <w:p>
      <w:pPr>
        <w:jc w:val="both"/>
        <w:ind w:left="640"/>
        <w:spacing w:after="0" w:line="268" w:lineRule="auto"/>
        <w:rPr>
          <w:rFonts w:ascii="Arial" w:cs="Arial" w:eastAsia="Arial" w:hAnsi="Arial"/>
          <w:sz w:val="18"/>
          <w:szCs w:val="18"/>
          <w:color w:val="auto"/>
        </w:rPr>
      </w:pPr>
      <w:r>
        <w:rPr>
          <w:rFonts w:ascii="Arial" w:cs="Arial" w:eastAsia="Arial" w:hAnsi="Arial"/>
          <w:sz w:val="18"/>
          <w:szCs w:val="18"/>
          <w:color w:val="auto"/>
        </w:rPr>
        <w:t>As we refined our HELOC product, we worked quickly to develop a proof of concept through Figure-branded loans, with origination volume for Figure-branded loans growing from $309 million for the last twelve months ended March 31, 2019 to approximately $2 billion for the last twelve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900"/>
          </w:cols>
          <w:pgMar w:left="1000" w:top="1440" w:right="99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993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640" w:right="20"/>
        <w:spacing w:after="0" w:line="287" w:lineRule="auto"/>
        <w:rPr>
          <w:sz w:val="20"/>
          <w:szCs w:val="20"/>
          <w:color w:val="auto"/>
        </w:rPr>
      </w:pPr>
      <w:r>
        <w:rPr>
          <w:rFonts w:ascii="Arial" w:cs="Arial" w:eastAsia="Arial" w:hAnsi="Arial"/>
          <w:sz w:val="18"/>
          <w:szCs w:val="18"/>
          <w:color w:val="auto"/>
        </w:rPr>
        <w:t>months ended March 31, 2025. For the three months ended March 31, 2025, Figure-branded loans comprised 23% of our total loan originations.</w:t>
      </w:r>
    </w:p>
    <w:p>
      <w:pPr>
        <w:spacing w:after="0" w:line="99" w:lineRule="exact"/>
        <w:rPr>
          <w:sz w:val="20"/>
          <w:szCs w:val="20"/>
          <w:color w:val="auto"/>
        </w:rPr>
      </w:pPr>
    </w:p>
    <w:p>
      <w:pPr>
        <w:jc w:val="both"/>
        <w:ind w:left="640"/>
        <w:spacing w:after="0" w:line="262" w:lineRule="auto"/>
        <w:rPr>
          <w:sz w:val="20"/>
          <w:szCs w:val="20"/>
          <w:color w:val="auto"/>
        </w:rPr>
      </w:pPr>
      <w:r>
        <w:rPr>
          <w:rFonts w:ascii="Arial" w:cs="Arial" w:eastAsia="Arial" w:hAnsi="Arial"/>
          <w:sz w:val="18"/>
          <w:szCs w:val="18"/>
          <w:color w:val="auto"/>
        </w:rPr>
        <w:t>A number of our partners are not licensed to originate mortgage loans in each state, and as such, rely on our Figure-branded strategy. Over time, as these partners generate sufficient Figure-branded volume, it becomes a worthwhile investment for them to obtain required lending licenses, which enables them to shift to Partner-branded strategies and take control over their origination funnel.</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LOS ensures a uniform underwriting process that helps generate standardized assets with enhanced transparency around collateral composition. As a result, loans originated through our LOS, both Partner-branded and Figure-branded, are highly attractive for loan purchasers and investors. In comparison, with bespoke non-conforming loans, investors can pick and choose, which makes it a long process that is difficult for originators and investors. Figure maintains high quality through its disciplined underwriting process, which automates credit decisions across 28 different criteria. As of March 31, 2025, Figure’s originated loans had loss rates of less than 1% of volume.</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Figure Connect</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June 2024, we launched Figure Connect. Figure Connect is our custom-built marketplace platform that facilitates buying and selling of standardized assets that are originated through our LOS. These transactions utilize uniform underwriting, common documentation (such as loan agreements and credit policies), standardized representations and warranties, and are automatically recorded on Provenance Blockchain. Figure Connect enhances liquidity for loans originated through our LOS. Additional tools such as Portfolio Manager, which provide private credit loan purchasers seamless visibility into the current performance of their loans, foster further adoption and participation in our ecosystem. For the first 10 months since we launched Figure Connect in June 2024 to March 2025, approximately $260 million of loan volume was traded.</w:t>
      </w:r>
    </w:p>
    <w:p>
      <w:pPr>
        <w:spacing w:after="0" w:line="13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Sellers of loans transacted on Figure Connect pay a fee for utilizing our technology for origination, as well as a fulfillment fee associated with the execution of loan sales on our platform. Our pricing structure and unit economics are designed to further incentivize customers to transact on Figure Connect, as revenue received has historically exceeded costs incurred by a margin of at least 2%. This margin calculation is comprised of target revenue to the originator (origination fees and gain on sale of loans) and fees that the originator pays for the utilization of the Figure Connect marketplace. Sellers of loans on Figure Connect typically pay a volume-based fee for utilizing our technology solution to originate loans and to place these loans for sale on Figure Connect, as well as a sale volume-based fulfillment fee associated with the execution of loan sales to a buyer. We do not incur additional expenses to transact these loans on Figure Connect; however, we have built the technology that supports this marketplace and continue to incur technology-related costs to maintain the marketplace. For the three months ended March 31, 2025, net revenue generated from Figure Connect was $13 million.</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Sellers are incentivized to transact on Figure Connect, as the average per loan net revenue they would generate on our marketplace (gain on sale of loans and origination fees to the sellers less fees paid to us for using Figure Connect) is higher than the per loan net revenue the sellers would earn from originating these loans and selling them to us as a loan intermediary buyer. Such difference was on average over 1% of the unpaid loan principal balance during the three months ended March 31, 2025.</w:t>
      </w:r>
    </w:p>
    <w:p>
      <w:pPr>
        <w:spacing w:after="0" w:line="1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February 2025, we formed a joint venture with Sixth Street Partners, Fig SIX Mortgage LLC, to purchase HELOC loans through our LOS and sold through Figure Connect. Sixth Street Partners is a global investment firm that invests in credit products, among other strategies. Fig SIX Mortgage LLC is capitalized with 95% Sixth Street equity and 5% Figure equity. We refer to this joint venture and its activities as a “Guarantor Vehicle.” The Guarantor Vehicle is expected to wholly own the loans it purchases and subsequently sell these loans into Figure HELOC securitizations. Both we and Sixth Street Partners expect to continue to contribute equity into the joint venture up to a total $210.5 million</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900"/>
          </w:cols>
          <w:pgMar w:left="1000" w:top="1440" w:right="99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887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688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commitment. As of June 30, 2025, Figure had contributed $1 million of equity into the Guarantor Vehicle out of a total $10.5 million initial commitment, and Sixth Street Partners had contributed $24 million out of a total $200 million initial commitment. We do not consolidate the financial statements of the Guarantor Vehicle. Our aim with Figure Connect is to enhance liquidity for loans originated on our LOS, and we believe the Guarantor Vehicle will significantly advance this goal.</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June 30, 2025, the Guarantor Vehicle has yet to purchase HELOCs via Figure Connect, but has instead purchased $25 million of residual equity from Figure’s securitization that was completed in May 2025. The Guarantor Vehicle is an entity that was established to purchase HELOCs sold on Figure Connect (which it then contributes to a securitization, retaining the residual equity). Once the Guarantor Vehicle begins purchasing HELOCs via Figure Connect, this will increase the amount of liquidity available to our network of partners selling their assets on Figure Connect. While the Guarantor Vehicle does not directly provide a guarantee or backing of the loans, its presence as a dedicated buyer on the Figure Connect marketplace provides sellers on Figure Connect a greater degree of transaction execution than existed prior to its 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Digital Asset Registry Technologies</w:t>
      </w:r>
    </w:p>
    <w:p>
      <w:pPr>
        <w:spacing w:after="0" w:line="169"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In April 2024, we launched DART, our lien and eNote registry technology that is built on Provenance Blockchain for originators and investors to manage and track the ownership of loans as they move throughout the capital markets. DART addresses a significant market pain point in the mortgage industry—the complexities associated with manual assignments and systems, such as the Mortgage Electronic Registration Systems (“MERS”). DART effectively “listens” to the immutable activity on Provenance Blockchain and automatically updates loan ownership information accordingly. Thus, by integrating this service into our proprietary technology platform, lenders can originate, pledge, and sell loans using Figure's secure technological framework, which includes the on-chain DART monitoring service, to ensure the efficient transfer of assets.</w:t>
      </w:r>
    </w:p>
    <w:p>
      <w:pPr>
        <w:spacing w:after="0" w:line="1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For the quarter ended March 31, 2025, 71% of loans originated through our LOS (including both Figure-branded and Partner-branded) were boarded onto DART, up from 2% for the year ended December 31, 2024.</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900"/>
          </w:cols>
          <w:pgMar w:left="1000" w:top="1440" w:right="99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964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719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Figure Exchange</w:t>
      </w:r>
    </w:p>
    <w:p>
      <w:pPr>
        <w:spacing w:after="0" w:line="16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In August 2024, we launched Figure Exchange, our real-time digital asset exchange that supports the efficient trading of various tokens including leading digital assets (e.g. BTC, ETH). Figure Exchange matches buyers and sellers, allowing for bilateral, self-settling and self-clearing trades that remove counterparty and settlement risk. In its first eight months since launch, Figure Exchange facilitated the trading of $962 million in volume without meaningful marketing efforts, of which $213 million was in the three months ended March 31, 2025.</w:t>
      </w:r>
    </w:p>
    <w:p>
      <w:pPr>
        <w:spacing w:after="0" w:line="125"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central tenet of Figure Exchange is to provide users with a one-stop shop for trading, lending, and borrowing across a wide variety of digital assets. With this goal in mind, our offering stands out from our competitors’ offerings due to:</w:t>
      </w:r>
    </w:p>
    <w:p>
      <w:pPr>
        <w:spacing w:after="0" w:line="99" w:lineRule="exact"/>
        <w:rPr>
          <w:sz w:val="20"/>
          <w:szCs w:val="20"/>
          <w:color w:val="auto"/>
        </w:rPr>
      </w:pPr>
    </w:p>
    <w:p>
      <w:pPr>
        <w:jc w:val="both"/>
        <w:ind w:left="640" w:hanging="322"/>
        <w:spacing w:after="0" w:line="252" w:lineRule="auto"/>
        <w:tabs>
          <w:tab w:leader="none" w:pos="608"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Democratized Prime: </w:t>
      </w:r>
      <w:r>
        <w:rPr>
          <w:rFonts w:ascii="Arial" w:cs="Arial" w:eastAsia="Arial" w:hAnsi="Arial"/>
          <w:sz w:val="18"/>
          <w:szCs w:val="18"/>
          <w:color w:val="auto"/>
        </w:rPr>
        <w:t>A pillar of our value proposition is the Democratized Prime offering, which disrupts the</w:t>
      </w:r>
      <w:r>
        <w:rPr>
          <w:rFonts w:ascii="Arial" w:cs="Arial" w:eastAsia="Arial" w:hAnsi="Arial"/>
          <w:sz w:val="18"/>
          <w:szCs w:val="18"/>
          <w:b w:val="1"/>
          <w:bCs w:val="1"/>
          <w:color w:val="auto"/>
        </w:rPr>
        <w:t xml:space="preserve"> </w:t>
      </w:r>
      <w:r>
        <w:rPr>
          <w:rFonts w:ascii="Arial" w:cs="Arial" w:eastAsia="Arial" w:hAnsi="Arial"/>
          <w:sz w:val="18"/>
          <w:szCs w:val="18"/>
          <w:color w:val="auto"/>
        </w:rPr>
        <w:t>traditional prime brokerage infrastructure by allowing users to lend their assets or excess cash into the ecosystem at a market-clearing rate. Democratized Prime is a marketplace for asset lenders and borrowers to meet, connecting sources and uses of assets and capital. It allows lenders to earn a yield on digital assets such as Bitcoin, and it provides borrowers access to these assets at a market-clearing rate. There is no intermediary, and instead pricing is set every hour by a Dutch-style auction. This structure allows users to not only capture incremental value from assets that they already hold but also to optimize allocation because the user can choose the most appropriate and efficient pool for their unique use case. Democratized Prime provides a forum in which anyone—individual or institution—can lend assets to those seeking capital or assets in a decentralized marketplace. Our current offerings on Democratized Prime include providing margin funding against digital assets and offering digital asset-loans for borrowing or shorting for the exchange or funding of our loans. Typical borrowers are institutions (such as loan originators or loan buyers) who will borrow against the loans they hold. Typical lenders are institutions with idle or excess cash that they are willing to lend, asset managers putting capital to work and retail customers who want to lend their capital. We launched Democratized Prime in November 2024, and as of March 31, 2025, it had approximately $0.8 million in assets on the platform. The applicable fees and associated revenue for Democratized Prime is 50 basis points and are paid by the borrower. As of March 31, 2025, Democratized Prime had not generated revenue as we have provided the initial assets to support the platform while we build out funding distribution.</w:t>
      </w:r>
    </w:p>
    <w:p>
      <w:pPr>
        <w:spacing w:after="0" w:line="137" w:lineRule="exact"/>
        <w:rPr>
          <w:rFonts w:ascii="Times New Roman" w:cs="Times New Roman" w:eastAsia="Times New Roman" w:hAnsi="Times New Roman"/>
          <w:sz w:val="18"/>
          <w:szCs w:val="18"/>
          <w:color w:val="auto"/>
        </w:rPr>
      </w:pPr>
    </w:p>
    <w:p>
      <w:pPr>
        <w:jc w:val="both"/>
        <w:ind w:left="640" w:hanging="322"/>
        <w:spacing w:after="0" w:line="259"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Digital Asset Cross-Collateralization</w:t>
      </w:r>
      <w:r>
        <w:rPr>
          <w:rFonts w:ascii="Arial" w:cs="Arial" w:eastAsia="Arial" w:hAnsi="Arial"/>
          <w:sz w:val="18"/>
          <w:szCs w:val="18"/>
          <w:color w:val="auto"/>
        </w:rPr>
        <w:t>: Inherently linked to our Democratized Prime offering is the ability our</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are expected to have to cross-collateralize their assets for their borrowing needs, as our on-chain platform allows for the streamlining of margin trading across multiple assets, reducing friction and minimizing each customer’s specific liquidity needs. This feature is not yet operational but we anticipate that it will be available to our users by the end of 2025.</w:t>
      </w:r>
    </w:p>
    <w:p>
      <w:pPr>
        <w:spacing w:after="0" w:line="125" w:lineRule="exact"/>
        <w:rPr>
          <w:rFonts w:ascii="Arial" w:cs="Arial" w:eastAsia="Arial" w:hAnsi="Arial"/>
          <w:sz w:val="18"/>
          <w:szCs w:val="18"/>
          <w:color w:val="auto"/>
        </w:rPr>
      </w:pPr>
    </w:p>
    <w:p>
      <w:pPr>
        <w:jc w:val="both"/>
        <w:ind w:left="640" w:hanging="322"/>
        <w:spacing w:after="0" w:line="255"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Access to Digital and Real-World Assets: </w:t>
      </w:r>
      <w:r>
        <w:rPr>
          <w:rFonts w:ascii="Arial" w:cs="Arial" w:eastAsia="Arial" w:hAnsi="Arial"/>
          <w:sz w:val="18"/>
          <w:szCs w:val="18"/>
          <w:color w:val="auto"/>
          <w:highlight w:val="white"/>
        </w:rPr>
        <w:t>The real world assets purchased by our deep and liquid capital</w:t>
      </w:r>
      <w:r>
        <w:rPr>
          <w:rFonts w:ascii="Arial" w:cs="Arial" w:eastAsia="Arial" w:hAnsi="Arial"/>
          <w:sz w:val="18"/>
          <w:szCs w:val="18"/>
          <w:b w:val="1"/>
          <w:bCs w:val="1"/>
          <w:color w:val="auto"/>
        </w:rPr>
        <w:t xml:space="preserve"> </w:t>
      </w:r>
      <w:r>
        <w:rPr>
          <w:rFonts w:ascii="Arial" w:cs="Arial" w:eastAsia="Arial" w:hAnsi="Arial"/>
          <w:sz w:val="18"/>
          <w:szCs w:val="18"/>
          <w:color w:val="auto"/>
          <w:highlight w:val="white"/>
        </w:rPr>
        <w:t>marketplace can only be originated with our exclusive tokenization infrastructure. Our position as a leading HELOC originator and funding platform, coupled with our capabilities as a real-time digital asset exchange and yield-bearing stablecoin issuer, is difficult to replicate. We believe this unique combination will enable us to attract partner issuers, originators and asset owners who will use our solutions to tokenize and sell real-world assets in a manner that competitors may not be able to match. As our asset offering available for trading on Figure Exchange increases, the attractiveness of trading on our platform expands as we build towards the ultimate goal of becoming “the exchange for everything.”</w:t>
      </w:r>
    </w:p>
    <w:p>
      <w:pPr>
        <w:spacing w:after="0" w:line="1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rely on Figure Exchange and our ATS as the technology and infrastructure that allow customers to trade digitally native securities and tokenized real-world assets. Figure Exchange and our ATS are designed to comply with all U.S. regulations relevant to them as a regulated Money Services Business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900"/>
          </w:cols>
          <w:pgMar w:left="1000" w:top="1440" w:right="99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96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49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that holds Money Transmission Licenses, and as a U.S. Broker Dealer with authority to operate an ATS, respectively. Outside of the United States, through our subsidiaries, Figure holds several crypto licenses, including a virtual asset service provider (“VASP”) registration in both the Cayman Islands and Ireland, and a securities investment business license in the 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YLDS</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February 2025, we launched YLDS, a groundbreaking interest-bearing transferable stablecoin that is both native to a public blockchain, Provenance Blockchain, and a security registered with the SEC. As of March 31, 2025, YLDS outstanding stood at approximately $3 million. While YLDS is currently fully operational and generates revenues, given it is a recently launched product, its revenue recorded in interest income for the quarter ending March 31, 2025 was approximately $1.0 thousand. Fee revenue recorded in interest income is earned by our subsidiary, Figure Certificate Company (“FCC”). This revenue is paid from the interest payments generated by the investment securities that FCC holds. We anticipate revenues from YLDS to grow as adoption increases. See “Prospectus Summary—Our Growth Strategy.”</w:t>
      </w:r>
    </w:p>
    <w:p>
      <w:pPr>
        <w:spacing w:after="0" w:line="129"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FCC is registered with the SEC under the Investment Company Act of 1940, as amended (the “Investment Company Act”), as a face-amount certificate company. FCC’s interest-bearing debt securities (the "Figure Certificates") are registered with the SEC. YLDS are the Figure Certificates’ corresponding digital representation.</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 xml:space="preserve">Built on Provenance Blockchain, YLDS offers investors a more stable and secure digital asset. It is backed by cash and cash equivalents, akin to prime money market funds. Since inception, YLDS has paid a constant interest rate of SOFR minus 0.50%. Transactions can be conducted 24 hours a day, seven days a week using U.S. dollars and other stablecoins on Figure Exchange, with the option to off-ramp to fiat during U.S. banking hours </w:t>
      </w:r>
      <w:r>
        <w:rPr>
          <w:rFonts w:ascii="Arial" w:cs="Arial" w:eastAsia="Arial" w:hAnsi="Arial"/>
          <w:sz w:val="18"/>
          <w:szCs w:val="18"/>
          <w:color w:val="auto"/>
          <w:highlight w:val="white"/>
        </w:rPr>
        <w:t>after a redemption has settled to cash.</w:t>
      </w:r>
    </w:p>
    <w:p>
      <w:pPr>
        <w:spacing w:after="0" w:line="12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YLDS has many use cases. Benefiting from its status as a security, YLDS can be used as yielding collateral for institutions, which can also be utilized for trade settlement or payments. Further, FCC's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9900"/>
          </w:cols>
          <w:pgMar w:left="1000" w:top="1440" w:right="99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307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registration statement on Form S-1 that was declared effective by the SEC includes the minting of YLDS on multiple Layer 1 blockchains, including Provenance, Solana, Ethereum and Avalanche. FCC may seek additional Layer 1 blockchains through amendments to such registration statement. Our goal is for YLDS to become the de-facto currency of Figure Exchange, to provide fiat currency off-ramps for YLDS during local banking hours and 24-hour conversion of YLDS to other stablecoins via transactions on Figure Exchange. While transactions were entirely in fiat currency for the six months ended June 30, 2025, our goal is to have an increasing number of these transactions settle in YLDS as we encourage warehouse lenders and loan buyers to utilize YLDS on Figure Connect and Figure Exchange. Furthermore, we believe that third-party interest in using YLDS has the potential to displace traditional money movement, particularly in DeFi, payments, and other applications such as exchange collateral.</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Customers can buy YLDS from or sell it back to FCC. However, FCC is not permitted to hold digital assets like USDC and USDT. Consequently, purchases and redemptions of YLDS using USDC and USDT are facilitated by Figure Payments Corporation, which handles the sending and receiving of these digital currencies. In the meantime, Figure Exchange and Figure Payments Corporation make it possible to buy BTC with YLDS by first swapping USD for YLDS and then using YLDS to buy BTC. This process allows YLDS holders to use YLDS as a form of payment when purchasing BTC.</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technology solutions are applicable to a broad range of lending and capital markets activities that are experiencing important trends and market dynamics. We target specific focus areas where we can address friction points and improve efficiency and liquidity by leveraging blockchain-based technology solutions. We consider our addressable market to be the volume of loans that can be originated using our LOS as well as the volume that can be transacted on our marketplaces for loans and digital assets. When taken together, we estimate that our addressable market today represents an approximately $185 billion dollar opportunity, as described in further detail below.</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Origination and Distribution Marketplace</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LOS platform and marketplace are set to displace legacy loan origination and delivery technology across consumer asset classes. While the home equity market is where we demonstrated proof of concept, we see the ability to deliver more streamlined financing solutions across other consumer assets. Our Figure Connect marketplace provides the technology and processes that enable our origination partners to sell their loans directly to a network of whole loan buyers, including the Guarantor Vehicle, as well as directly into a securitization arranged by Figure. Similar to our LOS, our Figure Connect marketplace is expandable to broader consumer loan assets.</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example, Figure Connect currently supports assets originating within the Figure ecosystem, including DSCR and digital asset-backed loans, with potential expansion to auto loans, personal loans and student loans. In the near future, we anticipate that Figure Connect will accommodate consumer loan asset sales from third-party originators, broadening the range of consumer loan assets available on our platform, such as residential transition loans and auto loans. To facilitate this expansion, we are developing a layer to enable non-Figure LOS originators to integrate their loans into our ecosystem and granting them access to Portfolio Manager. Additionally, our validator layer will ensure the integrity of third-party loans by verifying that they meet underwriting criteria, including validating the decision logic and the underlying input data used in credit decisions.</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estimated total addressable market for our LOS and Figure Connect marketplace represents a $80 billion annual revenue opportunity. This is based on approximately $2 trillion of annual originations across consumer asset classes, including HELOCs, mortgage refinance, personal, credit card, and auto, according to the February 2025 - Equifax U.S. National Consumer Credit Trends Report - Originations and MBA, and an assumed take rate of approximately 4% based on our targeted pricing and our historical take rate revenue comprised of ecosystem and technology fees, origination fees, gain on sale, and</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900"/>
          </w:cols>
          <w:pgMar w:left="1000" w:top="1440" w:right="99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707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capitalized servicing rights on a per volume basis. According to the Federal Reserve, the United States currently has approximately $35 trillion in outstanding home equity as of January 1, 2025.</w:t>
      </w:r>
    </w:p>
    <w:p>
      <w:pPr>
        <w:spacing w:after="0" w:line="9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take rate for the three months ended March 31, 2025 is derived from the sum of ecosystem and technology fees, origination fees, gain on sale of loans, net and gain on servicing asset, net from our consolidated statement of operations. These items represent revenue generated from Figure-branded and Partner-branded volume. Valuation changes in fair value of mortgage servicing rights, which we believe is not indicative of operating performance, and marketing expenses are deducted. This amount is divided by overall consumer loan marketplace volume for that period to arrive at approximately 4% for the three months ended March 31, 2025. We expect to maintain a take rate of approximately 4% even as our volume mix shifts to Figure Connect.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Tokenization and Trading</w:t>
      </w:r>
    </w:p>
    <w:p>
      <w:pPr>
        <w:spacing w:after="0" w:line="169"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Tokenization is the process by which real-world assets are digitally represented on a blockchain, enabling ownership of an underlying asset through ownership of a token. Our platform’s technology and infrastructure, particularly through Figure Exchange, allows for the trading of native digital assets and tokens. We believe that the market opportunity for tokenized securities is as large as the existing securities market and that the transition, once it begins, will happen quickly.</w:t>
      </w:r>
    </w:p>
    <w:p>
      <w:pPr>
        <w:spacing w:after="0" w:line="122"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According to forecasts from industry sources, the asset tokenization opportunity is expected to expand to $16 trillion by 2030. These forecasts reveal a significant opportunity with tokenization, where Figure has a first-mover advantage. With an assumed take rate of 0.5%, based on the pricing that we plan to implement, the revenue opportunity could be over $80 billion.</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Peer to Peer Transferable Stablecoins</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view the market opportunity of stablecoins as encapsulating elements of the global monetary supply. By removing layers of the current legacy systems, we believe the market opportunity is large. According to forecasts from Citigroup, the stablecoin market could reach $5 trillion by 2030. With an assumed take rate of 0.5%, based on the pricing of the Figure Certificates issued by our subsidiary, FCC, this revenue opportunity could be as large as $25 billion.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innovative blockchain-enabled technology platform provides meaningful value-add for our users, including consumers, origination partners and loan buyers, and securitization investors. We have several competitive advantages that have enabled our continued success and differentiate us from existing solutions.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Faster end-to-end solution with operational efficiencies that drive cost-savings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that our technology innovation has revolutionized the loan origination process from application through approval to funding. Our 100% online application coupled with our 100% digital origination solution, leverages blockchain technology, AVMs, e-notaries, digital income/ID verification, artificial intelligence during document review and digital lien matching. Our differentiated technology has enabled us to reduce the average HELOC time from application to funding by approximately 75%. We fund as quickly as five days, with a median of 11 days, as compared to an industry median of approximately 42 days, according to industry sources as of March 31, 2025.</w:t>
      </w:r>
    </w:p>
    <w:p>
      <w:pPr>
        <w:spacing w:after="0" w:line="12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By streamlining and automating the loan origination process, we have drastically reduced the cost to originate. For the year ended December 31, 2024, we had an average cost per loan of $730. This represents cost-savings of over 93% compared to an industry average cost of $11,230 to originate a mortgage for the quarter ended December 31, 2024, according to MBA.</w:t>
      </w:r>
    </w:p>
    <w:p>
      <w:pPr>
        <w:spacing w:after="0" w:line="12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origination partners have validated our strong value proposition through recurring use. 93% of the number of origination partners who accounted for 97% of the Partner branded LOS volume in 2023</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9900"/>
          </w:cols>
          <w:pgMar w:left="1000" w:top="1440" w:right="99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5449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654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remained on the platform in 2024. Furthermore, we experienced 185% net volume retention in 2024. We are not only retaining our origination partners but also enabling them to continuously expand usage and volume.</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Homogeneous underwriting with immutable, transparent access to asset ownership information</w:t>
      </w:r>
    </w:p>
    <w:p>
      <w:pPr>
        <w:spacing w:after="0" w:line="1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LOS employs fully automated pre-programmed rules, including the underwriting guidelines and credit policy embedded in our technology, to make lending decisions. Our LOS and technology mandate consistent underwriting criteria, including a minimum FICO score of 640, a maximum combined loan-to-value of 85% and a maximum debt to income ratio of 50%. Further, Figure’s platform offers loan amounts as low as $ 25,000 (and lower in some limited instances) and a maximum of $750,000. The criteria for non-mortgage asset classes has yet to be determined. Through our LOS, we have nearly fully eliminated the impact of human error from our origination processes and the quality of loans originated on our platform, which helps provide a high degree of certainty to the credit quality of the loans originated using our technology. We believe this results in a homogeneous population of loans that are underwritten to consistent, well-defined rules using the same scalable processes and technology. Credit losses of loans underwritten through our LOS have consistently remained approximately 1% or less, well below the 6% rating agencies typically assume for securitizations of similar loan products. Along with the Guarantor Vehicle, we believe that this homogeneity fuels the success of our marketplace.</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third-party review expenses are also reduced by as much at 80% as compared to a sample of 2025 securitizations, which had 100% of their loan pool reviewed versus 20% for Figure. As the broader industry continues to experience rising costs, the value proposition of Figure’s automated, cost-efficient solution will continue to differentiate us and attract new origination partners. Third-party review expenses consist of fees paid to independent firms engaged to perform quality control audits and loan-level due diligence on mortgage assets to assess compliance with underwriting guidelines, regulatory requirements, and investor eligibility criteria in connection with the sale of such loans in the secondary mortgage market. Typically, these reviews include a review of 100% of the pool assets. Our 2025 securitizations are unregistered transactions issued under Rule 144A and are composed solely of our HELOCs and no other assets.</w:t>
      </w:r>
    </w:p>
    <w:p>
      <w:pPr>
        <w:spacing w:after="0" w:line="1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Through Provenance Blockchain, we provide loan buyers and securitization investors access to an immutable source of information on ownership at origination and the subsequent transfer history of assets. The use of blockchain enables diligence, monitoring and reporting of loan title, providing transparency of ownership in a matter of nanoseconds.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Facilitating access to incremental capital</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LOS removes friction in the supply and demand of capital, connecting origination partners with several sources of funding capital. On one side, origination partners utilize our lending platform to fund homogeneous investor-appealing assets in a cost-efficient and transparent way. On the other side, Figure Connect enables origination partners to access multiple sources of institutional funding through a single-window system. This two-sided marketplace facilitates deeper liquidity, giving originators access to funding sources, and in turn increases their capacity to fund more origination growth. This ultimately unlocks access to incremental resources for the end-borrower and creates higher certainty and reliability of capital markets execution.</w:t>
      </w:r>
    </w:p>
    <w:p>
      <w:pPr>
        <w:spacing w:after="0" w:line="12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liquidity in the marketplace is further enhanced by the presence of our Guarantor Vehicle, which with $200 million in recyclable equity and through the use of leverage, is expected to translate into billions of dollars of committed financing. In the last twelve months ended March 31, 2025, 17 institutional investors transacted approximately $4 billion in volume with loan originators through our LOS.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900"/>
          </w:cols>
          <w:pgMar w:left="1000" w:top="1440" w:right="99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02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Modular tech stack expandable across asset classes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technology architecture is designed to support each of our solutions such that these solutions can scale and serve new use cases seamlessly and efficiently. Similarly, our digital platform is designed to scale efficiently by leveraging our existing solutions for the origination of other lending products.</w:t>
      </w:r>
    </w:p>
    <w:p>
      <w:pPr>
        <w:spacing w:after="0" w:line="11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For Figure Connect, our custom-built marketplace, we offer a streamlined experience for trading, hedging, forward sales and access to rated securitizations.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Proactive regulatory compliance as a source of competitive advantage</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Strict regulatory compliance has always been at the forefront of our strategy in a nascent industry where some others have looked to exploit regulatory vagueness and ambiguity. This proactive approach to legal adherence has allowed Figure to build a regulatory and licensing infrastructure that is currently comprised of more than 180 lending and servicing licenses, 48 money transmitter licenses, a broker-dealer license, an ATS, VASP licenses in Ireland and the Cayman Islands, a virtual currency license in Louisiana, in addition to multiple additional license applications in our pipeline. We believe that our regulatory moat, which uniquely combines lending licenses, a number of digital asset-related licenses, and an ATS, with years in the making, delays the feasibility of potential new entrants to be able to compete in the full spectrum of solutions that we are able to offer.</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Strong culture with visionary leadership team that has redefined the industry before</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believe our highly experienced leadership team and our culture of creativity and innovation give us a long-term, sustainable competitive advantage. We have been built since day one to address industry inefficiencies and challenges that our founders and leadership observed over decades in on-the-ground, decision-making roles at financial technology and financial services firms, including in the lending and mortgage value chain as well as in blockchain technology.</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team has a demonstrated track record of re-inventing legacy financial products and services as technology-first, efficient, and low-cost platforms, in segments ranging from student and personal loans and traditional mortgages to the crypto economy. The expertise our team has built across markets and functional areas—with an average of over 20 years of experience at market leaders including SoFi, Blockchain.com, Brex, and OneMain Financial—empowers us in our daily pursuit of introducing more innovative and efficient technology and business models into our ecosystem. We are deeply committed to disrupting and driving efficiency in traditional financial services with proprietary technology, to create value for consumers, our origination partners, loan buyers, and securitization investors across our ecosystem, and we believe our team is well positioned to deliver on this mission.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firmly believe that developing cutting-edge technology is a core competency that allows for future growth. As such, we have made a significant investment in technology, engineering and modern processes to establish a flexible and expandable capital markets platform that supports end-to-end asset origination to trading. Our first line of code was written in 2018 and 34% of our headcount is in technology and product departments as of March 31, 2025.</w:t>
      </w:r>
    </w:p>
    <w:p>
      <w:pPr>
        <w:spacing w:after="0" w:line="12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believe this will allow us to systematically expand transaction volume and enter different markets across the financial ecosystem where the application of blockchain technology can improve efficiency and liquidity.</w:t>
      </w:r>
    </w:p>
    <w:p>
      <w:pPr>
        <w:spacing w:after="0" w:line="101" w:lineRule="exact"/>
        <w:rPr>
          <w:sz w:val="20"/>
          <w:szCs w:val="20"/>
          <w:color w:val="auto"/>
        </w:rPr>
      </w:pPr>
    </w:p>
    <w:p>
      <w:pPr>
        <w:ind w:right="320" w:firstLine="324"/>
        <w:spacing w:after="0" w:line="294" w:lineRule="auto"/>
        <w:rPr>
          <w:sz w:val="20"/>
          <w:szCs w:val="20"/>
          <w:color w:val="auto"/>
        </w:rPr>
      </w:pPr>
      <w:r>
        <w:rPr>
          <w:rFonts w:ascii="Arial" w:cs="Arial" w:eastAsia="Arial" w:hAnsi="Arial"/>
          <w:sz w:val="18"/>
          <w:szCs w:val="18"/>
          <w:b w:val="1"/>
          <w:bCs w:val="1"/>
          <w:i w:val="1"/>
          <w:iCs w:val="1"/>
          <w:color w:val="auto"/>
        </w:rPr>
        <w:t>Onboard New Origination Partners, Increase Penetration with Existing Partners and Increase On-Chain Loan Production</w:t>
      </w:r>
    </w:p>
    <w:p>
      <w:pPr>
        <w:spacing w:after="0" w:line="85"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We believe that increasing the number of origination partners using our LOS and growing adoption of Figure Connect will significantly contribute to our future growth.</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9900"/>
          </w:cols>
          <w:pgMar w:left="1000" w:top="1440" w:right="99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364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successfully added over 144 partners since inception, with 76 of those added over the last twelve months ended March 31, 2025. We see a substantial opportunity to further grow our number of partners. In the six months period from October 1, 2024 to March 31, 2025, we onboarded seven origination partners to Figure Connect, evidencing growth of partnerships beyond Figure-branded originations. As of July 2025, our on-chain loan production was over $800 million, up from approximately $600 million in June 2025. We anticipate that on-chain loan production volume will continue to increase as we expand both the number of origination partners and the monthly volume that each origination partner conducts with us.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With the success we have shown to date, our marketing team will continue to target servicers, banks, credit unions, and other mortgage originators, offering them a turnkey solution to replace legacy offerings. Our technology is easily onboarded by partners and, once in place, enables them to bring a new offering to the market quickly. </w:t>
      </w:r>
      <w:r>
        <w:rPr>
          <w:rFonts w:ascii="Arial" w:cs="Arial" w:eastAsia="Arial" w:hAnsi="Arial"/>
          <w:sz w:val="18"/>
          <w:szCs w:val="18"/>
          <w:color w:val="auto"/>
          <w:highlight w:val="white"/>
        </w:rPr>
        <w:t>The end-applicant experience</w:t>
      </w:r>
      <w:r>
        <w:rPr>
          <w:rFonts w:ascii="Arial" w:cs="Arial" w:eastAsia="Arial" w:hAnsi="Arial"/>
          <w:sz w:val="18"/>
          <w:szCs w:val="18"/>
          <w:color w:val="auto"/>
        </w:rPr>
        <w:t xml:space="preserve"> </w:t>
      </w:r>
      <w:r>
        <w:rPr>
          <w:rFonts w:ascii="Arial" w:cs="Arial" w:eastAsia="Arial" w:hAnsi="Arial"/>
          <w:sz w:val="18"/>
          <w:szCs w:val="18"/>
          <w:color w:val="auto"/>
          <w:highlight w:val="white"/>
        </w:rPr>
        <w:t>and efficiency of our LOS coupled with the liquidity access that Figure Connect provides will continue to attract new origination partners.</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Add Incremental Products and Markets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 proven track record of innovating and delivering new products through our platform. From inception to the quarter ended March 31, 2025, over $14 billion of loans were originated using our automated underwriting process on our LOS. Our technology was first used to originate 1st and 2nd lien HELOC products and has been expanded to underwrite and originate loans secured by digital assets. We believe our performance across different products within the home equity market serves as a testament to the quality of our platform, the diversity and depth of our acquisition strategies, and our ability to rapidly enter, innovate, and become a category leader in a market.</w:t>
      </w:r>
    </w:p>
    <w:p>
      <w:pPr>
        <w:spacing w:after="0" w:line="12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example, our LOS has been adapted to originate DSCR loans to provide greater flexibility for borrowers seeking to finance rental properties. This caters to the growing demand for rental properties and the increased popularity of DSCR loans. Additionally, we have the infrastructure in place to originate personal loans and student loans, and we believe we can effectively scale in these markets. Adding new loan products will allow us to generate volume across different market and rate environments, as well as bolster our servicing portfolio. Furthermore, we anticipate that the introduction of additional products will enhance our trading offerings. As these products gain mass adoption, we expect an increase in both buyer demand and liquidity, contributing to the overall expansion of the market.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Expand Figure Connect Volume</w:t>
      </w:r>
    </w:p>
    <w:p>
      <w:pPr>
        <w:spacing w:after="0" w:line="169"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Figure Connect enables the trading of assets originated via our LOS. Since launch in June 2024 to March 2025, approximately $1 billion of loans were traded on Figure Connect. With ample room for growth, we have identified the following initiatives as avenues for expanding Figure Connect transaction volume:</w:t>
      </w:r>
    </w:p>
    <w:p>
      <w:pPr>
        <w:spacing w:after="0" w:line="117" w:lineRule="exact"/>
        <w:rPr>
          <w:sz w:val="20"/>
          <w:szCs w:val="20"/>
          <w:color w:val="auto"/>
        </w:rPr>
      </w:pPr>
    </w:p>
    <w:p>
      <w:pPr>
        <w:jc w:val="both"/>
        <w:ind w:left="640" w:hanging="322"/>
        <w:spacing w:after="0" w:line="268"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Onboarding new loan buyers: </w:t>
      </w:r>
      <w:r>
        <w:rPr>
          <w:rFonts w:ascii="Arial" w:cs="Arial" w:eastAsia="Arial" w:hAnsi="Arial"/>
          <w:sz w:val="18"/>
          <w:szCs w:val="18"/>
          <w:color w:val="auto"/>
        </w:rPr>
        <w:t>With 23 new investors onboarded to the marketplace since launch in June 2024, we</w:t>
      </w:r>
      <w:r>
        <w:rPr>
          <w:rFonts w:ascii="Arial" w:cs="Arial" w:eastAsia="Arial" w:hAnsi="Arial"/>
          <w:sz w:val="18"/>
          <w:szCs w:val="18"/>
          <w:b w:val="1"/>
          <w:bCs w:val="1"/>
          <w:color w:val="auto"/>
        </w:rPr>
        <w:t xml:space="preserve"> </w:t>
      </w:r>
      <w:r>
        <w:rPr>
          <w:rFonts w:ascii="Arial" w:cs="Arial" w:eastAsia="Arial" w:hAnsi="Arial"/>
          <w:sz w:val="18"/>
          <w:szCs w:val="18"/>
          <w:color w:val="auto"/>
        </w:rPr>
        <w:t>believe we can continue to increase the number of participants on Figure Connect, significantly contributing to the overall growth of transaction activity.</w:t>
      </w:r>
    </w:p>
    <w:p>
      <w:pPr>
        <w:spacing w:after="0" w:line="116" w:lineRule="exact"/>
        <w:rPr>
          <w:rFonts w:ascii="Arial" w:cs="Arial" w:eastAsia="Arial" w:hAnsi="Arial"/>
          <w:sz w:val="18"/>
          <w:szCs w:val="18"/>
          <w:color w:val="auto"/>
        </w:rPr>
      </w:pPr>
    </w:p>
    <w:p>
      <w:pPr>
        <w:jc w:val="both"/>
        <w:ind w:left="640" w:hanging="322"/>
        <w:spacing w:after="0" w:line="262"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Increase marketplace liquidity: </w:t>
      </w:r>
      <w:r>
        <w:rPr>
          <w:rFonts w:ascii="Arial" w:cs="Arial" w:eastAsia="Arial" w:hAnsi="Arial"/>
          <w:sz w:val="18"/>
          <w:szCs w:val="18"/>
          <w:color w:val="auto"/>
        </w:rPr>
        <w:t>We are looking to expand or replicate initiatives such as our joint venture with</w:t>
      </w:r>
      <w:r>
        <w:rPr>
          <w:rFonts w:ascii="Arial" w:cs="Arial" w:eastAsia="Arial" w:hAnsi="Arial"/>
          <w:sz w:val="18"/>
          <w:szCs w:val="18"/>
          <w:b w:val="1"/>
          <w:bCs w:val="1"/>
          <w:color w:val="auto"/>
        </w:rPr>
        <w:t xml:space="preserve"> </w:t>
      </w:r>
      <w:r>
        <w:rPr>
          <w:rFonts w:ascii="Arial" w:cs="Arial" w:eastAsia="Arial" w:hAnsi="Arial"/>
          <w:sz w:val="18"/>
          <w:szCs w:val="18"/>
          <w:color w:val="auto"/>
        </w:rPr>
        <w:t>Sixth Street Partners, which grants our origination partners the option to sell their production to a Guarantor Vehicle, offering them consistent execution and improved pricing, which ultimately drives Figure Connect volume through increased liquidity.</w:t>
      </w:r>
    </w:p>
    <w:p>
      <w:pPr>
        <w:spacing w:after="0" w:line="122" w:lineRule="exact"/>
        <w:rPr>
          <w:rFonts w:ascii="Arial" w:cs="Arial" w:eastAsia="Arial" w:hAnsi="Arial"/>
          <w:sz w:val="18"/>
          <w:szCs w:val="18"/>
          <w:color w:val="auto"/>
        </w:rPr>
      </w:pPr>
    </w:p>
    <w:p>
      <w:pPr>
        <w:jc w:val="both"/>
        <w:ind w:left="640" w:hanging="322"/>
        <w:spacing w:after="0" w:line="259"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Inclusion of third-party homogeneous assets, enabled by artificial intelligence: </w:t>
      </w:r>
      <w:r>
        <w:rPr>
          <w:rFonts w:ascii="Arial" w:cs="Arial" w:eastAsia="Arial" w:hAnsi="Arial"/>
          <w:sz w:val="18"/>
          <w:szCs w:val="18"/>
          <w:color w:val="auto"/>
        </w:rPr>
        <w:t>We are introducing a Figure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Certified program that employs proprietary technology and artificial intelligence to validate assets originated by third parties outside of our platform against our LOS underwriting guidelines, such that we can confidently tokenize the loans on the Provenance Blockchain and also support the sale of those assets via Figure Connect. Figure Certified loans would be allowed to transact in Figure Connect, increasing the scope of our marketplace beyond</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9900"/>
          </w:cols>
          <w:pgMar w:left="1000" w:top="1440" w:right="99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6534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565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40"/>
        <w:spacing w:after="0" w:line="287" w:lineRule="auto"/>
        <w:rPr>
          <w:sz w:val="20"/>
          <w:szCs w:val="20"/>
          <w:color w:val="auto"/>
        </w:rPr>
      </w:pPr>
      <w:r>
        <w:rPr>
          <w:rFonts w:ascii="Arial" w:cs="Arial" w:eastAsia="Arial" w:hAnsi="Arial"/>
          <w:sz w:val="18"/>
          <w:szCs w:val="18"/>
          <w:color w:val="auto"/>
        </w:rPr>
        <w:t>our LOS originated assets without losing the benefits of homogeneous collateral. We are targeting a launch of the Figure Certified program by the fourth quarter of 2025.</w:t>
      </w:r>
    </w:p>
    <w:p>
      <w:pPr>
        <w:spacing w:after="0" w:line="9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We expect Figure Connect to continue to grow in terms of volume and participants, as well as via the introduction of new assets, but we acknowledge that the environment may change, which could slow down such growth.</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Launch Additional Products and Capabilities on Figure Exchange</w:t>
      </w:r>
    </w:p>
    <w:p>
      <w:pPr>
        <w:spacing w:after="0" w:line="1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Figure Exchange technology is applicable to a broad range of products, including securities backed by tokenized real-world assets. We plan to add tokenized real -world assets to our ATS to increase participants and volume. For example, in the future we plan to grant Figure Exchange customers access to private company equity offered for secondary trading and bankruptcy claims created on-chain, effectively providing liquidity in these illiquid markets. To conduct an offering of secondary shares via our ATS, the customer would tokenize the applicable shares in the capitalization table (i.e., tokens would be minted representing the percentage of equity owned by each shareholder). Those tokens, because they represent securities, could trade on the ATS and effectively support secondary trading. A similar process would support the trading of bankruptcy claims—a bankruptcy estate could tokenize bankruptcy claims on the Provenance Blockchain by minting tokens representing those claims and since these claims are not securities, they would trade on the Figure Exchange. While we plan to offer access to private company equity for secondary trading and bankruptcy claims created on-chain in the future, we currently do not offer access to such products and do not have an established timeline for when these features will be supported. As the spectrum of listed digital assets increases on Figure Exchange, the benefits of our Democratized Prime offering will become more noticeable, fostering heightened disintermediated trading activity and further unlocking growth and liquidity.</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Drive YLDS Adoption</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plan to build out an institutional sales team that is focused on encouraging usage of YLDS by asset managers, fintechs, banks, market makers, exchanges, and other financial market participants. Additionally, we will target retail users via social media outreach, paid ads and other online marketing channels. We believe that the custody and settlement advantages provided by Provenance Blockchain, combined with the credit quality and yield-product nature of the underlying assets that back YLDS, will prove to be a compelling value proposition for users and accelerate adoption. To drive initial adoption, Figure offers lower prices to early institutional buyers.</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Innovate on Technology Stack</w:t>
      </w:r>
    </w:p>
    <w:p>
      <w:pPr>
        <w:spacing w:after="0" w:line="169"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Continuous innovation in our technology stack is a critical lever for our future growth. We expect to continue to introduce new products and services, and to develop new capabilities that will streamline underwriting, enhance loan registration, and optimize trading efficiency and portfolio monitoring.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900"/>
          </w:cols>
          <w:pgMar w:left="1000" w:top="1440" w:right="99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61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746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Technology has allowed us to pursue multiple avenues of expansion today, and we want to continue to invest into it to drive future innovations, executing on what we see as a substantial runway for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71"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titled “</w:t>
      </w:r>
      <w:r>
        <w:rPr>
          <w:rFonts w:ascii="Arial" w:cs="Arial" w:eastAsia="Arial" w:hAnsi="Arial"/>
          <w:sz w:val="18"/>
          <w:szCs w:val="18"/>
          <w:u w:val="single" w:color="auto"/>
          <w:color w:val="0000FF"/>
        </w:rPr>
        <w:t>Risk</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Factors</w:t>
      </w:r>
      <w:r>
        <w:rPr>
          <w:rFonts w:ascii="Arial" w:cs="Arial" w:eastAsia="Arial" w:hAnsi="Arial"/>
          <w:sz w:val="18"/>
          <w:szCs w:val="18"/>
          <w:color w:val="000000"/>
        </w:rPr>
        <w:t>” immediately following this prospectus summary. The following is a summary of the principal risks we face:</w:t>
      </w:r>
    </w:p>
    <w:p>
      <w:pPr>
        <w:spacing w:after="0" w:line="99" w:lineRule="exact"/>
        <w:rPr>
          <w:sz w:val="20"/>
          <w:szCs w:val="20"/>
          <w:color w:val="auto"/>
        </w:rPr>
      </w:pPr>
    </w:p>
    <w:p>
      <w:pPr>
        <w:ind w:left="640" w:right="20" w:hanging="322"/>
        <w:spacing w:after="0" w:line="287"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history of losses, we may not be able to maintain profitability in the future, and there is no assurance that our revenue and business model will be successful.</w:t>
      </w:r>
    </w:p>
    <w:p>
      <w:pPr>
        <w:spacing w:after="0" w:line="98" w:lineRule="exact"/>
        <w:rPr>
          <w:rFonts w:ascii="Arial" w:cs="Arial" w:eastAsia="Arial" w:hAnsi="Arial"/>
          <w:sz w:val="18"/>
          <w:szCs w:val="18"/>
          <w:color w:val="auto"/>
        </w:rPr>
      </w:pPr>
    </w:p>
    <w:p>
      <w:pPr>
        <w:ind w:left="640" w:right="20" w:hanging="322"/>
        <w:spacing w:after="0" w:line="287"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effectively manage our growth, our business, financial condition, and results of operations could be adversely affected.</w:t>
      </w:r>
    </w:p>
    <w:p>
      <w:pPr>
        <w:spacing w:after="0" w:line="98" w:lineRule="exact"/>
        <w:rPr>
          <w:rFonts w:ascii="Arial" w:cs="Arial" w:eastAsia="Arial" w:hAnsi="Arial"/>
          <w:sz w:val="18"/>
          <w:szCs w:val="18"/>
          <w:color w:val="auto"/>
        </w:rPr>
      </w:pPr>
    </w:p>
    <w:p>
      <w:pPr>
        <w:jc w:val="both"/>
        <w:ind w:left="640" w:hanging="322"/>
        <w:spacing w:after="0" w:line="268"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Substantially all of our revenue is derived from our HELOC product, and we are thus particularly susceptible to fluctuations in the HELOC market. Our current product offerings may also not be sufficiently broad to attract and retain partners.</w:t>
      </w:r>
    </w:p>
    <w:p>
      <w:pPr>
        <w:spacing w:after="0" w:line="116" w:lineRule="exact"/>
        <w:rPr>
          <w:rFonts w:ascii="Arial" w:cs="Arial" w:eastAsia="Arial" w:hAnsi="Arial"/>
          <w:sz w:val="18"/>
          <w:szCs w:val="18"/>
          <w:color w:val="auto"/>
        </w:rPr>
      </w:pPr>
    </w:p>
    <w:p>
      <w:pPr>
        <w:jc w:val="both"/>
        <w:ind w:left="640" w:right="20" w:hanging="322"/>
        <w:spacing w:after="0" w:line="268"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and ability to develop our lending business depend on retaining and expanding our reach through both our Figure-branded and Partner-branded strategies. If we or our partners fail to add new borrowers or customers, as applicable, our business, financial condition, and results of operations could be adversely affected.</w:t>
      </w:r>
    </w:p>
    <w:p>
      <w:pPr>
        <w:spacing w:after="0" w:line="116" w:lineRule="exact"/>
        <w:rPr>
          <w:rFonts w:ascii="Arial" w:cs="Arial" w:eastAsia="Arial" w:hAnsi="Arial"/>
          <w:sz w:val="18"/>
          <w:szCs w:val="18"/>
          <w:color w:val="auto"/>
        </w:rPr>
      </w:pPr>
    </w:p>
    <w:p>
      <w:pPr>
        <w:jc w:val="both"/>
        <w:ind w:left="640" w:right="20" w:hanging="322"/>
        <w:spacing w:after="0" w:line="268"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loans originated by us or through our platform and purchased by us do not perform, or significantly underperform, we may incur financial losses on the loans we hold on our balance sheet, which could adversely affect our business, financial condition, and results of operations, as well as result in the loss of confidence of our funding sources.</w:t>
      </w:r>
    </w:p>
    <w:p>
      <w:pPr>
        <w:spacing w:after="0" w:line="116" w:lineRule="exact"/>
        <w:rPr>
          <w:rFonts w:ascii="Arial" w:cs="Arial" w:eastAsia="Arial" w:hAnsi="Arial"/>
          <w:sz w:val="18"/>
          <w:szCs w:val="18"/>
          <w:color w:val="auto"/>
        </w:rPr>
      </w:pPr>
    </w:p>
    <w:p>
      <w:pPr>
        <w:jc w:val="both"/>
        <w:ind w:left="640" w:right="20" w:hanging="322"/>
        <w:spacing w:after="0" w:line="268"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borrower default rates on loans could make us and our loans less attractive to loan purchasers, lenders under warehouse credit facilities and investors in securitizations, which may adversely affect our access to financing and our business, financial condition, and results of operations.</w:t>
      </w:r>
    </w:p>
    <w:p>
      <w:pPr>
        <w:spacing w:after="0" w:line="116" w:lineRule="exact"/>
        <w:rPr>
          <w:rFonts w:ascii="Arial" w:cs="Arial" w:eastAsia="Arial" w:hAnsi="Arial"/>
          <w:sz w:val="18"/>
          <w:szCs w:val="18"/>
          <w:color w:val="auto"/>
        </w:rPr>
      </w:pPr>
    </w:p>
    <w:p>
      <w:pPr>
        <w:jc w:val="both"/>
        <w:ind w:left="640" w:hanging="322"/>
        <w:spacing w:after="0" w:line="262"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HELOCs and other loans we make, such as digital assets-secured personal loans, are subject to federal, state and local laws that regulate various aspects of lending, including disclosures, interest rates and other charges, and if we exceed applicable limitations on interest, loan charges, and other fees or fail to provide required disclosures, our business, financial condition, and results of operations could be significantly adversely affected, including but not</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9900"/>
          </w:cols>
          <w:pgMar w:left="1000" w:top="1440" w:right="999" w:bottom="1440"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02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22"/>
        <w:spacing w:after="0" w:line="287" w:lineRule="auto"/>
        <w:rPr>
          <w:sz w:val="20"/>
          <w:szCs w:val="20"/>
          <w:color w:val="auto"/>
        </w:rPr>
      </w:pPr>
      <w:r>
        <w:rPr>
          <w:rFonts w:ascii="Arial" w:cs="Arial" w:eastAsia="Arial" w:hAnsi="Arial"/>
          <w:sz w:val="18"/>
          <w:szCs w:val="18"/>
          <w:color w:val="auto"/>
        </w:rPr>
        <w:t>limited to, through litigation (including damages), investigation, enforcement and other regulatory and legal action and penalties.</w:t>
      </w:r>
    </w:p>
    <w:p>
      <w:pPr>
        <w:spacing w:after="0" w:line="99" w:lineRule="exact"/>
        <w:rPr>
          <w:sz w:val="20"/>
          <w:szCs w:val="20"/>
          <w:color w:val="auto"/>
        </w:rPr>
      </w:pPr>
    </w:p>
    <w:p>
      <w:pPr>
        <w:jc w:val="both"/>
        <w:ind w:left="322" w:hanging="322"/>
        <w:spacing w:after="0" w:line="262" w:lineRule="auto"/>
        <w:tabs>
          <w:tab w:leader="none" w:pos="317"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 court or regulator determines that our HELOCs cannot be characterized as a fixed-rate extension of “open-end credit” under the Truth in Lending Act (“TILA”) or state law, we would be subject to the more prescriptive closed-end mortgage laws and rules, as well as laws and rules applicable to variable-rate HELOCs, which would have a material adverse effect on our business, financial condition, and results of operations.</w:t>
      </w:r>
    </w:p>
    <w:p>
      <w:pPr>
        <w:spacing w:after="0" w:line="122" w:lineRule="exact"/>
        <w:rPr>
          <w:rFonts w:ascii="Arial" w:cs="Arial" w:eastAsia="Arial" w:hAnsi="Arial"/>
          <w:sz w:val="18"/>
          <w:szCs w:val="18"/>
          <w:color w:val="auto"/>
        </w:rPr>
      </w:pPr>
    </w:p>
    <w:p>
      <w:pPr>
        <w:jc w:val="both"/>
        <w:ind w:left="322" w:right="20" w:hanging="322"/>
        <w:spacing w:after="0" w:line="259" w:lineRule="auto"/>
        <w:tabs>
          <w:tab w:leader="none" w:pos="317"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particular digital asset, product or service’s status as a “security” in any relevant jurisdiction is subject to a high degree of uncertainty and if we are unable to properly characterize a digital asset or product offering, or if the regulatory framework with respect to digital assets changes, we may be subject to regulatory scrutiny, inquiries, investigations, fines, and other penalties, which may adversely affect our business, operating results, and financial condition.</w:t>
      </w:r>
    </w:p>
    <w:p>
      <w:pPr>
        <w:spacing w:after="0" w:line="125" w:lineRule="exact"/>
        <w:rPr>
          <w:rFonts w:ascii="Arial" w:cs="Arial" w:eastAsia="Arial" w:hAnsi="Arial"/>
          <w:sz w:val="18"/>
          <w:szCs w:val="18"/>
          <w:color w:val="auto"/>
        </w:rPr>
      </w:pPr>
    </w:p>
    <w:p>
      <w:pPr>
        <w:jc w:val="both"/>
        <w:ind w:left="322" w:hanging="322"/>
        <w:spacing w:after="0" w:line="268" w:lineRule="auto"/>
        <w:tabs>
          <w:tab w:leader="none" w:pos="317"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Depositing and withdrawing digital assets into and from Figure Exchange involve risks, which could result in loss of customer assets, customer disputes and other liabilities, and adversely impact our business, financial condition, and results of operations.</w:t>
      </w:r>
    </w:p>
    <w:p>
      <w:pPr>
        <w:spacing w:after="0" w:line="116" w:lineRule="exact"/>
        <w:rPr>
          <w:rFonts w:ascii="Arial" w:cs="Arial" w:eastAsia="Arial" w:hAnsi="Arial"/>
          <w:sz w:val="18"/>
          <w:szCs w:val="18"/>
          <w:color w:val="auto"/>
        </w:rPr>
      </w:pPr>
    </w:p>
    <w:p>
      <w:pPr>
        <w:ind w:left="322" w:hanging="322"/>
        <w:spacing w:after="0" w:line="287" w:lineRule="auto"/>
        <w:tabs>
          <w:tab w:leader="none" w:pos="317"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significantly impacted by interest rates. Changes in prevailing interest rates or U.S. monetary policies that affect interest rates could adversely affect our business, financial condition, and results of operations.</w:t>
      </w:r>
    </w:p>
    <w:p>
      <w:pPr>
        <w:spacing w:after="0" w:line="98" w:lineRule="exact"/>
        <w:rPr>
          <w:rFonts w:ascii="Arial" w:cs="Arial" w:eastAsia="Arial" w:hAnsi="Arial"/>
          <w:sz w:val="18"/>
          <w:szCs w:val="18"/>
          <w:color w:val="auto"/>
        </w:rPr>
      </w:pPr>
    </w:p>
    <w:p>
      <w:pPr>
        <w:jc w:val="both"/>
        <w:ind w:left="322" w:right="20" w:hanging="322"/>
        <w:spacing w:after="0" w:line="262" w:lineRule="auto"/>
        <w:tabs>
          <w:tab w:leader="none" w:pos="317"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Technology disruptions or failures in, and cyberattacks or other breaches or incidents relating to, our operational, security or fraud-detection systems or infrastructure, or those of third parties with whom we do business, could disrupt our business, cause legal or reputational harm, and adversely affect our business, financial condition, and results of operations.</w:t>
      </w:r>
    </w:p>
    <w:p>
      <w:pPr>
        <w:spacing w:after="0" w:line="122" w:lineRule="exact"/>
        <w:rPr>
          <w:rFonts w:ascii="Arial" w:cs="Arial" w:eastAsia="Arial" w:hAnsi="Arial"/>
          <w:sz w:val="18"/>
          <w:szCs w:val="18"/>
          <w:color w:val="auto"/>
        </w:rPr>
      </w:pPr>
    </w:p>
    <w:p>
      <w:pPr>
        <w:jc w:val="both"/>
        <w:ind w:left="322" w:hanging="322"/>
        <w:spacing w:after="0" w:line="268" w:lineRule="auto"/>
        <w:tabs>
          <w:tab w:leader="none" w:pos="317"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financial condition, and results of operations could be adversely affected if we fail to adequately maintain, protect and enforce our intellectual property and proprietary rights or face allegations that our product offerings or conduct infringes on the intellectual property rights of third parties.</w:t>
      </w:r>
    </w:p>
    <w:p>
      <w:pPr>
        <w:spacing w:after="0" w:line="116" w:lineRule="exact"/>
        <w:rPr>
          <w:rFonts w:ascii="Arial" w:cs="Arial" w:eastAsia="Arial" w:hAnsi="Arial"/>
          <w:sz w:val="18"/>
          <w:szCs w:val="18"/>
          <w:color w:val="auto"/>
        </w:rPr>
      </w:pPr>
    </w:p>
    <w:p>
      <w:pPr>
        <w:ind w:left="322" w:hanging="322"/>
        <w:spacing w:after="0" w:line="287" w:lineRule="auto"/>
        <w:tabs>
          <w:tab w:leader="none" w:pos="317"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or facilitate compliance with a variety of federal, state, and local laws, including those related to lending and mortgages, money transmission, consumer protection, financial services and loan financings.</w:t>
      </w:r>
    </w:p>
    <w:p>
      <w:pPr>
        <w:spacing w:after="0" w:line="98" w:lineRule="exact"/>
        <w:rPr>
          <w:rFonts w:ascii="Arial" w:cs="Arial" w:eastAsia="Arial" w:hAnsi="Arial"/>
          <w:sz w:val="18"/>
          <w:szCs w:val="18"/>
          <w:color w:val="auto"/>
        </w:rPr>
      </w:pPr>
    </w:p>
    <w:p>
      <w:pPr>
        <w:ind w:left="322" w:hanging="322"/>
        <w:spacing w:after="0" w:line="287" w:lineRule="auto"/>
        <w:tabs>
          <w:tab w:leader="none" w:pos="317"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marketing practices involving relationships with third parties may expose us to risks of alleged Real Estate Settlement Procedures Act (the “RESPA”) violations.</w:t>
      </w:r>
    </w:p>
    <w:p>
      <w:pPr>
        <w:spacing w:after="0" w:line="98" w:lineRule="exact"/>
        <w:rPr>
          <w:rFonts w:ascii="Arial" w:cs="Arial" w:eastAsia="Arial" w:hAnsi="Arial"/>
          <w:sz w:val="18"/>
          <w:szCs w:val="18"/>
          <w:color w:val="auto"/>
        </w:rPr>
      </w:pPr>
    </w:p>
    <w:p>
      <w:pPr>
        <w:jc w:val="both"/>
        <w:ind w:left="322" w:hanging="322"/>
        <w:spacing w:after="0" w:line="268" w:lineRule="auto"/>
        <w:tabs>
          <w:tab w:leader="none" w:pos="317"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hold state licenses that result in substantial costs, including licensing fees and compliance costs, and our business, financial condition, and results of operations would be adversely affected if our licenses were impaired as a result of noncompliance with those requirements.</w:t>
      </w:r>
    </w:p>
    <w:p>
      <w:pPr>
        <w:spacing w:after="0" w:line="116" w:lineRule="exact"/>
        <w:rPr>
          <w:rFonts w:ascii="Arial" w:cs="Arial" w:eastAsia="Arial" w:hAnsi="Arial"/>
          <w:sz w:val="18"/>
          <w:szCs w:val="18"/>
          <w:color w:val="auto"/>
        </w:rPr>
      </w:pPr>
    </w:p>
    <w:p>
      <w:pPr>
        <w:jc w:val="both"/>
        <w:ind w:left="322" w:hanging="322"/>
        <w:spacing w:after="0" w:line="268" w:lineRule="auto"/>
        <w:tabs>
          <w:tab w:leader="none" w:pos="317" w:val="left"/>
        </w:tabs>
        <w:numPr>
          <w:ilvl w:val="0"/>
          <w:numId w:val="5"/>
        </w:numPr>
        <w:rPr>
          <w:rFonts w:ascii="Arial" w:cs="Arial" w:eastAsia="Arial" w:hAnsi="Arial"/>
          <w:sz w:val="18"/>
          <w:szCs w:val="18"/>
          <w:color w:val="auto"/>
        </w:rPr>
      </w:pPr>
      <w:r>
        <w:rPr>
          <w:rFonts w:ascii="Arial" w:cs="Arial" w:eastAsia="Arial" w:hAnsi="Arial"/>
          <w:sz w:val="18"/>
          <w:szCs w:val="18"/>
          <w:color w:val="auto"/>
        </w:rPr>
        <w:t>Litigation, regulatory actions, and compliance issues could subject us to significant fines, penalties, judgments, remediation costs, negative publicity, changes to our business model, and requirements resulting in increased expenses.</w:t>
      </w:r>
    </w:p>
    <w:p>
      <w:pPr>
        <w:spacing w:after="0" w:line="116" w:lineRule="exact"/>
        <w:rPr>
          <w:rFonts w:ascii="Arial" w:cs="Arial" w:eastAsia="Arial" w:hAnsi="Arial"/>
          <w:sz w:val="18"/>
          <w:szCs w:val="18"/>
          <w:color w:val="auto"/>
        </w:rPr>
      </w:pPr>
    </w:p>
    <w:p>
      <w:pPr>
        <w:jc w:val="both"/>
        <w:ind w:left="322" w:right="20" w:hanging="322"/>
        <w:spacing w:after="0" w:line="268" w:lineRule="auto"/>
        <w:tabs>
          <w:tab w:leader="none" w:pos="317"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compliance and risk management policies, procedures and techniques may not be sufficient to identify all of the financial, legal, regulatory, and other risks to which we are exposed, and failure to identify and address such risks could adversely affect our business, financial condition, and results of operations.</w:t>
      </w:r>
    </w:p>
    <w:p>
      <w:pPr>
        <w:spacing w:after="0" w:line="116" w:lineRule="exact"/>
        <w:rPr>
          <w:rFonts w:ascii="Arial" w:cs="Arial" w:eastAsia="Arial" w:hAnsi="Arial"/>
          <w:sz w:val="18"/>
          <w:szCs w:val="18"/>
          <w:color w:val="auto"/>
        </w:rPr>
      </w:pPr>
    </w:p>
    <w:p>
      <w:pPr>
        <w:jc w:val="both"/>
        <w:ind w:left="322" w:right="20" w:hanging="322"/>
        <w:spacing w:after="0" w:line="268" w:lineRule="auto"/>
        <w:tabs>
          <w:tab w:leader="none" w:pos="317"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applicable laws and regulations, as well as changes in government enforcement policies and priorities, could materially increase our operating costs and negatively impact our ability to offer certain products or the terms and conditions upon which they are offered, and</w:t>
      </w:r>
    </w:p>
    <w:p>
      <w:pPr>
        <w:sectPr>
          <w:pgSz w:w="11900" w:h="16838" w:orient="portrait"/>
          <w:cols w:equalWidth="0" w:num="1">
            <w:col w:w="9582"/>
          </w:cols>
          <w:pgMar w:left="1318"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38"/>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9582"/>
          </w:cols>
          <w:pgMar w:left="1318" w:top="1440" w:right="999" w:bottom="144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990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699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40"/>
        <w:spacing w:after="0" w:line="287" w:lineRule="auto"/>
        <w:rPr>
          <w:sz w:val="20"/>
          <w:szCs w:val="20"/>
          <w:color w:val="auto"/>
        </w:rPr>
      </w:pPr>
      <w:r>
        <w:rPr>
          <w:rFonts w:ascii="Arial" w:cs="Arial" w:eastAsia="Arial" w:hAnsi="Arial"/>
          <w:sz w:val="18"/>
          <w:szCs w:val="18"/>
          <w:color w:val="auto"/>
        </w:rPr>
        <w:t>ability to compete, which could have a material adverse effect on our business, financial condition, and results of operations.</w:t>
      </w:r>
    </w:p>
    <w:p>
      <w:pPr>
        <w:spacing w:after="0" w:line="99" w:lineRule="exact"/>
        <w:rPr>
          <w:sz w:val="20"/>
          <w:szCs w:val="20"/>
          <w:color w:val="auto"/>
        </w:rPr>
      </w:pPr>
    </w:p>
    <w:p>
      <w:pPr>
        <w:jc w:val="both"/>
        <w:ind w:left="640" w:hanging="322"/>
        <w:spacing w:after="0" w:line="259"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fail to remedy these material weaknesses, experience additional material weaknesses in the future or otherwise fail to continue to design, implement and maintain effective internal control over financial reporting, we may not be able to accurately report our financial condition or results of operations which may adversely affect investor confidence in us, and, as a result, the value of our Class A common stock.</w:t>
      </w:r>
    </w:p>
    <w:p>
      <w:pPr>
        <w:spacing w:after="0" w:line="125" w:lineRule="exact"/>
        <w:rPr>
          <w:rFonts w:ascii="Arial" w:cs="Arial" w:eastAsia="Arial" w:hAnsi="Arial"/>
          <w:sz w:val="18"/>
          <w:szCs w:val="18"/>
          <w:color w:val="auto"/>
        </w:rPr>
      </w:pPr>
    </w:p>
    <w:p>
      <w:pPr>
        <w:jc w:val="both"/>
        <w:ind w:left="640" w:hanging="322"/>
        <w:spacing w:after="0" w:line="262"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dual-class structure of our common stock will have the effect of concentrating voting control with those stockholders who held our common stock prior to the completion of this offering, which will limit your ability to affect the outcome of key transactions, including a change in control, and it may depress the trading price of our Class A common stock.</w:t>
      </w:r>
    </w:p>
    <w:p>
      <w:pPr>
        <w:spacing w:after="0" w:line="122" w:lineRule="exact"/>
        <w:rPr>
          <w:rFonts w:ascii="Arial" w:cs="Arial" w:eastAsia="Arial" w:hAnsi="Arial"/>
          <w:sz w:val="18"/>
          <w:szCs w:val="18"/>
          <w:color w:val="auto"/>
        </w:rPr>
      </w:pPr>
    </w:p>
    <w:p>
      <w:pPr>
        <w:ind w:left="640" w:hanging="32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price of our Class A common stock may be volatile, and you could lose all or part of your investment.</w:t>
      </w:r>
    </w:p>
    <w:p>
      <w:pPr>
        <w:spacing w:after="0" w:line="171"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Our Risk Factors are not guarantees that no such conditions exist as of the date of this prospectus and should not be interpreted as an affirmative statement that such risks or conditions have not materialized, in whole or in part.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History</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legacy business of the “Figure” group was conducted through FT and its subsidiaries. FT was formed in 2018 and FLC was a wholly-owned subsidiary of FT from its formation in 2018 until the Separation. On January 25, 2024 and March 18, 2024, respectively, in connection with and to effectuate the Separation, FT created each of FMH and FTI as direct wholly-owned subsidiaries of FT. Following the formation of these entities, we completed the Separation through a series of steps, which resulted in, (i) FLC being the sole owner of certain lending-related intellectual property and commercial contracts that were previously owned by FT, (ii) FTI becoming a holding company whose principal assets were the shares it held in FLC, (iii) FMH becoming a separate company, and (iv) FT being a wholly-owned subsidiary of FMH.</w:t>
      </w:r>
    </w:p>
    <w:p>
      <w:pPr>
        <w:spacing w:after="0" w:line="1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connection with the Separation, we also entered into certain other agreements to provide a framework for our relationship with FMH after the Separation. For additional information, see the section titled “Certain Relationships and Related Party Transactions.”</w:t>
      </w:r>
    </w:p>
    <w:p>
      <w:pPr>
        <w:spacing w:after="0" w:line="117"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Additionally, in connection with the Separation, we assumed the 2018 Equity Incentive Plan, as amended, of FT (the “2018 Plan”), and all awards outstanding thereunder which we terminated as of one business day prior to the effectiveness of the registration statement of which this prospectus forms a part. However, each award outstanding under the 2018 Plan continues to be governed by the terms and conditions of the 2018 Plan following the effectiveness of the registration statement of which this prospectus forms a part. For additional information, see the section titled “Executive Compensation —2018 Equity Incentive Plan.”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April 28, 2025, FTI converted from a Delaware corporation to a Nevada corporation.</w:t>
      </w:r>
    </w:p>
    <w:p>
      <w:pPr>
        <w:spacing w:after="0" w:line="171" w:lineRule="exact"/>
        <w:rPr>
          <w:sz w:val="20"/>
          <w:szCs w:val="20"/>
          <w:color w:val="auto"/>
        </w:rPr>
      </w:pPr>
    </w:p>
    <w:p>
      <w:pPr>
        <w:ind w:left="320"/>
        <w:spacing w:after="0"/>
        <w:tabs>
          <w:tab w:leader="none" w:pos="108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 2025, we completed a series of transactions to effectuate the Recombination, which included:</w:t>
      </w:r>
    </w:p>
    <w:p>
      <w:pPr>
        <w:spacing w:after="0" w:line="171" w:lineRule="exact"/>
        <w:rPr>
          <w:sz w:val="20"/>
          <w:szCs w:val="20"/>
          <w:color w:val="auto"/>
        </w:rPr>
      </w:pPr>
    </w:p>
    <w:p>
      <w:pPr>
        <w:ind w:left="640" w:right="20" w:hanging="322"/>
        <w:spacing w:after="0" w:line="28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FTI creating a new subsidiary named Figure Merger Sub, Inc., a Nevada corporation (“FMS”), as a wholly-owned subsidiary of FTI; and</w:t>
      </w:r>
    </w:p>
    <w:p>
      <w:pPr>
        <w:spacing w:after="0" w:line="98" w:lineRule="exact"/>
        <w:rPr>
          <w:rFonts w:ascii="Arial" w:cs="Arial" w:eastAsia="Arial" w:hAnsi="Arial"/>
          <w:sz w:val="18"/>
          <w:szCs w:val="18"/>
          <w:color w:val="auto"/>
        </w:rPr>
      </w:pPr>
    </w:p>
    <w:p>
      <w:pPr>
        <w:ind w:left="640" w:hanging="32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FMS merging with and into FMH, with FMH surviving the merger as a wholly-owned subsidiary of FTI.</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9900"/>
          </w:cols>
          <w:pgMar w:left="1000" w:top="1440" w:right="999"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882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788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a result of the Recombination, (i) FTI is a holding company with its principal assets consisting of shares in FLC and FMH, (ii) FTI is the sole shareholder of FLC and FMH, (iii) FMH is a wholly-owned subsidiary of FTI, and (iv) FTI operates and controls all of the business and affairs of FLC, FMH, and their direct and indirect subsidiaries.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simplified diagram below depicts our organizational structure following the Recombination and after giving effect to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For additional information, see the sections titled “Risk Factors—Risks Related to the Recombination” and “Certain Relationships and Related Party Transactions.”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Investors, the media, and others should note that, following the effectiveness of the registration statement of which this prospectus forms a part, we intend to announce material information to the public through filings with the SEC, the investor relations page on our website, press releases, public conference calls, and webcasts.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9880"/>
          </w:cols>
          <w:pgMar w:left="1000" w:top="1440" w:right="1019" w:bottom="144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736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7573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information disclosed by the foregoing channels could be deemed to be material information. As such, we encourage investors, the media, and others to follow the channels listed above and to review the information disclosed through such channels. However, information disclosed through these channels does not constitute part of this prospectus and is not incorporated by reference herein.</w:t>
      </w:r>
    </w:p>
    <w:p>
      <w:pPr>
        <w:spacing w:after="0" w:line="12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We intend to post any updates to the list of disclosure channels through which we will announce information on the investor relations page on our website.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1"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FTI is the issuer of the Class A common stock offered by this prospectus. FTI was formed and incorporated in the State of Delaware on March 18, 2024. On April 28, 2025, FTI converted to a Nevada corporation. Our principal executive offices are located at 5 Bryant Park, 34th Floor, New York, NY 10018. Our telephone number is (917) 789 8049. Our website is https://www.figure.com. Information contained on, or that can be accessed through, our website is not a part of, and is not incorporated into, this prospectus, and the inclusion of our website address in this prospectus is an inactive textual reference only.</w:t>
      </w:r>
    </w:p>
    <w:p>
      <w:pPr>
        <w:spacing w:after="0" w:line="12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use Figure, the Figure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an endorsement or sponsorship of, any other entity.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(the “JOBS Act”). As such, we may take advantage of reduced disclosure and other requirements otherwise generally applicable to public companies, including:</w:t>
      </w:r>
    </w:p>
    <w:p>
      <w:pPr>
        <w:spacing w:after="0" w:line="117" w:lineRule="exact"/>
        <w:rPr>
          <w:sz w:val="20"/>
          <w:szCs w:val="20"/>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presentation of only two years of audited financial statements and related financial disclosure;</w:t>
      </w:r>
    </w:p>
    <w:p>
      <w:pPr>
        <w:spacing w:after="0" w:line="171" w:lineRule="exact"/>
        <w:rPr>
          <w:rFonts w:ascii="Arial" w:cs="Arial" w:eastAsia="Arial" w:hAnsi="Arial"/>
          <w:sz w:val="18"/>
          <w:szCs w:val="18"/>
          <w:color w:val="auto"/>
        </w:rPr>
      </w:pPr>
    </w:p>
    <w:p>
      <w:pPr>
        <w:ind w:left="640" w:right="20" w:hanging="322"/>
        <w:spacing w:after="0" w:line="28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exemption from the requirement to have our registered independent public accounting firm attest to management’s assessment of our internal control over financial reporting;</w:t>
      </w:r>
    </w:p>
    <w:p>
      <w:pPr>
        <w:spacing w:after="0" w:line="98" w:lineRule="exact"/>
        <w:rPr>
          <w:rFonts w:ascii="Arial" w:cs="Arial" w:eastAsia="Arial" w:hAnsi="Arial"/>
          <w:sz w:val="18"/>
          <w:szCs w:val="18"/>
          <w:color w:val="auto"/>
        </w:rPr>
      </w:pPr>
    </w:p>
    <w:p>
      <w:pPr>
        <w:ind w:left="640" w:right="20" w:hanging="322"/>
        <w:spacing w:after="0" w:line="28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exemption from compliance with the requirement of the Public Company Accounting Oversight Board, regarding the communication of critical audit matters in the auditor’s report on the financial statements;</w:t>
      </w:r>
    </w:p>
    <w:p>
      <w:pPr>
        <w:spacing w:after="0" w:line="98"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and</w:t>
      </w:r>
    </w:p>
    <w:p>
      <w:pPr>
        <w:spacing w:after="0" w:line="171" w:lineRule="exact"/>
        <w:rPr>
          <w:rFonts w:ascii="Arial" w:cs="Arial" w:eastAsia="Arial" w:hAnsi="Arial"/>
          <w:sz w:val="18"/>
          <w:szCs w:val="18"/>
          <w:color w:val="auto"/>
        </w:rPr>
      </w:pPr>
    </w:p>
    <w:p>
      <w:pPr>
        <w:ind w:left="640" w:right="20" w:hanging="322"/>
        <w:spacing w:after="0" w:line="28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exemption from the requirement to hold non-binding advisory votes on executive compensation or golden parachute arrangements.</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at least $1.235 billion in annual revenue; (ii) the date we qualify as a “large accelerated filer,” with at least $ 700.0 million of equity securities held by non-affiliates as of the last business day of our most recently completed second fiscal quarter; (iii) the date on which we have issued more than $1.0 billion in non-convertible debt securities during the prior three-year period; and (iv) the last day of the fiscal year ending after the fifth anniversary of our initial public offering.</w:t>
      </w:r>
    </w:p>
    <w:p>
      <w:pPr>
        <w:spacing w:after="0" w:line="125"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As a result of this status, we have taken advantage of reduced reporting requirements in this prospectus and may elect to take advantage of other reduced reporting requirements in our future filings with the SEC. In particular, in this prospectus, we have provided only two years of audited financial</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9900"/>
          </w:cols>
          <w:pgMar w:left="1000" w:top="1440" w:right="999" w:bottom="1440" w:gutter="0" w:footer="0" w:header="0"/>
          <w:type w:val="continuous"/>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24987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2498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statements and only two years of related management’s discussion and analysis of financial condition and results of operations, and we have not included all of the executive compensation-related information that would be required if we were not an emerging growth company. 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for complying with new or revised accounting standards until we are no longer an emerging growth company or until we affirmatively and irrevocably opt out of the extended transition period. As a result, our consolidated financial statements may not be comparable to the financial statements of companies that comply with new or revised accounting pronouncements as of public company effective dates.</w:t>
      </w:r>
    </w:p>
    <w:p>
      <w:pPr>
        <w:spacing w:after="0" w:line="12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For additional information, see the section titled “Risk Factors—Risks Related to Ownership of Our Securities—We are an ‘emerging growth company,’ and we cannot be certain if the reduced disclosure requirements applicable to emerging growth companies will make our Class A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9900"/>
          </w:cols>
          <w:pgMar w:left="1000" w:top="1440" w:right="99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884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588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9440"/>
          </w:cols>
          <w:pgMar w:left="1340" w:top="1440" w:right="1119" w:bottom="144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offered by us</w:t>
      </w:r>
    </w:p>
    <w:p>
      <w:pPr>
        <w:spacing w:after="0" w:line="77" w:lineRule="exact"/>
        <w:rPr>
          <w:sz w:val="20"/>
          <w:szCs w:val="20"/>
          <w:color w:val="auto"/>
        </w:rPr>
      </w:pPr>
    </w:p>
    <w:p>
      <w:pPr>
        <w:ind w:left="160" w:hanging="161"/>
        <w:spacing w:after="0" w:line="256" w:lineRule="auto"/>
        <w:rPr>
          <w:sz w:val="20"/>
          <w:szCs w:val="20"/>
          <w:color w:val="auto"/>
        </w:rPr>
      </w:pPr>
      <w:r>
        <w:rPr>
          <w:rFonts w:ascii="Arial" w:cs="Arial" w:eastAsia="Arial" w:hAnsi="Arial"/>
          <w:sz w:val="18"/>
          <w:szCs w:val="18"/>
          <w:color w:val="auto"/>
        </w:rPr>
        <w:t>Underwriters’ option to purchase additional shares of Class A common stock from us</w:t>
      </w:r>
    </w:p>
    <w:p>
      <w:pPr>
        <w:spacing w:after="0" w:line="31" w:lineRule="exact"/>
        <w:rPr>
          <w:sz w:val="20"/>
          <w:szCs w:val="20"/>
          <w:color w:val="auto"/>
        </w:rPr>
      </w:pPr>
    </w:p>
    <w:p>
      <w:pPr>
        <w:ind w:left="160" w:right="20" w:hanging="161"/>
        <w:spacing w:after="0" w:line="256" w:lineRule="auto"/>
        <w:rPr>
          <w:sz w:val="20"/>
          <w:szCs w:val="20"/>
          <w:color w:val="auto"/>
        </w:rPr>
      </w:pPr>
      <w:r>
        <w:rPr>
          <w:rFonts w:ascii="Arial" w:cs="Arial" w:eastAsia="Arial" w:hAnsi="Arial"/>
          <w:sz w:val="18"/>
          <w:szCs w:val="18"/>
          <w:color w:val="auto"/>
        </w:rPr>
        <w:t>Class A common stock to be outstanding immediately after this offering</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shares.</w:t>
      </w:r>
    </w:p>
    <w:p>
      <w:pPr>
        <w:spacing w:after="0" w:line="2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shares.</w:t>
      </w:r>
    </w:p>
    <w:p>
      <w:pPr>
        <w:spacing w:after="0" w:line="77" w:lineRule="exact"/>
        <w:rPr>
          <w:sz w:val="20"/>
          <w:szCs w:val="20"/>
          <w:color w:val="auto"/>
        </w:rPr>
      </w:pPr>
    </w:p>
    <w:p>
      <w:pPr>
        <w:ind w:right="140" w:firstLine="500"/>
        <w:spacing w:after="0" w:line="256" w:lineRule="auto"/>
        <w:rPr>
          <w:sz w:val="20"/>
          <w:szCs w:val="20"/>
          <w:color w:val="auto"/>
        </w:rPr>
      </w:pPr>
      <w:r>
        <w:rPr>
          <w:rFonts w:ascii="Arial" w:cs="Arial" w:eastAsia="Arial" w:hAnsi="Arial"/>
          <w:sz w:val="18"/>
          <w:szCs w:val="18"/>
          <w:color w:val="auto"/>
        </w:rPr>
        <w:t>shares (or shares if the underwriters exercise their option to purchase additional shares in full).</w:t>
      </w:r>
    </w:p>
    <w:p>
      <w:pPr>
        <w:spacing w:after="0" w:line="31" w:lineRule="exact"/>
        <w:rPr>
          <w:sz w:val="20"/>
          <w:szCs w:val="20"/>
          <w:color w:val="auto"/>
        </w:rPr>
      </w:pPr>
    </w:p>
    <w:p>
      <w:pPr>
        <w:sectPr>
          <w:pgSz w:w="11900" w:h="16838" w:orient="portrait"/>
          <w:cols w:equalWidth="0" w:num="2">
            <w:col w:w="4700" w:space="40"/>
            <w:col w:w="4700"/>
          </w:cols>
          <w:pgMar w:left="1340" w:top="1440" w:right="1119" w:bottom="1440" w:gutter="0" w:footer="0" w:header="0"/>
          <w:type w:val="continuous"/>
        </w:sectPr>
      </w:pPr>
    </w:p>
    <w:p>
      <w:pPr>
        <w:ind w:left="160" w:hanging="161"/>
        <w:spacing w:after="0" w:line="256" w:lineRule="auto"/>
        <w:rPr>
          <w:sz w:val="20"/>
          <w:szCs w:val="20"/>
          <w:color w:val="auto"/>
        </w:rPr>
      </w:pPr>
      <w:r>
        <w:rPr>
          <w:rFonts w:ascii="Arial" w:cs="Arial" w:eastAsia="Arial" w:hAnsi="Arial"/>
          <w:sz w:val="18"/>
          <w:szCs w:val="18"/>
          <w:color w:val="auto"/>
        </w:rPr>
        <w:t>Class B common stock to be outstanding immediately after this offering</w:t>
      </w:r>
    </w:p>
    <w:p>
      <w:pPr>
        <w:spacing w:after="0" w:line="31" w:lineRule="exact"/>
        <w:rPr>
          <w:sz w:val="20"/>
          <w:szCs w:val="20"/>
          <w:color w:val="auto"/>
        </w:rPr>
      </w:pPr>
    </w:p>
    <w:p>
      <w:pPr>
        <w:ind w:left="160" w:hanging="161"/>
        <w:spacing w:after="0" w:line="256" w:lineRule="auto"/>
        <w:rPr>
          <w:sz w:val="20"/>
          <w:szCs w:val="20"/>
          <w:color w:val="auto"/>
        </w:rPr>
      </w:pPr>
      <w:r>
        <w:rPr>
          <w:rFonts w:ascii="Arial" w:cs="Arial" w:eastAsia="Arial" w:hAnsi="Arial"/>
          <w:sz w:val="18"/>
          <w:szCs w:val="18"/>
          <w:color w:val="auto"/>
        </w:rPr>
        <w:t>Total Class A common stock and Class B common stock to be outstanding immediately after this offering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shares.</w:t>
      </w:r>
    </w:p>
    <w:p>
      <w:pPr>
        <w:spacing w:after="0" w:line="77" w:lineRule="exact"/>
        <w:rPr>
          <w:sz w:val="20"/>
          <w:szCs w:val="20"/>
          <w:color w:val="auto"/>
        </w:rPr>
      </w:pPr>
    </w:p>
    <w:p>
      <w:pPr>
        <w:ind w:right="140" w:firstLine="500"/>
        <w:spacing w:after="0" w:line="256" w:lineRule="auto"/>
        <w:rPr>
          <w:sz w:val="20"/>
          <w:szCs w:val="20"/>
          <w:color w:val="auto"/>
        </w:rPr>
      </w:pPr>
      <w:r>
        <w:rPr>
          <w:rFonts w:ascii="Arial" w:cs="Arial" w:eastAsia="Arial" w:hAnsi="Arial"/>
          <w:sz w:val="18"/>
          <w:szCs w:val="18"/>
          <w:color w:val="auto"/>
        </w:rPr>
        <w:t>shares (or shares if the underwriters exercise their option to purchase additional shares in full).</w:t>
      </w:r>
    </w:p>
    <w:p>
      <w:pPr>
        <w:spacing w:after="0" w:line="31"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We estimate that the net proceeds to us from the sale of shares of our Class A common stock in this offering will be</w:t>
      </w:r>
    </w:p>
    <w:p>
      <w:pPr>
        <w:spacing w:after="0" w:line="217" w:lineRule="auto"/>
        <w:tabs>
          <w:tab w:leader="none" w:pos="17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7"/>
          <w:szCs w:val="17"/>
          <w:color w:val="auto"/>
        </w:rPr>
        <w:t>million (or approximately</w:t>
      </w:r>
    </w:p>
    <w:p>
      <w:pPr>
        <w:ind w:right="240" w:firstLine="8"/>
        <w:spacing w:after="0" w:line="211"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million if the underwriters exercise their option to purchase additional shares in full), based upon the</w:t>
      </w:r>
    </w:p>
    <w:p>
      <w:pPr>
        <w:spacing w:after="0" w:line="1" w:lineRule="exact"/>
        <w:rPr>
          <w:sz w:val="20"/>
          <w:szCs w:val="20"/>
          <w:color w:val="auto"/>
        </w:rPr>
      </w:pPr>
    </w:p>
    <w:p>
      <w:pPr>
        <w:ind w:right="100"/>
        <w:spacing w:after="0" w:line="211" w:lineRule="auto"/>
        <w:rPr>
          <w:sz w:val="20"/>
          <w:szCs w:val="20"/>
          <w:color w:val="auto"/>
        </w:rPr>
      </w:pPr>
      <w:r>
        <w:rPr>
          <w:rFonts w:ascii="Arial" w:cs="Arial" w:eastAsia="Arial" w:hAnsi="Arial"/>
          <w:sz w:val="18"/>
          <w:szCs w:val="18"/>
          <w:color w:val="auto"/>
        </w:rPr>
        <w:t>assumed initial public offering price of $ per share, which is the midpoint of the estimated offering price range</w:t>
      </w:r>
    </w:p>
    <w:p>
      <w:pPr>
        <w:spacing w:after="0" w:line="1" w:lineRule="exact"/>
        <w:rPr>
          <w:sz w:val="20"/>
          <w:szCs w:val="20"/>
          <w:color w:val="auto"/>
        </w:rPr>
      </w:pPr>
    </w:p>
    <w:p>
      <w:pPr>
        <w:jc w:val="both"/>
        <w:ind w:right="280"/>
        <w:spacing w:after="0" w:line="221" w:lineRule="auto"/>
        <w:rPr>
          <w:sz w:val="20"/>
          <w:szCs w:val="20"/>
          <w:color w:val="auto"/>
        </w:rPr>
      </w:pPr>
      <w:r>
        <w:rPr>
          <w:rFonts w:ascii="Arial" w:cs="Arial" w:eastAsia="Arial" w:hAnsi="Arial"/>
          <w:sz w:val="18"/>
          <w:szCs w:val="18"/>
          <w:color w:val="auto"/>
        </w:rPr>
        <w:t>set forth on the cover page of this prospectus, and after deducting underwriting discounts and commissions and estimated offering expenses payable by us.</w:t>
      </w:r>
    </w:p>
    <w:p>
      <w:pPr>
        <w:spacing w:after="0" w:line="229" w:lineRule="auto"/>
        <w:rPr>
          <w:sz w:val="20"/>
          <w:szCs w:val="20"/>
          <w:color w:val="auto"/>
        </w:rPr>
      </w:pPr>
      <w:r>
        <w:rPr>
          <w:rFonts w:ascii="Arial" w:cs="Arial" w:eastAsia="Arial" w:hAnsi="Arial"/>
          <w:sz w:val="18"/>
          <w:szCs w:val="18"/>
          <w:color w:val="auto"/>
        </w:rPr>
        <w:t>The principal purposes of this offering are to increase our</w:t>
      </w:r>
    </w:p>
    <w:p>
      <w:pPr>
        <w:spacing w:after="0" w:line="221" w:lineRule="auto"/>
        <w:rPr>
          <w:sz w:val="20"/>
          <w:szCs w:val="20"/>
          <w:color w:val="auto"/>
        </w:rPr>
      </w:pPr>
      <w:r>
        <w:rPr>
          <w:rFonts w:ascii="Arial" w:cs="Arial" w:eastAsia="Arial" w:hAnsi="Arial"/>
          <w:sz w:val="17"/>
          <w:szCs w:val="17"/>
          <w:color w:val="auto"/>
        </w:rPr>
        <w:t>capitalization and financial flexibility, create a public market for our Class A common stock, facilitate future access to the public equity markets by us, our employees, and our</w:t>
      </w:r>
    </w:p>
    <w:p>
      <w:pPr>
        <w:spacing w:after="0" w:line="208" w:lineRule="auto"/>
        <w:rPr>
          <w:sz w:val="20"/>
          <w:szCs w:val="20"/>
          <w:color w:val="auto"/>
        </w:rPr>
      </w:pPr>
      <w:r>
        <w:rPr>
          <w:rFonts w:ascii="Arial" w:cs="Arial" w:eastAsia="Arial" w:hAnsi="Arial"/>
          <w:sz w:val="18"/>
          <w:szCs w:val="18"/>
          <w:color w:val="auto"/>
        </w:rPr>
        <w:t>stockholders, and increase our visibility in the marketplace. We intend to use the net proceeds from this offering for general corporate purposes, including working capital,</w:t>
      </w:r>
    </w:p>
    <w:p>
      <w:pPr>
        <w:spacing w:after="0" w:line="2" w:lineRule="exact"/>
        <w:rPr>
          <w:sz w:val="20"/>
          <w:szCs w:val="20"/>
          <w:color w:val="auto"/>
        </w:rPr>
      </w:pPr>
    </w:p>
    <w:p>
      <w:pPr>
        <w:ind w:right="20"/>
        <w:spacing w:after="0" w:line="221" w:lineRule="auto"/>
        <w:rPr>
          <w:sz w:val="20"/>
          <w:szCs w:val="20"/>
          <w:color w:val="auto"/>
        </w:rPr>
      </w:pPr>
      <w:r>
        <w:rPr>
          <w:rFonts w:ascii="Arial" w:cs="Arial" w:eastAsia="Arial" w:hAnsi="Arial"/>
          <w:sz w:val="17"/>
          <w:szCs w:val="17"/>
          <w:color w:val="auto"/>
        </w:rPr>
        <w:t>operating expenses, and capital expenditures. Additionally, we may use a portion of the net proceeds to acquire or invest in businesses, products, services, or technologies.</w:t>
      </w:r>
    </w:p>
    <w:p>
      <w:pPr>
        <w:ind w:right="80"/>
        <w:spacing w:after="0" w:line="208" w:lineRule="auto"/>
        <w:rPr>
          <w:sz w:val="20"/>
          <w:szCs w:val="20"/>
          <w:color w:val="auto"/>
        </w:rPr>
      </w:pPr>
      <w:r>
        <w:rPr>
          <w:rFonts w:ascii="Arial" w:cs="Arial" w:eastAsia="Arial" w:hAnsi="Arial"/>
          <w:sz w:val="18"/>
          <w:szCs w:val="18"/>
          <w:color w:val="auto"/>
        </w:rPr>
        <w:t>However, we do not have agreements or commitments for any material acquisitions or investments at this time. For additional information, see the section titled “Use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Proceeds.”</w:t>
      </w:r>
    </w:p>
    <w:p>
      <w:pPr>
        <w:spacing w:after="0" w:line="5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Each share of our Class A common stock will be entitled to one vote per share.</w:t>
      </w:r>
    </w:p>
    <w:p>
      <w:pPr>
        <w:ind w:right="20"/>
        <w:spacing w:after="0" w:line="245" w:lineRule="auto"/>
        <w:rPr>
          <w:sz w:val="20"/>
          <w:szCs w:val="20"/>
          <w:color w:val="auto"/>
        </w:rPr>
      </w:pPr>
      <w:r>
        <w:rPr>
          <w:rFonts w:ascii="Arial" w:cs="Arial" w:eastAsia="Arial" w:hAnsi="Arial"/>
          <w:sz w:val="18"/>
          <w:szCs w:val="18"/>
          <w:color w:val="auto"/>
        </w:rPr>
        <w:t>Each share of our Class B common stock will be entitled to ten votes per share.</w:t>
      </w:r>
    </w:p>
    <w:p>
      <w:pPr>
        <w:spacing w:after="0" w:line="200" w:lineRule="exact"/>
        <w:rPr>
          <w:sz w:val="20"/>
          <w:szCs w:val="20"/>
          <w:color w:val="auto"/>
        </w:rPr>
      </w:pPr>
    </w:p>
    <w:p>
      <w:pPr>
        <w:sectPr>
          <w:pgSz w:w="11900" w:h="16838" w:orient="portrait"/>
          <w:cols w:equalWidth="0" w:num="2">
            <w:col w:w="4680" w:space="60"/>
            <w:col w:w="4700"/>
          </w:cols>
          <w:pgMar w:left="1340" w:top="1440" w:right="11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9440"/>
          </w:cols>
          <w:pgMar w:left="1340" w:top="1440" w:right="1119" w:bottom="1440" w:gutter="0" w:footer="0" w:header="0"/>
          <w:type w:val="continuous"/>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25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6060" w:type="dxa"/>
            <w:vAlign w:val="bottom"/>
            <w:gridSpan w:val="7"/>
          </w:tcPr>
          <w:p>
            <w:pPr>
              <w:ind w:left="1380"/>
              <w:spacing w:after="0"/>
              <w:rPr>
                <w:sz w:val="20"/>
                <w:szCs w:val="20"/>
                <w:color w:val="auto"/>
              </w:rPr>
            </w:pPr>
            <w:r>
              <w:rPr>
                <w:rFonts w:ascii="Arial" w:cs="Arial" w:eastAsia="Arial" w:hAnsi="Arial"/>
                <w:sz w:val="18"/>
                <w:szCs w:val="18"/>
                <w:color w:val="auto"/>
              </w:rPr>
              <w:t>Holders of our Class A common stock and Class B</w:t>
            </w:r>
          </w:p>
        </w:tc>
      </w:tr>
      <w:tr>
        <w:trPr>
          <w:trHeight w:val="181"/>
        </w:trPr>
        <w:tc>
          <w:tcPr>
            <w:tcW w:w="3360" w:type="dxa"/>
            <w:vAlign w:val="bottom"/>
          </w:tcPr>
          <w:p>
            <w:pPr>
              <w:spacing w:after="0"/>
              <w:rPr>
                <w:sz w:val="15"/>
                <w:szCs w:val="15"/>
                <w:color w:val="auto"/>
              </w:rPr>
            </w:pPr>
          </w:p>
        </w:tc>
        <w:tc>
          <w:tcPr>
            <w:tcW w:w="6060" w:type="dxa"/>
            <w:vAlign w:val="bottom"/>
            <w:gridSpan w:val="7"/>
          </w:tcPr>
          <w:p>
            <w:pPr>
              <w:ind w:left="1380"/>
              <w:spacing w:after="0" w:line="181" w:lineRule="exact"/>
              <w:rPr>
                <w:sz w:val="20"/>
                <w:szCs w:val="20"/>
                <w:color w:val="auto"/>
              </w:rPr>
            </w:pPr>
            <w:r>
              <w:rPr>
                <w:rFonts w:ascii="Arial" w:cs="Arial" w:eastAsia="Arial" w:hAnsi="Arial"/>
                <w:sz w:val="18"/>
                <w:szCs w:val="18"/>
                <w:color w:val="auto"/>
              </w:rPr>
              <w:t>common stock will generally vote together as a single</w:t>
            </w:r>
          </w:p>
        </w:tc>
      </w:tr>
      <w:tr>
        <w:trPr>
          <w:trHeight w:val="176"/>
        </w:trPr>
        <w:tc>
          <w:tcPr>
            <w:tcW w:w="3360" w:type="dxa"/>
            <w:vAlign w:val="bottom"/>
          </w:tcPr>
          <w:p>
            <w:pPr>
              <w:spacing w:after="0"/>
              <w:rPr>
                <w:sz w:val="15"/>
                <w:szCs w:val="15"/>
                <w:color w:val="auto"/>
              </w:rPr>
            </w:pPr>
          </w:p>
        </w:tc>
        <w:tc>
          <w:tcPr>
            <w:tcW w:w="6060" w:type="dxa"/>
            <w:vAlign w:val="bottom"/>
            <w:gridSpan w:val="7"/>
          </w:tcPr>
          <w:p>
            <w:pPr>
              <w:ind w:left="1380"/>
              <w:spacing w:after="0" w:line="176" w:lineRule="exact"/>
              <w:rPr>
                <w:sz w:val="20"/>
                <w:szCs w:val="20"/>
                <w:color w:val="auto"/>
              </w:rPr>
            </w:pPr>
            <w:r>
              <w:rPr>
                <w:rFonts w:ascii="Arial" w:cs="Arial" w:eastAsia="Arial" w:hAnsi="Arial"/>
                <w:sz w:val="18"/>
                <w:szCs w:val="18"/>
                <w:color w:val="auto"/>
              </w:rPr>
              <w:t>class, unless otherwise required by law or our amended</w:t>
            </w:r>
          </w:p>
        </w:tc>
      </w:tr>
      <w:tr>
        <w:trPr>
          <w:trHeight w:val="184"/>
        </w:trPr>
        <w:tc>
          <w:tcPr>
            <w:tcW w:w="3360" w:type="dxa"/>
            <w:vAlign w:val="bottom"/>
          </w:tcPr>
          <w:p>
            <w:pPr>
              <w:spacing w:after="0"/>
              <w:rPr>
                <w:sz w:val="15"/>
                <w:szCs w:val="15"/>
                <w:color w:val="auto"/>
              </w:rPr>
            </w:pPr>
          </w:p>
        </w:tc>
        <w:tc>
          <w:tcPr>
            <w:tcW w:w="6060" w:type="dxa"/>
            <w:vAlign w:val="bottom"/>
            <w:gridSpan w:val="7"/>
          </w:tcPr>
          <w:p>
            <w:pPr>
              <w:ind w:left="1380"/>
              <w:spacing w:after="0" w:line="183" w:lineRule="exact"/>
              <w:rPr>
                <w:sz w:val="20"/>
                <w:szCs w:val="20"/>
                <w:color w:val="auto"/>
              </w:rPr>
            </w:pPr>
            <w:r>
              <w:rPr>
                <w:rFonts w:ascii="Arial" w:cs="Arial" w:eastAsia="Arial" w:hAnsi="Arial"/>
                <w:sz w:val="18"/>
                <w:szCs w:val="18"/>
                <w:color w:val="auto"/>
              </w:rPr>
              <w:t>and restated articles of incorporation. Immediately</w:t>
            </w:r>
          </w:p>
        </w:tc>
      </w:tr>
      <w:tr>
        <w:trPr>
          <w:trHeight w:val="181"/>
        </w:trPr>
        <w:tc>
          <w:tcPr>
            <w:tcW w:w="3360" w:type="dxa"/>
            <w:vAlign w:val="bottom"/>
          </w:tcPr>
          <w:p>
            <w:pPr>
              <w:spacing w:after="0"/>
              <w:rPr>
                <w:sz w:val="15"/>
                <w:szCs w:val="15"/>
                <w:color w:val="auto"/>
              </w:rPr>
            </w:pPr>
          </w:p>
        </w:tc>
        <w:tc>
          <w:tcPr>
            <w:tcW w:w="6060" w:type="dxa"/>
            <w:vAlign w:val="bottom"/>
            <w:gridSpan w:val="7"/>
          </w:tcPr>
          <w:p>
            <w:pPr>
              <w:ind w:left="1380"/>
              <w:spacing w:after="0" w:line="181" w:lineRule="exact"/>
              <w:rPr>
                <w:sz w:val="20"/>
                <w:szCs w:val="20"/>
                <w:color w:val="auto"/>
              </w:rPr>
            </w:pPr>
            <w:r>
              <w:rPr>
                <w:rFonts w:ascii="Arial" w:cs="Arial" w:eastAsia="Arial" w:hAnsi="Arial"/>
                <w:sz w:val="18"/>
                <w:szCs w:val="18"/>
                <w:color w:val="auto"/>
              </w:rPr>
              <w:t>following the completion of this offering, Michael Cagney,</w:t>
            </w:r>
          </w:p>
        </w:tc>
      </w:tr>
      <w:tr>
        <w:trPr>
          <w:trHeight w:val="176"/>
        </w:trPr>
        <w:tc>
          <w:tcPr>
            <w:tcW w:w="3360" w:type="dxa"/>
            <w:vAlign w:val="bottom"/>
          </w:tcPr>
          <w:p>
            <w:pPr>
              <w:spacing w:after="0"/>
              <w:rPr>
                <w:sz w:val="15"/>
                <w:szCs w:val="15"/>
                <w:color w:val="auto"/>
              </w:rPr>
            </w:pPr>
          </w:p>
        </w:tc>
        <w:tc>
          <w:tcPr>
            <w:tcW w:w="6060" w:type="dxa"/>
            <w:vAlign w:val="bottom"/>
            <w:gridSpan w:val="7"/>
          </w:tcPr>
          <w:p>
            <w:pPr>
              <w:ind w:left="1380"/>
              <w:spacing w:after="0" w:line="176" w:lineRule="exact"/>
              <w:rPr>
                <w:sz w:val="20"/>
                <w:szCs w:val="20"/>
                <w:color w:val="auto"/>
              </w:rPr>
            </w:pPr>
            <w:r>
              <w:rPr>
                <w:rFonts w:ascii="Arial" w:cs="Arial" w:eastAsia="Arial" w:hAnsi="Arial"/>
                <w:sz w:val="18"/>
                <w:szCs w:val="18"/>
                <w:color w:val="auto"/>
              </w:rPr>
              <w:t>our co-founder and member of our board of directors, and</w:t>
            </w:r>
          </w:p>
        </w:tc>
      </w:tr>
      <w:tr>
        <w:trPr>
          <w:trHeight w:val="184"/>
        </w:trPr>
        <w:tc>
          <w:tcPr>
            <w:tcW w:w="3360" w:type="dxa"/>
            <w:vAlign w:val="bottom"/>
          </w:tcPr>
          <w:p>
            <w:pPr>
              <w:spacing w:after="0"/>
              <w:rPr>
                <w:sz w:val="15"/>
                <w:szCs w:val="15"/>
                <w:color w:val="auto"/>
              </w:rPr>
            </w:pPr>
          </w:p>
        </w:tc>
        <w:tc>
          <w:tcPr>
            <w:tcW w:w="4520" w:type="dxa"/>
            <w:vAlign w:val="bottom"/>
            <w:gridSpan w:val="3"/>
          </w:tcPr>
          <w:p>
            <w:pPr>
              <w:ind w:left="1380"/>
              <w:spacing w:after="0" w:line="183" w:lineRule="exact"/>
              <w:rPr>
                <w:sz w:val="20"/>
                <w:szCs w:val="20"/>
                <w:color w:val="auto"/>
              </w:rPr>
            </w:pPr>
            <w:r>
              <w:rPr>
                <w:rFonts w:ascii="Arial" w:cs="Arial" w:eastAsia="Arial" w:hAnsi="Arial"/>
                <w:sz w:val="18"/>
                <w:szCs w:val="18"/>
                <w:color w:val="auto"/>
              </w:rPr>
              <w:t>his permitted transferees, will hold</w:t>
            </w:r>
          </w:p>
        </w:tc>
        <w:tc>
          <w:tcPr>
            <w:tcW w:w="1540" w:type="dxa"/>
            <w:vAlign w:val="bottom"/>
            <w:gridSpan w:val="4"/>
          </w:tcPr>
          <w:p>
            <w:pPr>
              <w:jc w:val="right"/>
              <w:ind w:right="40"/>
              <w:spacing w:after="0" w:line="183" w:lineRule="exact"/>
              <w:rPr>
                <w:sz w:val="20"/>
                <w:szCs w:val="20"/>
                <w:color w:val="auto"/>
              </w:rPr>
            </w:pPr>
            <w:r>
              <w:rPr>
                <w:rFonts w:ascii="Arial" w:cs="Arial" w:eastAsia="Arial" w:hAnsi="Arial"/>
                <w:sz w:val="18"/>
                <w:szCs w:val="18"/>
                <w:color w:val="auto"/>
              </w:rPr>
              <w:t>shares of Class B</w:t>
            </w:r>
          </w:p>
        </w:tc>
      </w:tr>
      <w:tr>
        <w:trPr>
          <w:trHeight w:val="181"/>
        </w:trPr>
        <w:tc>
          <w:tcPr>
            <w:tcW w:w="3360" w:type="dxa"/>
            <w:vAlign w:val="bottom"/>
          </w:tcPr>
          <w:p>
            <w:pPr>
              <w:spacing w:after="0"/>
              <w:rPr>
                <w:sz w:val="15"/>
                <w:szCs w:val="15"/>
                <w:color w:val="auto"/>
              </w:rPr>
            </w:pPr>
          </w:p>
        </w:tc>
        <w:tc>
          <w:tcPr>
            <w:tcW w:w="5240" w:type="dxa"/>
            <w:vAlign w:val="bottom"/>
            <w:gridSpan w:val="4"/>
          </w:tcPr>
          <w:p>
            <w:pPr>
              <w:ind w:left="1380"/>
              <w:spacing w:after="0" w:line="181" w:lineRule="exact"/>
              <w:rPr>
                <w:sz w:val="20"/>
                <w:szCs w:val="20"/>
                <w:color w:val="auto"/>
              </w:rPr>
            </w:pPr>
            <w:r>
              <w:rPr>
                <w:rFonts w:ascii="Arial" w:cs="Arial" w:eastAsia="Arial" w:hAnsi="Arial"/>
                <w:sz w:val="18"/>
                <w:szCs w:val="18"/>
                <w:color w:val="auto"/>
              </w:rPr>
              <w:t>common stock representing approximately</w:t>
            </w:r>
          </w:p>
        </w:tc>
        <w:tc>
          <w:tcPr>
            <w:tcW w:w="820" w:type="dxa"/>
            <w:vAlign w:val="bottom"/>
            <w:gridSpan w:val="3"/>
          </w:tcPr>
          <w:p>
            <w:pPr>
              <w:jc w:val="right"/>
              <w:ind w:right="140"/>
              <w:spacing w:after="0" w:line="181" w:lineRule="exact"/>
              <w:rPr>
                <w:sz w:val="20"/>
                <w:szCs w:val="20"/>
                <w:color w:val="auto"/>
              </w:rPr>
            </w:pPr>
            <w:r>
              <w:rPr>
                <w:rFonts w:ascii="Arial" w:cs="Arial" w:eastAsia="Arial" w:hAnsi="Arial"/>
                <w:sz w:val="18"/>
                <w:szCs w:val="18"/>
                <w:color w:val="auto"/>
                <w:w w:val="99"/>
              </w:rPr>
              <w:t>% of the</w:t>
            </w:r>
          </w:p>
        </w:tc>
      </w:tr>
      <w:tr>
        <w:trPr>
          <w:trHeight w:val="175"/>
        </w:trPr>
        <w:tc>
          <w:tcPr>
            <w:tcW w:w="3360" w:type="dxa"/>
            <w:vAlign w:val="bottom"/>
          </w:tcPr>
          <w:p>
            <w:pPr>
              <w:spacing w:after="0"/>
              <w:rPr>
                <w:sz w:val="15"/>
                <w:szCs w:val="15"/>
                <w:color w:val="auto"/>
              </w:rPr>
            </w:pPr>
          </w:p>
        </w:tc>
        <w:tc>
          <w:tcPr>
            <w:tcW w:w="6060" w:type="dxa"/>
            <w:vAlign w:val="bottom"/>
            <w:gridSpan w:val="7"/>
          </w:tcPr>
          <w:p>
            <w:pPr>
              <w:ind w:left="1380"/>
              <w:spacing w:after="0" w:line="176" w:lineRule="exact"/>
              <w:rPr>
                <w:sz w:val="20"/>
                <w:szCs w:val="20"/>
                <w:color w:val="auto"/>
              </w:rPr>
            </w:pPr>
            <w:r>
              <w:rPr>
                <w:rFonts w:ascii="Arial" w:cs="Arial" w:eastAsia="Arial" w:hAnsi="Arial"/>
                <w:sz w:val="18"/>
                <w:szCs w:val="18"/>
                <w:color w:val="auto"/>
                <w:w w:val="99"/>
              </w:rPr>
              <w:t>voting power of our outstanding capital stock, assuming no</w:t>
            </w:r>
          </w:p>
        </w:tc>
      </w:tr>
      <w:tr>
        <w:trPr>
          <w:trHeight w:val="184"/>
        </w:trPr>
        <w:tc>
          <w:tcPr>
            <w:tcW w:w="3360" w:type="dxa"/>
            <w:vAlign w:val="bottom"/>
          </w:tcPr>
          <w:p>
            <w:pPr>
              <w:spacing w:after="0"/>
              <w:rPr>
                <w:sz w:val="15"/>
                <w:szCs w:val="15"/>
                <w:color w:val="auto"/>
              </w:rPr>
            </w:pPr>
          </w:p>
        </w:tc>
        <w:tc>
          <w:tcPr>
            <w:tcW w:w="6060" w:type="dxa"/>
            <w:vAlign w:val="bottom"/>
            <w:gridSpan w:val="7"/>
          </w:tcPr>
          <w:p>
            <w:pPr>
              <w:ind w:left="1380"/>
              <w:spacing w:after="0" w:line="183" w:lineRule="exact"/>
              <w:rPr>
                <w:sz w:val="20"/>
                <w:szCs w:val="20"/>
                <w:color w:val="auto"/>
              </w:rPr>
            </w:pPr>
            <w:r>
              <w:rPr>
                <w:rFonts w:ascii="Arial" w:cs="Arial" w:eastAsia="Arial" w:hAnsi="Arial"/>
                <w:sz w:val="18"/>
                <w:szCs w:val="18"/>
                <w:color w:val="auto"/>
              </w:rPr>
              <w:t>exercise of the underwriters’ option to purchase additional</w:t>
            </w:r>
          </w:p>
        </w:tc>
      </w:tr>
      <w:tr>
        <w:trPr>
          <w:trHeight w:val="181"/>
        </w:trPr>
        <w:tc>
          <w:tcPr>
            <w:tcW w:w="3360" w:type="dxa"/>
            <w:vAlign w:val="bottom"/>
          </w:tcPr>
          <w:p>
            <w:pPr>
              <w:spacing w:after="0"/>
              <w:rPr>
                <w:sz w:val="15"/>
                <w:szCs w:val="15"/>
                <w:color w:val="auto"/>
              </w:rPr>
            </w:pPr>
          </w:p>
        </w:tc>
        <w:tc>
          <w:tcPr>
            <w:tcW w:w="5240" w:type="dxa"/>
            <w:vAlign w:val="bottom"/>
            <w:gridSpan w:val="4"/>
          </w:tcPr>
          <w:p>
            <w:pPr>
              <w:ind w:left="1380"/>
              <w:spacing w:after="0" w:line="181" w:lineRule="exact"/>
              <w:rPr>
                <w:sz w:val="20"/>
                <w:szCs w:val="20"/>
                <w:color w:val="auto"/>
              </w:rPr>
            </w:pPr>
            <w:r>
              <w:rPr>
                <w:rFonts w:ascii="Arial" w:cs="Arial" w:eastAsia="Arial" w:hAnsi="Arial"/>
                <w:sz w:val="18"/>
                <w:szCs w:val="18"/>
                <w:color w:val="auto"/>
              </w:rPr>
              <w:t>shares of Class A common stock. For additional</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3360" w:type="dxa"/>
            <w:vAlign w:val="bottom"/>
          </w:tcPr>
          <w:p>
            <w:pPr>
              <w:spacing w:after="0"/>
              <w:rPr>
                <w:sz w:val="15"/>
                <w:szCs w:val="15"/>
                <w:color w:val="auto"/>
              </w:rPr>
            </w:pPr>
          </w:p>
        </w:tc>
        <w:tc>
          <w:tcPr>
            <w:tcW w:w="6060" w:type="dxa"/>
            <w:vAlign w:val="bottom"/>
            <w:gridSpan w:val="7"/>
          </w:tcPr>
          <w:p>
            <w:pPr>
              <w:ind w:left="1380"/>
              <w:spacing w:after="0" w:line="176" w:lineRule="exact"/>
              <w:rPr>
                <w:sz w:val="20"/>
                <w:szCs w:val="20"/>
                <w:color w:val="auto"/>
              </w:rPr>
            </w:pPr>
            <w:r>
              <w:rPr>
                <w:rFonts w:ascii="Arial" w:cs="Arial" w:eastAsia="Arial" w:hAnsi="Arial"/>
                <w:sz w:val="18"/>
                <w:szCs w:val="18"/>
                <w:color w:val="auto"/>
              </w:rPr>
              <w:t>information, see the section titled “Description of Capital</w:t>
            </w:r>
          </w:p>
        </w:tc>
      </w:tr>
      <w:tr>
        <w:trPr>
          <w:trHeight w:val="239"/>
        </w:trPr>
        <w:tc>
          <w:tcPr>
            <w:tcW w:w="3360" w:type="dxa"/>
            <w:vAlign w:val="bottom"/>
          </w:tcPr>
          <w:p>
            <w:pPr>
              <w:spacing w:after="0"/>
              <w:rPr>
                <w:sz w:val="20"/>
                <w:szCs w:val="20"/>
                <w:color w:val="auto"/>
              </w:rPr>
            </w:pPr>
          </w:p>
        </w:tc>
        <w:tc>
          <w:tcPr>
            <w:tcW w:w="4520" w:type="dxa"/>
            <w:vAlign w:val="bottom"/>
            <w:gridSpan w:val="3"/>
          </w:tcPr>
          <w:p>
            <w:pPr>
              <w:ind w:left="1380"/>
              <w:spacing w:after="0"/>
              <w:rPr>
                <w:sz w:val="20"/>
                <w:szCs w:val="20"/>
                <w:color w:val="auto"/>
              </w:rPr>
            </w:pPr>
            <w:r>
              <w:rPr>
                <w:rFonts w:ascii="Arial" w:cs="Arial" w:eastAsia="Arial" w:hAnsi="Arial"/>
                <w:sz w:val="18"/>
                <w:szCs w:val="18"/>
                <w:color w:val="auto"/>
              </w:rPr>
              <w:t>Stock.”</w:t>
            </w: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3360" w:type="dxa"/>
            <w:vAlign w:val="bottom"/>
          </w:tcPr>
          <w:p>
            <w:pPr>
              <w:spacing w:after="0"/>
              <w:rPr>
                <w:sz w:val="20"/>
                <w:szCs w:val="20"/>
                <w:color w:val="auto"/>
              </w:rPr>
            </w:pPr>
            <w:r>
              <w:rPr>
                <w:rFonts w:ascii="Arial" w:cs="Arial" w:eastAsia="Arial" w:hAnsi="Arial"/>
                <w:sz w:val="18"/>
                <w:szCs w:val="18"/>
                <w:color w:val="auto"/>
              </w:rPr>
              <w:t>Risk factors</w:t>
            </w:r>
          </w:p>
        </w:tc>
        <w:tc>
          <w:tcPr>
            <w:tcW w:w="6060" w:type="dxa"/>
            <w:vAlign w:val="bottom"/>
            <w:gridSpan w:val="7"/>
          </w:tcPr>
          <w:p>
            <w:pPr>
              <w:ind w:left="1380"/>
              <w:spacing w:after="0"/>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color w:val="0000FF"/>
              </w:rPr>
              <w:t>Risk Factors</w:t>
            </w:r>
            <w:r>
              <w:rPr>
                <w:rFonts w:ascii="Arial" w:cs="Arial" w:eastAsia="Arial" w:hAnsi="Arial"/>
                <w:sz w:val="18"/>
                <w:szCs w:val="18"/>
                <w:color w:val="auto"/>
              </w:rPr>
              <w:t xml:space="preserve">” beginning on page </w:t>
            </w:r>
            <w:r>
              <w:rPr>
                <w:rFonts w:ascii="Arial" w:cs="Arial" w:eastAsia="Arial" w:hAnsi="Arial"/>
                <w:sz w:val="18"/>
                <w:szCs w:val="18"/>
                <w:color w:val="0000FF"/>
              </w:rPr>
              <w:t>30</w:t>
            </w:r>
          </w:p>
        </w:tc>
      </w:tr>
      <w:tr>
        <w:trPr>
          <w:trHeight w:val="156"/>
        </w:trPr>
        <w:tc>
          <w:tcPr>
            <w:tcW w:w="3360" w:type="dxa"/>
            <w:vAlign w:val="bottom"/>
          </w:tcPr>
          <w:p>
            <w:pPr>
              <w:spacing w:after="0"/>
              <w:rPr>
                <w:sz w:val="13"/>
                <w:szCs w:val="13"/>
                <w:color w:val="auto"/>
              </w:rPr>
            </w:pPr>
          </w:p>
        </w:tc>
        <w:tc>
          <w:tcPr>
            <w:tcW w:w="3160" w:type="dxa"/>
            <w:vAlign w:val="bottom"/>
          </w:tcPr>
          <w:p>
            <w:pPr>
              <w:ind w:left="1380"/>
              <w:spacing w:after="0" w:line="156" w:lineRule="exact"/>
              <w:rPr>
                <w:sz w:val="20"/>
                <w:szCs w:val="20"/>
                <w:color w:val="auto"/>
              </w:rPr>
            </w:pPr>
            <w:r>
              <w:rPr>
                <w:rFonts w:ascii="Arial" w:cs="Arial" w:eastAsia="Arial" w:hAnsi="Arial"/>
                <w:sz w:val="18"/>
                <w:szCs w:val="18"/>
                <w:color w:val="auto"/>
                <w:w w:val="87"/>
              </w:rPr>
              <w:t>and the other information</w:t>
            </w:r>
          </w:p>
        </w:tc>
        <w:tc>
          <w:tcPr>
            <w:tcW w:w="1000" w:type="dxa"/>
            <w:vAlign w:val="bottom"/>
            <w:tcBorders>
              <w:top w:val="single" w:sz="8" w:color="0000FF"/>
            </w:tcBorders>
          </w:tcPr>
          <w:p>
            <w:pPr>
              <w:ind w:left="280"/>
              <w:spacing w:after="0" w:line="156" w:lineRule="exact"/>
              <w:rPr>
                <w:sz w:val="20"/>
                <w:szCs w:val="20"/>
                <w:color w:val="auto"/>
              </w:rPr>
            </w:pPr>
            <w:r>
              <w:rPr>
                <w:rFonts w:ascii="Arial" w:cs="Arial" w:eastAsia="Arial" w:hAnsi="Arial"/>
                <w:sz w:val="18"/>
                <w:szCs w:val="18"/>
                <w:color w:val="auto"/>
              </w:rPr>
              <w:t>included</w:t>
            </w:r>
          </w:p>
        </w:tc>
        <w:tc>
          <w:tcPr>
            <w:tcW w:w="1640" w:type="dxa"/>
            <w:vAlign w:val="bottom"/>
            <w:gridSpan w:val="3"/>
          </w:tcPr>
          <w:p>
            <w:pPr>
              <w:spacing w:after="0" w:line="156" w:lineRule="exact"/>
              <w:rPr>
                <w:sz w:val="20"/>
                <w:szCs w:val="20"/>
                <w:color w:val="auto"/>
              </w:rPr>
            </w:pPr>
            <w:r>
              <w:rPr>
                <w:rFonts w:ascii="Arial" w:cs="Arial" w:eastAsia="Arial" w:hAnsi="Arial"/>
                <w:sz w:val="18"/>
                <w:szCs w:val="18"/>
                <w:color w:val="auto"/>
                <w:w w:val="97"/>
              </w:rPr>
              <w:t>in this prospectus for</w:t>
            </w:r>
          </w:p>
        </w:tc>
        <w:tc>
          <w:tcPr>
            <w:tcW w:w="200" w:type="dxa"/>
            <w:vAlign w:val="bottom"/>
            <w:tcBorders>
              <w:top w:val="single" w:sz="8" w:color="0000FF"/>
            </w:tcBorders>
          </w:tcPr>
          <w:p>
            <w:pPr>
              <w:jc w:val="right"/>
              <w:spacing w:after="0" w:line="156" w:lineRule="exact"/>
              <w:rPr>
                <w:sz w:val="20"/>
                <w:szCs w:val="20"/>
                <w:color w:val="auto"/>
              </w:rPr>
            </w:pPr>
            <w:r>
              <w:rPr>
                <w:rFonts w:ascii="Arial" w:cs="Arial" w:eastAsia="Arial" w:hAnsi="Arial"/>
                <w:sz w:val="18"/>
                <w:szCs w:val="18"/>
                <w:color w:val="auto"/>
              </w:rPr>
              <w:t>a</w:t>
            </w:r>
          </w:p>
        </w:tc>
        <w:tc>
          <w:tcPr>
            <w:tcW w:w="60" w:type="dxa"/>
            <w:vAlign w:val="bottom"/>
          </w:tcPr>
          <w:p>
            <w:pPr>
              <w:spacing w:after="0"/>
              <w:rPr>
                <w:sz w:val="13"/>
                <w:szCs w:val="13"/>
                <w:color w:val="auto"/>
              </w:rPr>
            </w:pPr>
          </w:p>
        </w:tc>
      </w:tr>
      <w:tr>
        <w:trPr>
          <w:trHeight w:val="176"/>
        </w:trPr>
        <w:tc>
          <w:tcPr>
            <w:tcW w:w="3360" w:type="dxa"/>
            <w:vAlign w:val="bottom"/>
          </w:tcPr>
          <w:p>
            <w:pPr>
              <w:spacing w:after="0"/>
              <w:rPr>
                <w:sz w:val="15"/>
                <w:szCs w:val="15"/>
                <w:color w:val="auto"/>
              </w:rPr>
            </w:pPr>
          </w:p>
        </w:tc>
        <w:tc>
          <w:tcPr>
            <w:tcW w:w="6060" w:type="dxa"/>
            <w:vAlign w:val="bottom"/>
            <w:gridSpan w:val="7"/>
          </w:tcPr>
          <w:p>
            <w:pPr>
              <w:ind w:left="1380"/>
              <w:spacing w:after="0" w:line="176" w:lineRule="exact"/>
              <w:rPr>
                <w:sz w:val="20"/>
                <w:szCs w:val="20"/>
                <w:color w:val="auto"/>
              </w:rPr>
            </w:pPr>
            <w:r>
              <w:rPr>
                <w:rFonts w:ascii="Arial" w:cs="Arial" w:eastAsia="Arial" w:hAnsi="Arial"/>
                <w:sz w:val="18"/>
                <w:szCs w:val="18"/>
                <w:color w:val="auto"/>
              </w:rPr>
              <w:t>discussion of factors you should carefully consider before</w:t>
            </w:r>
          </w:p>
        </w:tc>
      </w:tr>
      <w:tr>
        <w:trPr>
          <w:trHeight w:val="239"/>
        </w:trPr>
        <w:tc>
          <w:tcPr>
            <w:tcW w:w="3360" w:type="dxa"/>
            <w:vAlign w:val="bottom"/>
          </w:tcPr>
          <w:p>
            <w:pPr>
              <w:spacing w:after="0"/>
              <w:rPr>
                <w:sz w:val="20"/>
                <w:szCs w:val="20"/>
                <w:color w:val="auto"/>
              </w:rPr>
            </w:pPr>
          </w:p>
        </w:tc>
        <w:tc>
          <w:tcPr>
            <w:tcW w:w="5240" w:type="dxa"/>
            <w:vAlign w:val="bottom"/>
            <w:gridSpan w:val="4"/>
          </w:tcPr>
          <w:p>
            <w:pPr>
              <w:ind w:left="1380"/>
              <w:spacing w:after="0"/>
              <w:rPr>
                <w:sz w:val="20"/>
                <w:szCs w:val="20"/>
                <w:color w:val="auto"/>
              </w:rPr>
            </w:pPr>
            <w:r>
              <w:rPr>
                <w:rFonts w:ascii="Arial" w:cs="Arial" w:eastAsia="Arial" w:hAnsi="Arial"/>
                <w:sz w:val="18"/>
                <w:szCs w:val="18"/>
                <w:color w:val="auto"/>
              </w:rPr>
              <w:t>deciding to invest in our Class A common stock.</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8"/>
        </w:trPr>
        <w:tc>
          <w:tcPr>
            <w:tcW w:w="3360" w:type="dxa"/>
            <w:vAlign w:val="bottom"/>
          </w:tcPr>
          <w:p>
            <w:pPr>
              <w:spacing w:after="0"/>
              <w:rPr>
                <w:sz w:val="20"/>
                <w:szCs w:val="20"/>
                <w:color w:val="auto"/>
              </w:rPr>
            </w:pPr>
            <w:r>
              <w:rPr>
                <w:rFonts w:ascii="Arial" w:cs="Arial" w:eastAsia="Arial" w:hAnsi="Arial"/>
                <w:sz w:val="18"/>
                <w:szCs w:val="18"/>
                <w:color w:val="auto"/>
              </w:rPr>
              <w:t>Controlled Company</w:t>
            </w:r>
          </w:p>
        </w:tc>
        <w:tc>
          <w:tcPr>
            <w:tcW w:w="6060" w:type="dxa"/>
            <w:vAlign w:val="bottom"/>
            <w:gridSpan w:val="7"/>
          </w:tcPr>
          <w:p>
            <w:pPr>
              <w:ind w:left="1380"/>
              <w:spacing w:after="0"/>
              <w:rPr>
                <w:sz w:val="20"/>
                <w:szCs w:val="20"/>
                <w:color w:val="auto"/>
              </w:rPr>
            </w:pPr>
            <w:r>
              <w:rPr>
                <w:rFonts w:ascii="Arial" w:cs="Arial" w:eastAsia="Arial" w:hAnsi="Arial"/>
                <w:sz w:val="18"/>
                <w:szCs w:val="18"/>
                <w:color w:val="auto"/>
              </w:rPr>
              <w:t>Following this offering, we will be a “controlled company”</w:t>
            </w:r>
          </w:p>
        </w:tc>
      </w:tr>
      <w:tr>
        <w:trPr>
          <w:trHeight w:val="181"/>
        </w:trPr>
        <w:tc>
          <w:tcPr>
            <w:tcW w:w="3360" w:type="dxa"/>
            <w:vAlign w:val="bottom"/>
          </w:tcPr>
          <w:p>
            <w:pPr>
              <w:spacing w:after="0"/>
              <w:rPr>
                <w:sz w:val="15"/>
                <w:szCs w:val="15"/>
                <w:color w:val="auto"/>
              </w:rPr>
            </w:pPr>
          </w:p>
        </w:tc>
        <w:tc>
          <w:tcPr>
            <w:tcW w:w="6060" w:type="dxa"/>
            <w:vAlign w:val="bottom"/>
            <w:gridSpan w:val="7"/>
          </w:tcPr>
          <w:p>
            <w:pPr>
              <w:ind w:left="1380"/>
              <w:spacing w:after="0" w:line="181" w:lineRule="exact"/>
              <w:rPr>
                <w:sz w:val="20"/>
                <w:szCs w:val="20"/>
                <w:color w:val="auto"/>
              </w:rPr>
            </w:pPr>
            <w:r>
              <w:rPr>
                <w:rFonts w:ascii="Arial" w:cs="Arial" w:eastAsia="Arial" w:hAnsi="Arial"/>
                <w:sz w:val="18"/>
                <w:szCs w:val="18"/>
                <w:color w:val="auto"/>
              </w:rPr>
              <w:t>within the meaning of the corporate governance rules of</w:t>
            </w:r>
          </w:p>
        </w:tc>
      </w:tr>
      <w:tr>
        <w:trPr>
          <w:trHeight w:val="176"/>
        </w:trPr>
        <w:tc>
          <w:tcPr>
            <w:tcW w:w="3360" w:type="dxa"/>
            <w:vAlign w:val="bottom"/>
          </w:tcPr>
          <w:p>
            <w:pPr>
              <w:spacing w:after="0"/>
              <w:rPr>
                <w:sz w:val="15"/>
                <w:szCs w:val="15"/>
                <w:color w:val="auto"/>
              </w:rPr>
            </w:pPr>
          </w:p>
        </w:tc>
        <w:tc>
          <w:tcPr>
            <w:tcW w:w="6060" w:type="dxa"/>
            <w:vAlign w:val="bottom"/>
            <w:gridSpan w:val="7"/>
          </w:tcPr>
          <w:p>
            <w:pPr>
              <w:jc w:val="right"/>
              <w:ind w:right="40"/>
              <w:spacing w:after="0" w:line="176" w:lineRule="exact"/>
              <w:rPr>
                <w:sz w:val="20"/>
                <w:szCs w:val="20"/>
                <w:color w:val="auto"/>
              </w:rPr>
            </w:pPr>
            <w:r>
              <w:rPr>
                <w:rFonts w:ascii="Arial" w:cs="Arial" w:eastAsia="Arial" w:hAnsi="Arial"/>
                <w:sz w:val="18"/>
                <w:szCs w:val="18"/>
                <w:color w:val="auto"/>
              </w:rPr>
              <w:t>. For additional information, see the section titled</w:t>
            </w:r>
          </w:p>
        </w:tc>
      </w:tr>
      <w:tr>
        <w:trPr>
          <w:trHeight w:val="239"/>
        </w:trPr>
        <w:tc>
          <w:tcPr>
            <w:tcW w:w="3360" w:type="dxa"/>
            <w:vAlign w:val="bottom"/>
          </w:tcPr>
          <w:p>
            <w:pPr>
              <w:spacing w:after="0"/>
              <w:rPr>
                <w:sz w:val="20"/>
                <w:szCs w:val="20"/>
                <w:color w:val="auto"/>
              </w:rPr>
            </w:pPr>
          </w:p>
        </w:tc>
        <w:tc>
          <w:tcPr>
            <w:tcW w:w="4520" w:type="dxa"/>
            <w:vAlign w:val="bottom"/>
            <w:gridSpan w:val="3"/>
          </w:tcPr>
          <w:p>
            <w:pPr>
              <w:ind w:left="1380"/>
              <w:spacing w:after="0"/>
              <w:rPr>
                <w:sz w:val="20"/>
                <w:szCs w:val="20"/>
                <w:color w:val="auto"/>
              </w:rPr>
            </w:pPr>
            <w:r>
              <w:rPr>
                <w:rFonts w:ascii="Arial" w:cs="Arial" w:eastAsia="Arial" w:hAnsi="Arial"/>
                <w:sz w:val="18"/>
                <w:szCs w:val="18"/>
                <w:color w:val="auto"/>
              </w:rPr>
              <w:t>“Management—Controlled Company.”</w:t>
            </w: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8"/>
        </w:trPr>
        <w:tc>
          <w:tcPr>
            <w:tcW w:w="3360" w:type="dxa"/>
            <w:vAlign w:val="bottom"/>
          </w:tcPr>
          <w:p>
            <w:pPr>
              <w:spacing w:after="0"/>
              <w:rPr>
                <w:sz w:val="20"/>
                <w:szCs w:val="20"/>
                <w:color w:val="auto"/>
              </w:rPr>
            </w:pPr>
            <w:r>
              <w:rPr>
                <w:rFonts w:ascii="Arial" w:cs="Arial" w:eastAsia="Arial" w:hAnsi="Arial"/>
                <w:sz w:val="18"/>
                <w:szCs w:val="18"/>
                <w:color w:val="auto"/>
              </w:rPr>
              <w:t>Proposed trading symbol</w:t>
            </w:r>
          </w:p>
        </w:tc>
        <w:tc>
          <w:tcPr>
            <w:tcW w:w="4520" w:type="dxa"/>
            <w:vAlign w:val="bottom"/>
            <w:gridSpan w:val="3"/>
          </w:tcPr>
          <w:p>
            <w:pPr>
              <w:ind w:left="1380"/>
              <w:spacing w:after="0"/>
              <w:rPr>
                <w:sz w:val="20"/>
                <w:szCs w:val="20"/>
                <w:color w:val="auto"/>
              </w:rPr>
            </w:pPr>
            <w:r>
              <w:rPr>
                <w:rFonts w:ascii="Arial" w:cs="Arial" w:eastAsia="Arial" w:hAnsi="Arial"/>
                <w:sz w:val="18"/>
                <w:szCs w:val="18"/>
                <w:color w:val="auto"/>
              </w:rPr>
              <w:t>“FIGR”</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3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total number of shares of our Class A common stock and Class B common stock that will be outstanding</w:t>
      </w:r>
    </w:p>
    <w:p>
      <w:pPr>
        <w:spacing w:after="0" w:line="27" w:lineRule="exact"/>
        <w:rPr>
          <w:sz w:val="20"/>
          <w:szCs w:val="20"/>
          <w:color w:val="auto"/>
        </w:rPr>
      </w:pPr>
    </w:p>
    <w:p>
      <w:pPr>
        <w:spacing w:after="0"/>
        <w:tabs>
          <w:tab w:leader="none" w:pos="4060" w:val="left"/>
          <w:tab w:leader="none" w:pos="8100" w:val="left"/>
        </w:tabs>
        <w:rPr>
          <w:sz w:val="20"/>
          <w:szCs w:val="20"/>
          <w:color w:val="auto"/>
        </w:rPr>
      </w:pPr>
      <w:r>
        <w:rPr>
          <w:rFonts w:ascii="Arial" w:cs="Arial" w:eastAsia="Arial" w:hAnsi="Arial"/>
          <w:sz w:val="18"/>
          <w:szCs w:val="18"/>
          <w:color w:val="auto"/>
        </w:rPr>
        <w:t>immediately prior to this offering is based on</w:t>
      </w:r>
      <w:r>
        <w:rPr>
          <w:sz w:val="20"/>
          <w:szCs w:val="20"/>
          <w:color w:val="auto"/>
        </w:rPr>
        <w:tab/>
      </w:r>
      <w:r>
        <w:rPr>
          <w:rFonts w:ascii="Arial" w:cs="Arial" w:eastAsia="Arial" w:hAnsi="Arial"/>
          <w:sz w:val="18"/>
          <w:szCs w:val="18"/>
          <w:color w:val="auto"/>
        </w:rPr>
        <w:t>shares of our Class A common stock and</w:t>
      </w:r>
      <w:r>
        <w:rPr>
          <w:sz w:val="20"/>
          <w:szCs w:val="20"/>
          <w:color w:val="auto"/>
        </w:rPr>
        <w:tab/>
      </w:r>
      <w:r>
        <w:rPr>
          <w:rFonts w:ascii="Arial" w:cs="Arial" w:eastAsia="Arial" w:hAnsi="Arial"/>
          <w:sz w:val="18"/>
          <w:szCs w:val="18"/>
          <w:color w:val="auto"/>
        </w:rPr>
        <w:t>shares of our Class B</w:t>
      </w:r>
    </w:p>
    <w:p>
      <w:pPr>
        <w:spacing w:after="0" w:line="9"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common stock outstanding as of</w:t>
      </w:r>
      <w:r>
        <w:rPr>
          <w:sz w:val="20"/>
          <w:szCs w:val="20"/>
          <w:color w:val="auto"/>
        </w:rPr>
        <w:tab/>
      </w:r>
      <w:r>
        <w:rPr>
          <w:rFonts w:ascii="Arial" w:cs="Arial" w:eastAsia="Arial" w:hAnsi="Arial"/>
          <w:sz w:val="17"/>
          <w:szCs w:val="17"/>
          <w:color w:val="auto"/>
        </w:rPr>
        <w:t>, 2025, and reflects:</w:t>
      </w:r>
    </w:p>
    <w:p>
      <w:pPr>
        <w:spacing w:after="0" w:line="153" w:lineRule="exact"/>
        <w:rPr>
          <w:sz w:val="20"/>
          <w:szCs w:val="20"/>
          <w:color w:val="auto"/>
        </w:rPr>
      </w:pPr>
    </w:p>
    <w:p>
      <w:pPr>
        <w:ind w:left="320"/>
        <w:spacing w:after="0"/>
        <w:tabs>
          <w:tab w:leader="none" w:pos="1140" w:val="left"/>
          <w:tab w:leader="none" w:pos="8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redeemable convertible preferred stock that will automatically convert into</w:t>
      </w:r>
      <w:r>
        <w:rPr>
          <w:sz w:val="20"/>
          <w:szCs w:val="20"/>
          <w:color w:val="auto"/>
        </w:rPr>
        <w:tab/>
      </w:r>
      <w:r>
        <w:rPr>
          <w:rFonts w:ascii="Arial" w:cs="Arial" w:eastAsia="Arial" w:hAnsi="Arial"/>
          <w:sz w:val="17"/>
          <w:szCs w:val="17"/>
          <w:color w:val="auto"/>
        </w:rPr>
        <w:t>shares of common</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stock immediately prior to the completion of this offering (the “Capital Stock Conversion”);</w:t>
      </w:r>
    </w:p>
    <w:p>
      <w:pPr>
        <w:spacing w:after="0" w:line="153" w:lineRule="exact"/>
        <w:rPr>
          <w:sz w:val="20"/>
          <w:szCs w:val="20"/>
          <w:color w:val="auto"/>
        </w:rPr>
      </w:pPr>
    </w:p>
    <w:p>
      <w:pPr>
        <w:jc w:val="both"/>
        <w:ind w:left="640" w:hanging="322"/>
        <w:spacing w:after="0" w:line="268"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articles of incorporation and the effectiveness of our amended and restated bylaws, each of which will occur immediately prior to the completion of this offering and will effect the reclassification of our common stock into Class A common stock (the “Reclassification”);</w:t>
      </w:r>
    </w:p>
    <w:p>
      <w:pPr>
        <w:spacing w:after="0" w:line="116" w:lineRule="exact"/>
        <w:rPr>
          <w:rFonts w:ascii="Arial" w:cs="Arial" w:eastAsia="Arial" w:hAnsi="Arial"/>
          <w:sz w:val="18"/>
          <w:szCs w:val="18"/>
          <w:color w:val="auto"/>
        </w:rPr>
      </w:pPr>
    </w:p>
    <w:p>
      <w:pPr>
        <w:ind w:left="640" w:right="20" w:hanging="322"/>
        <w:spacing w:after="0" w:line="287" w:lineRule="auto"/>
        <w:tabs>
          <w:tab w:leader="none" w:pos="14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of our Class A common stock outstanding, which number of shares excludes the shares being exchanged in the Class B Stock Exchange described below; and</w:t>
      </w:r>
    </w:p>
    <w:p>
      <w:pPr>
        <w:spacing w:after="0" w:line="98" w:lineRule="exact"/>
        <w:rPr>
          <w:rFonts w:ascii="Arial" w:cs="Arial" w:eastAsia="Arial" w:hAnsi="Arial"/>
          <w:sz w:val="18"/>
          <w:szCs w:val="18"/>
          <w:color w:val="auto"/>
        </w:rPr>
      </w:pPr>
    </w:p>
    <w:p>
      <w:pPr>
        <w:ind w:left="1420" w:hanging="1102"/>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of our Class B common stock, which reflect shares of our Class A common stock outstanding</w:t>
      </w:r>
    </w:p>
    <w:p>
      <w:pPr>
        <w:spacing w:after="0" w:line="27" w:lineRule="exact"/>
        <w:rPr>
          <w:sz w:val="20"/>
          <w:szCs w:val="20"/>
          <w:color w:val="auto"/>
        </w:rPr>
      </w:pPr>
    </w:p>
    <w:p>
      <w:pPr>
        <w:jc w:val="both"/>
        <w:ind w:left="640"/>
        <w:spacing w:after="0" w:line="258" w:lineRule="auto"/>
        <w:rPr>
          <w:sz w:val="20"/>
          <w:szCs w:val="20"/>
          <w:color w:val="auto"/>
        </w:rPr>
      </w:pPr>
      <w:r>
        <w:rPr>
          <w:rFonts w:ascii="Arial" w:cs="Arial" w:eastAsia="Arial" w:hAnsi="Arial"/>
          <w:sz w:val="18"/>
          <w:szCs w:val="18"/>
          <w:color w:val="auto"/>
        </w:rPr>
        <w:t>beneficially owned by Mr. Cagney and Ms. Ou as of , that will be exchanged for an equivalent number of shares of our Class B common stock immediately prior to the completion of this offering pursuant to the terms of certain exchange agreements (the “Class B Stock Exchange”).</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total number of shares of Class A common stock and Class B common stock that will be outstanding immediately</w:t>
      </w:r>
    </w:p>
    <w:p>
      <w:pPr>
        <w:spacing w:after="0" w:line="27" w:lineRule="exact"/>
        <w:rPr>
          <w:sz w:val="20"/>
          <w:szCs w:val="20"/>
          <w:color w:val="auto"/>
        </w:rPr>
      </w:pPr>
    </w:p>
    <w:p>
      <w:pPr>
        <w:spacing w:after="0"/>
        <w:tabs>
          <w:tab w:leader="none" w:pos="2900" w:val="left"/>
          <w:tab w:leader="none" w:pos="6880" w:val="left"/>
        </w:tabs>
        <w:rPr>
          <w:sz w:val="20"/>
          <w:szCs w:val="20"/>
          <w:color w:val="auto"/>
        </w:rPr>
      </w:pPr>
      <w:r>
        <w:rPr>
          <w:rFonts w:ascii="Arial" w:cs="Arial" w:eastAsia="Arial" w:hAnsi="Arial"/>
          <w:sz w:val="18"/>
          <w:szCs w:val="18"/>
          <w:color w:val="auto"/>
        </w:rPr>
        <w:t>after this offering is based on</w:t>
      </w:r>
      <w:r>
        <w:rPr>
          <w:sz w:val="20"/>
          <w:szCs w:val="20"/>
          <w:color w:val="auto"/>
        </w:rPr>
        <w:tab/>
      </w:r>
      <w:r>
        <w:rPr>
          <w:rFonts w:ascii="Arial" w:cs="Arial" w:eastAsia="Arial" w:hAnsi="Arial"/>
          <w:sz w:val="18"/>
          <w:szCs w:val="18"/>
          <w:color w:val="auto"/>
        </w:rPr>
        <w:t>shares of our Class A common stock and</w:t>
      </w:r>
      <w:r>
        <w:rPr>
          <w:sz w:val="20"/>
          <w:szCs w:val="20"/>
          <w:color w:val="auto"/>
        </w:rPr>
        <w:tab/>
      </w:r>
      <w:r>
        <w:rPr>
          <w:rFonts w:ascii="Arial" w:cs="Arial" w:eastAsia="Arial" w:hAnsi="Arial"/>
          <w:sz w:val="18"/>
          <w:szCs w:val="18"/>
          <w:color w:val="auto"/>
        </w:rPr>
        <w:t>shares of our Class B common stock</w:t>
      </w:r>
    </w:p>
    <w:p>
      <w:pPr>
        <w:spacing w:after="0" w:line="9"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outstanding as of</w:t>
      </w:r>
      <w:r>
        <w:rPr>
          <w:sz w:val="20"/>
          <w:szCs w:val="20"/>
          <w:color w:val="auto"/>
        </w:rPr>
        <w:tab/>
      </w:r>
      <w:r>
        <w:rPr>
          <w:rFonts w:ascii="Arial" w:cs="Arial" w:eastAsia="Arial" w:hAnsi="Arial"/>
          <w:sz w:val="18"/>
          <w:szCs w:val="18"/>
          <w:color w:val="auto"/>
        </w:rPr>
        <w:t>, 2025, and after giving effect to the Capital Stock Conversion, the Reclassification, and the Class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Exchange, excludes:</w:t>
      </w:r>
    </w:p>
    <w:p>
      <w:pPr>
        <w:spacing w:after="0" w:line="153" w:lineRule="exact"/>
        <w:rPr>
          <w:sz w:val="20"/>
          <w:szCs w:val="20"/>
          <w:color w:val="auto"/>
        </w:rPr>
      </w:pPr>
    </w:p>
    <w:p>
      <w:pPr>
        <w:ind w:left="320"/>
        <w:spacing w:after="0"/>
        <w:tabs>
          <w:tab w:leader="none" w:pos="1140" w:val="left"/>
          <w:tab w:leader="none" w:pos="8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Class A common stock issuable upon the exercise of outstanding options as of</w:t>
      </w:r>
      <w:r>
        <w:rPr>
          <w:sz w:val="20"/>
          <w:szCs w:val="20"/>
          <w:color w:val="auto"/>
        </w:rPr>
        <w:tab/>
      </w:r>
      <w:r>
        <w:rPr>
          <w:rFonts w:ascii="Arial" w:cs="Arial" w:eastAsia="Arial" w:hAnsi="Arial"/>
          <w:sz w:val="17"/>
          <w:szCs w:val="17"/>
          <w:color w:val="auto"/>
        </w:rPr>
        <w:t>, 2025, with a</w:t>
      </w:r>
    </w:p>
    <w:p>
      <w:pPr>
        <w:spacing w:after="0" w:line="27" w:lineRule="exact"/>
        <w:rPr>
          <w:sz w:val="20"/>
          <w:szCs w:val="20"/>
          <w:color w:val="auto"/>
        </w:rPr>
      </w:pPr>
    </w:p>
    <w:p>
      <w:pPr>
        <w:ind w:left="640"/>
        <w:spacing w:after="0"/>
        <w:tabs>
          <w:tab w:leader="none" w:pos="4120" w:val="left"/>
        </w:tabs>
        <w:rPr>
          <w:sz w:val="20"/>
          <w:szCs w:val="20"/>
          <w:color w:val="auto"/>
        </w:rPr>
      </w:pPr>
      <w:r>
        <w:rPr>
          <w:rFonts w:ascii="Arial" w:cs="Arial" w:eastAsia="Arial" w:hAnsi="Arial"/>
          <w:sz w:val="18"/>
          <w:szCs w:val="18"/>
          <w:color w:val="auto"/>
        </w:rPr>
        <w:t>weighted-average exercise price of $</w:t>
      </w:r>
      <w:r>
        <w:rPr>
          <w:sz w:val="20"/>
          <w:szCs w:val="20"/>
          <w:color w:val="auto"/>
        </w:rPr>
        <w:tab/>
      </w:r>
      <w:r>
        <w:rPr>
          <w:rFonts w:ascii="Arial" w:cs="Arial" w:eastAsia="Arial" w:hAnsi="Arial"/>
          <w:sz w:val="17"/>
          <w:szCs w:val="17"/>
          <w:color w:val="auto"/>
        </w:rPr>
        <w:t>per share;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9900"/>
          </w:cols>
          <w:pgMar w:left="1000" w:top="1440" w:right="999" w:bottom="1440" w:gutter="0" w:footer="0" w:header="0"/>
          <w:type w:val="continuous"/>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hanging="4"/>
        <w:spacing w:after="0" w:line="287" w:lineRule="auto"/>
        <w:rPr>
          <w:sz w:val="20"/>
          <w:szCs w:val="20"/>
          <w:color w:val="auto"/>
        </w:rPr>
      </w:pPr>
      <w:r>
        <w:rPr>
          <w:rFonts w:ascii="Arial" w:cs="Arial" w:eastAsia="Arial" w:hAnsi="Arial"/>
          <w:sz w:val="18"/>
          <w:szCs w:val="18"/>
          <w:color w:val="auto"/>
        </w:rPr>
        <w:t>Restricted stock units (“RSUs”) covering</w:t>
      </w:r>
      <w:r>
        <w:rPr>
          <w:sz w:val="20"/>
          <w:szCs w:val="20"/>
          <w:color w:val="auto"/>
        </w:rPr>
        <w:t xml:space="preserve"> </w:t>
      </w:r>
      <w:r>
        <w:rPr>
          <w:rFonts w:ascii="Arial" w:cs="Arial" w:eastAsia="Arial" w:hAnsi="Arial"/>
          <w:sz w:val="18"/>
          <w:szCs w:val="18"/>
          <w:color w:val="auto"/>
        </w:rPr>
        <w:t>shares of Class A common stock as of issuable upon satisfaction of service-based and liquidity-based vesting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-792480</wp:posOffset>
            </wp:positionV>
            <wp:extent cx="7136130" cy="41103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411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2025, which are</w:t>
      </w:r>
    </w:p>
    <w:p>
      <w:pPr>
        <w:spacing w:after="0" w:line="398" w:lineRule="exact"/>
        <w:rPr>
          <w:sz w:val="20"/>
          <w:szCs w:val="20"/>
          <w:color w:val="auto"/>
        </w:rPr>
      </w:pPr>
    </w:p>
    <w:p>
      <w:pPr>
        <w:sectPr>
          <w:pgSz w:w="11900" w:h="16838" w:orient="portrait"/>
          <w:cols w:equalWidth="0" w:num="3">
            <w:col w:w="62" w:space="260"/>
            <w:col w:w="7260" w:space="720"/>
            <w:col w:w="1280"/>
          </w:cols>
          <w:pgMar w:left="1318" w:top="1440" w:right="999" w:bottom="1440" w:gutter="0" w:footer="0" w:header="0"/>
        </w:sectPr>
      </w:pPr>
    </w:p>
    <w:p>
      <w:pPr>
        <w:jc w:val="both"/>
        <w:ind w:left="322" w:hanging="322"/>
        <w:spacing w:after="0" w:line="259" w:lineRule="auto"/>
        <w:tabs>
          <w:tab w:leader="none" w:pos="10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2025 Incentive Award Plan (the “2025 Plan”), which will become effective on the day immediately prior to the date of effectiveness of the registration statement of which this prospectus forms a part, as well as any shares of Class A common stock that become available pursuant to provisions in the 2025 Plan that automatically increase the share reserve under the 2025 Plan; and</w:t>
      </w:r>
    </w:p>
    <w:p>
      <w:pPr>
        <w:spacing w:after="0" w:line="125" w:lineRule="exact"/>
        <w:rPr>
          <w:rFonts w:ascii="Arial" w:cs="Arial" w:eastAsia="Arial" w:hAnsi="Arial"/>
          <w:sz w:val="18"/>
          <w:szCs w:val="18"/>
          <w:color w:val="auto"/>
        </w:rPr>
      </w:pPr>
    </w:p>
    <w:p>
      <w:pPr>
        <w:jc w:val="both"/>
        <w:ind w:left="322" w:hanging="322"/>
        <w:spacing w:after="0" w:line="262" w:lineRule="auto"/>
        <w:tabs>
          <w:tab w:leader="none" w:pos="8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Employee Stock Purchase Plan (the “ESPP”), which will become effective on the day immediately prior to the date of effectiveness of the registration statement of which this prospectus forms a part, as well as any shares of Class A common stock that become available pursuant to provisions in the ESPP that automatically increase the share reserve under the ESPP.</w:t>
      </w:r>
    </w:p>
    <w:p>
      <w:pPr>
        <w:spacing w:after="0" w:line="122" w:lineRule="exact"/>
        <w:rPr>
          <w:sz w:val="20"/>
          <w:szCs w:val="20"/>
          <w:color w:val="auto"/>
        </w:rPr>
      </w:pPr>
    </w:p>
    <w:p>
      <w:pPr>
        <w:ind w:left="2" w:right="1220"/>
        <w:spacing w:after="0" w:line="464" w:lineRule="auto"/>
        <w:rPr>
          <w:sz w:val="20"/>
          <w:szCs w:val="20"/>
          <w:color w:val="auto"/>
        </w:rPr>
      </w:pPr>
      <w:r>
        <w:rPr>
          <w:rFonts w:ascii="Arial" w:cs="Arial" w:eastAsia="Arial" w:hAnsi="Arial"/>
          <w:sz w:val="17"/>
          <w:szCs w:val="17"/>
          <w:color w:val="auto"/>
        </w:rPr>
        <w:t>For additional information, see the section titled “Executive Compensation—Equity Compensation Plans.” Except as otherwise indicated, all information in this prospectus assumes or gives effect to the following:</w:t>
      </w:r>
    </w:p>
    <w:p>
      <w:pPr>
        <w:ind w:left="322" w:hanging="322"/>
        <w:spacing w:after="0"/>
        <w:tabs>
          <w:tab w:leader="none" w:pos="32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completion of the Recombination;</w:t>
      </w:r>
    </w:p>
    <w:p>
      <w:pPr>
        <w:spacing w:after="0" w:line="171" w:lineRule="exact"/>
        <w:rPr>
          <w:rFonts w:ascii="Arial" w:cs="Arial" w:eastAsia="Arial" w:hAnsi="Arial"/>
          <w:sz w:val="18"/>
          <w:szCs w:val="18"/>
          <w:color w:val="auto"/>
        </w:rPr>
      </w:pPr>
    </w:p>
    <w:p>
      <w:pPr>
        <w:ind w:left="322" w:hanging="322"/>
        <w:spacing w:after="0" w:line="287"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Capital Stock Conversion, the Reclassification, and the Class B Stock Exchange, which will occur immediately prior to the completion of this offering;</w:t>
      </w:r>
    </w:p>
    <w:p>
      <w:pPr>
        <w:spacing w:after="0" w:line="98" w:lineRule="exact"/>
        <w:rPr>
          <w:rFonts w:ascii="Arial" w:cs="Arial" w:eastAsia="Arial" w:hAnsi="Arial"/>
          <w:sz w:val="18"/>
          <w:szCs w:val="18"/>
          <w:color w:val="auto"/>
        </w:rPr>
      </w:pPr>
    </w:p>
    <w:p>
      <w:pPr>
        <w:ind w:left="322" w:hanging="322"/>
        <w:spacing w:after="0"/>
        <w:tabs>
          <w:tab w:leader="none" w:pos="322"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of outstanding options described above; and</w:t>
      </w:r>
    </w:p>
    <w:p>
      <w:pPr>
        <w:spacing w:after="0" w:line="171" w:lineRule="exact"/>
        <w:rPr>
          <w:rFonts w:ascii="Arial" w:cs="Arial" w:eastAsia="Arial" w:hAnsi="Arial"/>
          <w:sz w:val="18"/>
          <w:szCs w:val="18"/>
          <w:color w:val="auto"/>
        </w:rPr>
      </w:pPr>
    </w:p>
    <w:p>
      <w:pPr>
        <w:ind w:left="322" w:hanging="322"/>
        <w:spacing w:after="0"/>
        <w:tabs>
          <w:tab w:leader="none" w:pos="322"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18"/>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9582"/>
          </w:cols>
          <w:pgMar w:left="1318" w:top="1440" w:right="999" w:bottom="1440" w:gutter="0" w:footer="0" w:header="0"/>
          <w:type w:val="continuous"/>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7331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3733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tables set forth summary recast consolidated financial and other data for the three months ended March 31, 2025 and for the year ended December 31, 2024 reflect the combined consolidated statements of FTI and FMH, whereas the comparative information for the three months ended March 31, 2024 and for the year ended December 31, 2023, respectively, reflect the consolidated financial statements of the previous parent company, FT, prior to the Separation. The consolidated statements of operations and cash flows data for the three months ended March 31, 2025 and 2024, and the consolidated balance sheet data as of March 31, 2025, are derived from the unaudited consolidated financial statements and related notes included elsewhere in this prospectus. The consolidated statements of operations and cash flows data for the years ended December 31, 2024 and 2023, and the consolidated balance sheet data as of December 31, 2024, are derived from the audited consolidated financial statements and related notes included elsewhere in this prospectus.</w:t>
      </w:r>
    </w:p>
    <w:p>
      <w:pPr>
        <w:spacing w:after="0" w:line="12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Recombination by which FMH became a wholly-owned subsidiary of FTI was accounted for as a reorganization of entities under the common control of Michael Cagney. As a result, the consolidated financial statements of FTI recognize the assets and liabilities received in connection with the transaction at their historical carrying amounts. As required under GAAP, the financial statements of FTI reflect the retrospective consolidation of FMH to give effect to the Recombination.</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You should read this data together with the consolidated financial statements and related notes appearing elsewhere in this prospectus and the information in the section titled “Management’s Discussion and Analysis of Financial Condition and Results of Operations.” Our historical results are not necessarily indicative of our future results. The summary consolidated financial data in this section are not intended to replace, and are qualified in their entirety by, the consolidated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9900"/>
          </w:cols>
          <w:pgMar w:left="1000" w:top="1440" w:right="99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887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688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21" w:lineRule="exact"/>
        <w:rPr>
          <w:sz w:val="20"/>
          <w:szCs w:val="20"/>
          <w:color w:val="auto"/>
        </w:rPr>
      </w:pPr>
    </w:p>
    <w:tbl>
      <w:tblPr>
        <w:tblLayout w:type="fixed"/>
        <w:tblInd w:w="6" w:type="dxa"/>
        <w:tblCellMar>
          <w:top w:w="0" w:type="dxa"/>
          <w:left w:w="0" w:type="dxa"/>
          <w:bottom w:w="0" w:type="dxa"/>
          <w:right w:w="0" w:type="dxa"/>
        </w:tblCellMar>
      </w:tblPr>
      <w:tr>
        <w:trPr>
          <w:trHeight w:val="196"/>
        </w:trPr>
        <w:tc>
          <w:tcPr>
            <w:tcW w:w="4060" w:type="dxa"/>
            <w:vAlign w:val="bottom"/>
          </w:tcPr>
          <w:p>
            <w:pPr>
              <w:spacing w:after="0"/>
              <w:rPr>
                <w:sz w:val="17"/>
                <w:szCs w:val="17"/>
                <w:color w:val="auto"/>
              </w:rPr>
            </w:pPr>
          </w:p>
        </w:tc>
        <w:tc>
          <w:tcPr>
            <w:tcW w:w="2960" w:type="dxa"/>
            <w:vAlign w:val="bottom"/>
            <w:gridSpan w:val="6"/>
          </w:tcPr>
          <w:p>
            <w:pPr>
              <w:ind w:left="100"/>
              <w:spacing w:after="0"/>
              <w:rPr>
                <w:sz w:val="20"/>
                <w:szCs w:val="20"/>
                <w:color w:val="auto"/>
              </w:rPr>
            </w:pPr>
            <w:r>
              <w:rPr>
                <w:rFonts w:ascii="Arial" w:cs="Arial" w:eastAsia="Arial" w:hAnsi="Arial"/>
                <w:sz w:val="14"/>
                <w:szCs w:val="14"/>
                <w:b w:val="1"/>
                <w:bCs w:val="1"/>
                <w:color w:val="auto"/>
              </w:rPr>
              <w:t>For the Three Months Ended March 31,</w:t>
            </w:r>
          </w:p>
        </w:tc>
        <w:tc>
          <w:tcPr>
            <w:tcW w:w="200" w:type="dxa"/>
            <w:vAlign w:val="bottom"/>
          </w:tcPr>
          <w:p>
            <w:pPr>
              <w:spacing w:after="0"/>
              <w:rPr>
                <w:sz w:val="17"/>
                <w:szCs w:val="17"/>
                <w:color w:val="auto"/>
              </w:rPr>
            </w:pPr>
          </w:p>
        </w:tc>
        <w:tc>
          <w:tcPr>
            <w:tcW w:w="2680" w:type="dxa"/>
            <w:vAlign w:val="bottom"/>
            <w:gridSpan w:val="4"/>
          </w:tcPr>
          <w:p>
            <w:pPr>
              <w:jc w:val="right"/>
              <w:ind w:right="211"/>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97"/>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1"/>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40"/>
              <w:spacing w:after="0"/>
              <w:rPr>
                <w:sz w:val="20"/>
                <w:szCs w:val="20"/>
                <w:color w:val="auto"/>
              </w:rPr>
            </w:pPr>
            <w:r>
              <w:rPr>
                <w:rFonts w:ascii="Arial" w:cs="Arial" w:eastAsia="Arial" w:hAnsi="Arial"/>
                <w:sz w:val="18"/>
                <w:szCs w:val="18"/>
                <w:color w:val="auto"/>
              </w:rPr>
              <w:t>Ecosystem and technology fees</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15,613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6,055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28,314</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10,628</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Servicing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18,620</w:t>
            </w:r>
          </w:p>
        </w:tc>
        <w:tc>
          <w:tcPr>
            <w:tcW w:w="0" w:type="dxa"/>
            <w:vAlign w:val="bottom"/>
          </w:tcPr>
          <w:p>
            <w:pPr>
              <w:spacing w:after="0"/>
              <w:rPr>
                <w:sz w:val="1"/>
                <w:szCs w:val="1"/>
                <w:color w:val="auto"/>
              </w:rPr>
            </w:pPr>
          </w:p>
        </w:tc>
      </w:tr>
      <w:tr>
        <w:trPr>
          <w:trHeight w:val="230"/>
        </w:trPr>
        <w:tc>
          <w:tcPr>
            <w:tcW w:w="406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48,207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48,155</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Origination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58,546</w:t>
            </w:r>
          </w:p>
        </w:tc>
        <w:tc>
          <w:tcPr>
            <w:tcW w:w="0" w:type="dxa"/>
            <w:vAlign w:val="bottom"/>
          </w:tcPr>
          <w:p>
            <w:pPr>
              <w:spacing w:after="0"/>
              <w:rPr>
                <w:sz w:val="1"/>
                <w:szCs w:val="1"/>
                <w:color w:val="auto"/>
              </w:rPr>
            </w:pPr>
          </w:p>
        </w:tc>
      </w:tr>
      <w:tr>
        <w:trPr>
          <w:trHeight w:val="229"/>
        </w:trPr>
        <w:tc>
          <w:tcPr>
            <w:tcW w:w="4060" w:type="dxa"/>
            <w:vAlign w:val="bottom"/>
          </w:tcPr>
          <w:p>
            <w:pPr>
              <w:ind w:left="240"/>
              <w:spacing w:after="0"/>
              <w:rPr>
                <w:sz w:val="20"/>
                <w:szCs w:val="20"/>
                <w:color w:val="auto"/>
              </w:rPr>
            </w:pPr>
            <w:r>
              <w:rPr>
                <w:rFonts w:ascii="Arial" w:cs="Arial" w:eastAsia="Arial" w:hAnsi="Arial"/>
                <w:sz w:val="18"/>
                <w:szCs w:val="18"/>
                <w:color w:val="auto"/>
              </w:rPr>
              <w:t>Gain on sale of loans,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140,353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50,343</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servicing asset,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22,083</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revenue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1,262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340,885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209,549</w:t>
            </w:r>
          </w:p>
        </w:tc>
        <w:tc>
          <w:tcPr>
            <w:tcW w:w="0" w:type="dxa"/>
            <w:vAlign w:val="bottom"/>
          </w:tcPr>
          <w:p>
            <w:pPr>
              <w:spacing w:after="0"/>
              <w:rPr>
                <w:sz w:val="1"/>
                <w:szCs w:val="1"/>
                <w:color w:val="auto"/>
              </w:rPr>
            </w:pPr>
          </w:p>
        </w:tc>
      </w:tr>
      <w:tr>
        <w:trPr>
          <w:trHeight w:val="209"/>
        </w:trPr>
        <w:tc>
          <w:tcPr>
            <w:tcW w:w="4060" w:type="dxa"/>
            <w:vAlign w:val="bottom"/>
          </w:tcPr>
          <w:p>
            <w:pPr>
              <w:ind w:left="20"/>
              <w:spacing w:after="0"/>
              <w:rPr>
                <w:sz w:val="20"/>
                <w:szCs w:val="20"/>
                <w:color w:val="auto"/>
              </w:rPr>
            </w:pPr>
            <w:r>
              <w:rPr>
                <w:rFonts w:ascii="Arial" w:cs="Arial" w:eastAsia="Arial" w:hAnsi="Arial"/>
                <w:sz w:val="18"/>
                <w:szCs w:val="18"/>
                <w:color w:val="auto"/>
              </w:rPr>
              <w:t>Expenses: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104,251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58,794</w:t>
            </w:r>
          </w:p>
        </w:tc>
        <w:tc>
          <w:tcPr>
            <w:tcW w:w="0" w:type="dxa"/>
            <w:vAlign w:val="bottom"/>
          </w:tcPr>
          <w:p>
            <w:pPr>
              <w:spacing w:after="0"/>
              <w:rPr>
                <w:sz w:val="1"/>
                <w:szCs w:val="1"/>
                <w:color w:val="auto"/>
              </w:rPr>
            </w:pPr>
          </w:p>
        </w:tc>
      </w:tr>
      <w:tr>
        <w:trPr>
          <w:trHeight w:val="230"/>
        </w:trPr>
        <w:tc>
          <w:tcPr>
            <w:tcW w:w="4060" w:type="dxa"/>
            <w:vAlign w:val="bottom"/>
          </w:tcPr>
          <w:p>
            <w:pPr>
              <w:ind w:left="240"/>
              <w:spacing w:after="0"/>
              <w:rPr>
                <w:sz w:val="20"/>
                <w:szCs w:val="20"/>
                <w:color w:val="auto"/>
              </w:rPr>
            </w:pPr>
            <w:r>
              <w:rPr>
                <w:rFonts w:ascii="Arial" w:cs="Arial" w:eastAsia="Arial" w:hAnsi="Arial"/>
                <w:sz w:val="18"/>
                <w:szCs w:val="18"/>
                <w:color w:val="auto"/>
              </w:rPr>
              <w:t>Technology and product development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62,657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49,154</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Operations and processing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38,930</w:t>
            </w:r>
          </w:p>
        </w:tc>
        <w:tc>
          <w:tcPr>
            <w:tcW w:w="0" w:type="dxa"/>
            <w:vAlign w:val="bottom"/>
          </w:tcPr>
          <w:p>
            <w:pPr>
              <w:spacing w:after="0"/>
              <w:rPr>
                <w:sz w:val="1"/>
                <w:szCs w:val="1"/>
                <w:color w:val="auto"/>
              </w:rPr>
            </w:pPr>
          </w:p>
        </w:tc>
      </w:tr>
      <w:tr>
        <w:trPr>
          <w:trHeight w:val="230"/>
        </w:trPr>
        <w:tc>
          <w:tcPr>
            <w:tcW w:w="406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55,657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52,761</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49,200</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expense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8,218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10,148</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331,650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258,987</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9,235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(49,438)</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(52,341)</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 (benefit)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2,177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(52,443)</w:t>
            </w:r>
          </w:p>
        </w:tc>
        <w:tc>
          <w:tcPr>
            <w:tcW w:w="0" w:type="dxa"/>
            <w:vAlign w:val="bottom"/>
          </w:tcPr>
          <w:p>
            <w:pPr>
              <w:spacing w:after="0"/>
              <w:rPr>
                <w:sz w:val="1"/>
                <w:szCs w:val="1"/>
                <w:color w:val="auto"/>
              </w:rPr>
            </w:pPr>
          </w:p>
        </w:tc>
      </w:tr>
      <w:tr>
        <w:trPr>
          <w:trHeight w:val="184"/>
        </w:trPr>
        <w:tc>
          <w:tcPr>
            <w:tcW w:w="4060" w:type="dxa"/>
            <w:vAlign w:val="bottom"/>
          </w:tcPr>
          <w:p>
            <w:pPr>
              <w:ind w:left="20"/>
              <w:spacing w:after="0" w:line="183" w:lineRule="exact"/>
              <w:rPr>
                <w:sz w:val="20"/>
                <w:szCs w:val="20"/>
                <w:color w:val="auto"/>
              </w:rPr>
            </w:pPr>
            <w:r>
              <w:rPr>
                <w:rFonts w:ascii="Arial" w:cs="Arial" w:eastAsia="Arial" w:hAnsi="Arial"/>
                <w:sz w:val="18"/>
                <w:szCs w:val="18"/>
                <w:color w:val="auto"/>
              </w:rPr>
              <w:t>Net income (loss) attributable to noncontrolling</w:t>
            </w:r>
          </w:p>
        </w:tc>
        <w:tc>
          <w:tcPr>
            <w:tcW w:w="3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vMerge w:val="restart"/>
          </w:tcPr>
          <w:p>
            <w:pPr>
              <w:jc w:val="right"/>
              <w:ind w:right="12"/>
              <w:spacing w:after="0"/>
              <w:rPr>
                <w:sz w:val="20"/>
                <w:szCs w:val="20"/>
                <w:color w:val="auto"/>
              </w:rPr>
            </w:pPr>
            <w:r>
              <w:rPr>
                <w:rFonts w:ascii="Arial" w:cs="Arial" w:eastAsia="Arial" w:hAnsi="Arial"/>
                <w:sz w:val="18"/>
                <w:szCs w:val="18"/>
                <w:color w:val="auto"/>
              </w:rPr>
              <w:t>2,701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35"/>
        </w:trPr>
        <w:tc>
          <w:tcPr>
            <w:tcW w:w="4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interests in consolidated subsidiaries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FTI</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17,214</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(47,935)</w:t>
            </w:r>
          </w:p>
        </w:tc>
        <w:tc>
          <w:tcPr>
            <w:tcW w:w="0" w:type="dxa"/>
            <w:vAlign w:val="bottom"/>
          </w:tcPr>
          <w:p>
            <w:pPr>
              <w:spacing w:after="0"/>
              <w:rPr>
                <w:sz w:val="1"/>
                <w:szCs w:val="1"/>
                <w:color w:val="auto"/>
              </w:rPr>
            </w:pPr>
          </w:p>
        </w:tc>
      </w:tr>
    </w:tbl>
    <w:p>
      <w:pPr>
        <w:ind w:left="26"/>
        <w:spacing w:after="0" w:line="221" w:lineRule="auto"/>
        <w:rPr>
          <w:sz w:val="20"/>
          <w:szCs w:val="20"/>
          <w:color w:val="auto"/>
        </w:rPr>
      </w:pPr>
      <w:r>
        <w:rPr>
          <w:rFonts w:ascii="Arial" w:cs="Arial" w:eastAsia="Arial" w:hAnsi="Arial"/>
          <w:sz w:val="18"/>
          <w:szCs w:val="18"/>
          <w:color w:val="auto"/>
        </w:rPr>
        <w:t>Pro forma net income (loss) attributable to FTI,</w:t>
      </w:r>
    </w:p>
    <w:p>
      <w:pPr>
        <w:ind w:left="186"/>
        <w:spacing w:after="0" w:line="218" w:lineRule="auto"/>
        <w:rPr>
          <w:sz w:val="20"/>
          <w:szCs w:val="20"/>
          <w:color w:val="auto"/>
        </w:rPr>
      </w:pPr>
      <w:r>
        <w:rPr>
          <w:rFonts w:ascii="Arial" w:cs="Arial" w:eastAsia="Arial" w:hAnsi="Arial"/>
          <w:sz w:val="18"/>
          <w:szCs w:val="18"/>
          <w:color w:val="auto"/>
        </w:rPr>
        <w:t>per share</w:t>
      </w:r>
      <w:r>
        <w:rPr>
          <w:rFonts w:ascii="Arial" w:cs="Arial" w:eastAsia="Arial" w:hAnsi="Arial"/>
          <w:sz w:val="23"/>
          <w:szCs w:val="23"/>
          <w:color w:val="auto"/>
          <w:vertAlign w:val="superscript"/>
        </w:rPr>
        <w:t>(1)</w:t>
      </w:r>
    </w:p>
    <w:p>
      <w:pPr>
        <w:ind w:left="246"/>
        <w:spacing w:after="0"/>
        <w:rPr>
          <w:sz w:val="20"/>
          <w:szCs w:val="20"/>
          <w:color w:val="auto"/>
        </w:rPr>
      </w:pPr>
      <w:r>
        <w:rPr>
          <w:rFonts w:ascii="Arial" w:cs="Arial" w:eastAsia="Arial" w:hAnsi="Arial"/>
          <w:sz w:val="18"/>
          <w:szCs w:val="18"/>
          <w:color w:val="auto"/>
        </w:rPr>
        <w:t>Basic</w:t>
      </w:r>
    </w:p>
    <w:p>
      <w:pPr>
        <w:spacing w:after="0" w:line="14" w:lineRule="exact"/>
        <w:rPr>
          <w:sz w:val="20"/>
          <w:szCs w:val="20"/>
          <w:color w:val="auto"/>
        </w:rPr>
      </w:pPr>
    </w:p>
    <w:p>
      <w:pPr>
        <w:ind w:left="246"/>
        <w:spacing w:after="0"/>
        <w:rPr>
          <w:sz w:val="20"/>
          <w:szCs w:val="20"/>
          <w:color w:val="auto"/>
        </w:rPr>
      </w:pPr>
      <w:r>
        <w:rPr>
          <w:rFonts w:ascii="Arial" w:cs="Arial" w:eastAsia="Arial" w:hAnsi="Arial"/>
          <w:sz w:val="18"/>
          <w:szCs w:val="18"/>
          <w:color w:val="auto"/>
        </w:rPr>
        <w:t>Diluted</w:t>
      </w:r>
    </w:p>
    <w:p>
      <w:pPr>
        <w:spacing w:after="0" w:line="13" w:lineRule="exact"/>
        <w:rPr>
          <w:sz w:val="20"/>
          <w:szCs w:val="20"/>
          <w:color w:val="auto"/>
        </w:rPr>
      </w:pPr>
    </w:p>
    <w:p>
      <w:pPr>
        <w:ind w:left="26"/>
        <w:spacing w:after="0"/>
        <w:rPr>
          <w:sz w:val="20"/>
          <w:szCs w:val="20"/>
          <w:color w:val="auto"/>
        </w:rPr>
      </w:pPr>
      <w:r>
        <w:rPr>
          <w:rFonts w:ascii="Arial" w:cs="Arial" w:eastAsia="Arial" w:hAnsi="Arial"/>
          <w:sz w:val="18"/>
          <w:szCs w:val="18"/>
          <w:color w:val="auto"/>
        </w:rPr>
        <w:t>Weighted-average shares used in computing pro</w:t>
      </w:r>
    </w:p>
    <w:p>
      <w:pPr>
        <w:ind w:left="186"/>
        <w:spacing w:after="0" w:line="191" w:lineRule="auto"/>
        <w:rPr>
          <w:sz w:val="20"/>
          <w:szCs w:val="20"/>
          <w:color w:val="auto"/>
        </w:rPr>
      </w:pPr>
      <w:r>
        <w:rPr>
          <w:rFonts w:ascii="Arial" w:cs="Arial" w:eastAsia="Arial" w:hAnsi="Arial"/>
          <w:sz w:val="18"/>
          <w:szCs w:val="18"/>
          <w:color w:val="auto"/>
        </w:rPr>
        <w:t>forma net income (loss) attributable to FTI, per</w:t>
      </w:r>
    </w:p>
    <w:p>
      <w:pPr>
        <w:ind w:left="186"/>
        <w:spacing w:after="0" w:line="218" w:lineRule="auto"/>
        <w:rPr>
          <w:sz w:val="20"/>
          <w:szCs w:val="20"/>
          <w:color w:val="auto"/>
        </w:rPr>
      </w:pPr>
      <w:r>
        <w:rPr>
          <w:rFonts w:ascii="Arial" w:cs="Arial" w:eastAsia="Arial" w:hAnsi="Arial"/>
          <w:sz w:val="18"/>
          <w:szCs w:val="18"/>
          <w:color w:val="auto"/>
        </w:rPr>
        <w:t>share</w:t>
      </w:r>
      <w:r>
        <w:rPr>
          <w:rFonts w:ascii="Arial" w:cs="Arial" w:eastAsia="Arial" w:hAnsi="Arial"/>
          <w:sz w:val="23"/>
          <w:szCs w:val="23"/>
          <w:color w:val="auto"/>
          <w:vertAlign w:val="superscript"/>
        </w:rPr>
        <w:t>(1)</w:t>
      </w:r>
    </w:p>
    <w:p>
      <w:pPr>
        <w:ind w:left="246"/>
        <w:spacing w:after="0"/>
        <w:rPr>
          <w:sz w:val="20"/>
          <w:szCs w:val="20"/>
          <w:color w:val="auto"/>
        </w:rPr>
      </w:pPr>
      <w:r>
        <w:rPr>
          <w:rFonts w:ascii="Arial" w:cs="Arial" w:eastAsia="Arial" w:hAnsi="Arial"/>
          <w:sz w:val="18"/>
          <w:szCs w:val="18"/>
          <w:color w:val="auto"/>
        </w:rPr>
        <w:t>Basic</w:t>
      </w:r>
    </w:p>
    <w:p>
      <w:pPr>
        <w:spacing w:after="0" w:line="14" w:lineRule="exact"/>
        <w:rPr>
          <w:sz w:val="20"/>
          <w:szCs w:val="20"/>
          <w:color w:val="auto"/>
        </w:rPr>
      </w:pPr>
    </w:p>
    <w:p>
      <w:pPr>
        <w:ind w:left="246"/>
        <w:spacing w:after="0"/>
        <w:rPr>
          <w:sz w:val="20"/>
          <w:szCs w:val="20"/>
          <w:color w:val="auto"/>
        </w:rPr>
      </w:pPr>
      <w:r>
        <w:rPr>
          <w:rFonts w:ascii="Arial" w:cs="Arial" w:eastAsia="Arial" w:hAnsi="Arial"/>
          <w:sz w:val="18"/>
          <w:szCs w:val="18"/>
          <w:color w:val="auto"/>
        </w:rPr>
        <w:t>Diluted</w:t>
      </w:r>
    </w:p>
    <w:p>
      <w:pPr>
        <w:spacing w:after="0" w:line="126"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________________</w:t>
      </w:r>
    </w:p>
    <w:p>
      <w:pPr>
        <w:spacing w:after="0" w:line="21" w:lineRule="exact"/>
        <w:rPr>
          <w:sz w:val="20"/>
          <w:szCs w:val="20"/>
          <w:color w:val="auto"/>
        </w:rPr>
      </w:pPr>
    </w:p>
    <w:p>
      <w:pPr>
        <w:jc w:val="both"/>
        <w:ind w:left="326" w:hanging="326"/>
        <w:spacing w:after="0" w:line="264" w:lineRule="auto"/>
        <w:tabs>
          <w:tab w:leader="none" w:pos="321"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pro forma net income (loss) attributable to FTI, per share and the weighted-average shares used in computing pro forma net income (loss) attributable to FTI, per share give effect to (i) the Capital Stock Conversion, (ii) the Reclassification, and (iii) the Class B Stock Exchange, as if each such event had occurred at the beginning of the period.</w:t>
      </w:r>
    </w:p>
    <w:p>
      <w:pPr>
        <w:sectPr>
          <w:pgSz w:w="11900" w:h="16838" w:orient="portrait"/>
          <w:cols w:equalWidth="0" w:num="1">
            <w:col w:w="9906"/>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9906"/>
          </w:cols>
          <w:pgMar w:left="994" w:top="1440" w:right="999" w:bottom="1440" w:gutter="0" w:footer="0" w:header="0"/>
          <w:type w:val="continuous"/>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0902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609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Balance Sheet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As of March 31, 2025</w:t>
            </w: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 in thousands)</w:t>
            </w:r>
          </w:p>
        </w:tc>
        <w:tc>
          <w:tcPr>
            <w:tcW w:w="280" w:type="dxa"/>
            <w:vAlign w:val="bottom"/>
          </w:tcPr>
          <w:p>
            <w:pPr>
              <w:spacing w:after="0"/>
              <w:rPr>
                <w:sz w:val="12"/>
                <w:szCs w:val="12"/>
                <w:color w:val="auto"/>
              </w:rPr>
            </w:pPr>
          </w:p>
        </w:tc>
        <w:tc>
          <w:tcPr>
            <w:tcW w:w="10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2"/>
                <w:szCs w:val="12"/>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9"/>
                <w:szCs w:val="9"/>
                <w:b w:val="1"/>
                <w:bCs w:val="1"/>
                <w:color w:val="auto"/>
              </w:rPr>
              <w:t>(1)</w:t>
            </w:r>
          </w:p>
        </w:tc>
        <w:tc>
          <w:tcPr>
            <w:tcW w:w="13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201"/>
        </w:trPr>
        <w:tc>
          <w:tcPr>
            <w:tcW w:w="57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320" w:type="dxa"/>
            <w:vAlign w:val="bottom"/>
          </w:tcPr>
          <w:p>
            <w:pPr>
              <w:jc w:val="center"/>
              <w:spacing w:after="0" w:line="201" w:lineRule="exact"/>
              <w:rPr>
                <w:sz w:val="20"/>
                <w:szCs w:val="20"/>
                <w:color w:val="auto"/>
              </w:rPr>
            </w:pPr>
            <w:r>
              <w:rPr>
                <w:rFonts w:ascii="Arial" w:cs="Arial" w:eastAsia="Arial" w:hAnsi="Arial"/>
                <w:sz w:val="14"/>
                <w:szCs w:val="14"/>
                <w:b w:val="1"/>
                <w:bCs w:val="1"/>
                <w:color w:val="auto"/>
                <w:w w:val="94"/>
              </w:rPr>
              <w:t>Adjusted</w:t>
            </w:r>
            <w:r>
              <w:rPr>
                <w:rFonts w:ascii="Arial" w:cs="Arial" w:eastAsia="Arial" w:hAnsi="Arial"/>
                <w:sz w:val="18"/>
                <w:szCs w:val="18"/>
                <w:b w:val="1"/>
                <w:bCs w:val="1"/>
                <w:color w:val="auto"/>
                <w:w w:val="94"/>
                <w:vertAlign w:val="superscript"/>
              </w:rPr>
              <w:t>(2)(3)</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332,024</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40"/>
              <w:spacing w:after="0"/>
              <w:rPr>
                <w:sz w:val="20"/>
                <w:szCs w:val="20"/>
                <w:color w:val="auto"/>
              </w:rPr>
            </w:pPr>
            <w:r>
              <w:rPr>
                <w:rFonts w:ascii="Arial" w:cs="Arial" w:eastAsia="Arial" w:hAnsi="Arial"/>
                <w:sz w:val="18"/>
                <w:szCs w:val="18"/>
                <w:color w:val="auto"/>
              </w:rPr>
              <w:t>Loans held for sale, at fair value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530,525</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Marketable securities, at fair value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187,807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40"/>
              <w:spacing w:after="0"/>
              <w:rPr>
                <w:sz w:val="20"/>
                <w:szCs w:val="20"/>
                <w:color w:val="auto"/>
              </w:rPr>
            </w:pPr>
            <w:r>
              <w:rPr>
                <w:rFonts w:ascii="Arial" w:cs="Arial" w:eastAsia="Arial" w:hAnsi="Arial"/>
                <w:sz w:val="18"/>
                <w:szCs w:val="18"/>
                <w:color w:val="auto"/>
              </w:rPr>
              <w:t>Digital assets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4,195</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Loan servicing asset, at fair value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88,823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1,354,181</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Payables to third-party loan owners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263,915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418,063</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long term</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191,670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985,651</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368,530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0"/>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right="20" w:hanging="326"/>
        <w:spacing w:after="0" w:line="255" w:lineRule="auto"/>
        <w:tabs>
          <w:tab w:leader="none" w:pos="3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pro forma consolidated balance sheet data gives effect to (i) the Capital Stock Conversion, (ii) the Reclassification, and (iii) the Class B Stock Exchange, as if each such event had occurred on December 31, 2024.</w:t>
      </w:r>
    </w:p>
    <w:p>
      <w:pPr>
        <w:ind w:left="340" w:hanging="326"/>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Reflects, on a pro forma as adjusted basis, the pro forma adjustments described in footnote (1) above and the issuance and sale by</w:t>
      </w:r>
    </w:p>
    <w:p>
      <w:pPr>
        <w:sectPr>
          <w:pgSz w:w="11900" w:h="16838" w:orient="portrait"/>
          <w:cols w:equalWidth="0" w:num="1">
            <w:col w:w="9920"/>
          </w:cols>
          <w:pgMar w:left="980" w:top="1440" w:right="999" w:bottom="1440" w:gutter="0" w:footer="0" w:header="0"/>
        </w:sectPr>
      </w:pPr>
    </w:p>
    <w:p>
      <w:pPr>
        <w:spacing w:after="0" w:line="15"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color w:val="auto"/>
        </w:rPr>
        <w:t>us of shares of Class A common stock in this offering at the assumed initial public offering price of $ midpoint of the estimated offering price range set forth on the cover page of this prospectus, and underwriting discounts and commissions and estimated offering expenses payable by us.</w:t>
      </w:r>
    </w:p>
    <w:p>
      <w:pPr>
        <w:spacing w:after="0" w:line="20" w:lineRule="exact"/>
        <w:rPr>
          <w:sz w:val="20"/>
          <w:szCs w:val="20"/>
          <w:color w:val="auto"/>
        </w:rPr>
      </w:pPr>
      <w:r>
        <w:rPr>
          <w:sz w:val="20"/>
          <w:szCs w:val="20"/>
          <w:color w:val="auto"/>
        </w:rPr>
        <w:br w:type="column"/>
      </w:r>
    </w:p>
    <w:p>
      <w:pPr>
        <w:ind w:firstLine="204"/>
        <w:spacing w:after="0" w:line="270" w:lineRule="auto"/>
        <w:rPr>
          <w:sz w:val="20"/>
          <w:szCs w:val="20"/>
          <w:color w:val="auto"/>
        </w:rPr>
      </w:pPr>
      <w:r>
        <w:rPr>
          <w:rFonts w:ascii="Arial" w:cs="Arial" w:eastAsia="Arial" w:hAnsi="Arial"/>
          <w:sz w:val="16"/>
          <w:szCs w:val="16"/>
          <w:color w:val="auto"/>
        </w:rPr>
        <w:t>per share, which is the after deducting estimated</w:t>
      </w:r>
    </w:p>
    <w:p>
      <w:pPr>
        <w:spacing w:after="0" w:line="166" w:lineRule="exact"/>
        <w:rPr>
          <w:sz w:val="20"/>
          <w:szCs w:val="20"/>
          <w:color w:val="auto"/>
        </w:rPr>
      </w:pPr>
    </w:p>
    <w:p>
      <w:pPr>
        <w:sectPr>
          <w:pgSz w:w="11900" w:h="16838" w:orient="portrait"/>
          <w:cols w:equalWidth="0" w:num="2">
            <w:col w:w="7920" w:space="80"/>
            <w:col w:w="1920"/>
          </w:cols>
          <w:pgMar w:left="980" w:top="1440" w:right="999" w:bottom="1440" w:gutter="0" w:footer="0" w:header="0"/>
          <w:type w:val="continuous"/>
        </w:sectPr>
      </w:pPr>
    </w:p>
    <w:p>
      <w:pPr>
        <w:jc w:val="both"/>
        <w:ind w:left="340" w:hanging="323"/>
        <w:spacing w:after="0" w:line="252" w:lineRule="auto"/>
        <w:rPr>
          <w:sz w:val="20"/>
          <w:szCs w:val="20"/>
          <w:color w:val="auto"/>
        </w:rPr>
      </w:pPr>
      <w:r>
        <w:rPr>
          <w:rFonts w:ascii="Arial" w:cs="Arial" w:eastAsia="Arial" w:hAnsi="Arial"/>
          <w:sz w:val="16"/>
          <w:szCs w:val="16"/>
          <w:color w:val="auto"/>
        </w:rPr>
        <w:t>(3) Each $1.00 increase or decrease in the assumed initial public offering price of $</w:t>
      </w:r>
      <w:r>
        <w:rPr>
          <w:sz w:val="20"/>
          <w:szCs w:val="20"/>
          <w:color w:val="auto"/>
        </w:rPr>
        <w:t xml:space="preserve"> </w:t>
      </w:r>
      <w:r>
        <w:rPr>
          <w:rFonts w:ascii="Arial" w:cs="Arial" w:eastAsia="Arial" w:hAnsi="Arial"/>
          <w:sz w:val="16"/>
          <w:szCs w:val="16"/>
          <w:color w:val="auto"/>
        </w:rPr>
        <w:t>per share, which is the midpoint of the estimated offering price range set forth on the cover page of this prospectus, would increase or decrease, as applicable, each of our pro forma as adjusted cash and cash equivalents, working capital, total assets and total stockholder’s equity by approximately $ million, assuming that the number of shares offered by us, as set forth on the cover page of this prospectus, remains the same, and after deducting estimated underwriting discounts and commissions and estimated offering expenses payable by us. Similarly, each increase or decrease of 1.0 million in the number of shares offered by us would increase or decrease, as applicable, each of our pro forma as adjusted cash and cash equivalents, working capital, total assets and total stockholder’s equity by approximately</w:t>
      </w:r>
    </w:p>
    <w:p>
      <w:pPr>
        <w:spacing w:after="0" w:line="2" w:lineRule="exact"/>
        <w:rPr>
          <w:sz w:val="20"/>
          <w:szCs w:val="20"/>
          <w:color w:val="auto"/>
        </w:rPr>
      </w:pPr>
    </w:p>
    <w:p>
      <w:pPr>
        <w:jc w:val="both"/>
        <w:ind w:left="340" w:hanging="2"/>
        <w:spacing w:after="0" w:line="264" w:lineRule="auto"/>
        <w:tabs>
          <w:tab w:leader="none" w:pos="673" w:val="left"/>
        </w:tabs>
        <w:numPr>
          <w:ilvl w:val="0"/>
          <w:numId w:val="15"/>
        </w:numPr>
        <w:rPr>
          <w:rFonts w:ascii="Arial" w:cs="Arial" w:eastAsia="Arial" w:hAnsi="Arial"/>
          <w:sz w:val="16"/>
          <w:szCs w:val="16"/>
          <w:color w:val="auto"/>
        </w:rPr>
      </w:pPr>
      <w:r>
        <w:rPr>
          <w:rFonts w:ascii="Arial" w:cs="Arial" w:eastAsia="Arial" w:hAnsi="Arial"/>
          <w:sz w:val="16"/>
          <w:szCs w:val="16"/>
          <w:color w:val="auto"/>
        </w:rPr>
        <w:t>million, assuming that the assumed initial public offering price remains the same, and after deducting underwriting discounts and commissions and estimated offering expenses payable by us. The pro forma as adjusted information discussed above is illustrative only and will adjust based on the actual initial public offering price and other terms of this offering.</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171" w:lineRule="exact"/>
        <w:rPr>
          <w:sz w:val="20"/>
          <w:szCs w:val="20"/>
          <w:color w:val="auto"/>
        </w:rPr>
      </w:pPr>
    </w:p>
    <w:p>
      <w:pPr>
        <w:jc w:val="both"/>
        <w:ind w:left="20" w:firstLine="324"/>
        <w:spacing w:after="0" w:line="262" w:lineRule="auto"/>
        <w:rPr>
          <w:sz w:val="20"/>
          <w:szCs w:val="20"/>
          <w:color w:val="auto"/>
        </w:rPr>
      </w:pPr>
      <w:r>
        <w:rPr>
          <w:rFonts w:ascii="Arial" w:cs="Arial" w:eastAsia="Arial" w:hAnsi="Arial"/>
          <w:sz w:val="18"/>
          <w:szCs w:val="18"/>
          <w:color w:val="auto"/>
        </w:rPr>
        <w:t>We review a number of operating and financial metrics, including the following key metrics and non-GAAP financial measures to evaluate our business, measure our performance, identify trends affecting our business, formulate business plans, and make strategic decisions. The following table sets forth the key performance measures that we use to evaluate our business for the three months ended March 31, 2025 and 2024 and for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9920"/>
          </w:cols>
          <w:pgMar w:left="980" w:top="1440" w:right="999" w:bottom="1440" w:gutter="0" w:footer="0" w:header="0"/>
          <w:type w:val="continuous"/>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467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3467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7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rPr>
              <w:t>For the Three Months Ended March</w:t>
            </w:r>
          </w:p>
        </w:tc>
        <w:tc>
          <w:tcPr>
            <w:tcW w:w="140" w:type="dxa"/>
            <w:vAlign w:val="bottom"/>
          </w:tcPr>
          <w:p>
            <w:pPr>
              <w:spacing w:after="0"/>
              <w:rPr>
                <w:sz w:val="14"/>
                <w:szCs w:val="14"/>
                <w:color w:val="auto"/>
              </w:rPr>
            </w:pPr>
          </w:p>
        </w:tc>
        <w:tc>
          <w:tcPr>
            <w:tcW w:w="2500" w:type="dxa"/>
            <w:vAlign w:val="bottom"/>
            <w:gridSpan w:val="4"/>
            <w:vMerge w:val="restart"/>
          </w:tcPr>
          <w:p>
            <w:pPr>
              <w:jc w:val="right"/>
              <w:ind w:right="52"/>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85"/>
        </w:trPr>
        <w:tc>
          <w:tcPr>
            <w:tcW w:w="45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4540" w:type="dxa"/>
            <w:vAlign w:val="bottom"/>
            <w:shd w:val="clear" w:color="auto" w:fill="CCEEFF"/>
          </w:tcPr>
          <w:p>
            <w:pPr>
              <w:ind w:left="40"/>
              <w:spacing w:after="0" w:line="224" w:lineRule="exact"/>
              <w:rPr>
                <w:sz w:val="20"/>
                <w:szCs w:val="20"/>
                <w:color w:val="auto"/>
              </w:rPr>
            </w:pPr>
            <w:r>
              <w:rPr>
                <w:rFonts w:ascii="Arial" w:cs="Arial" w:eastAsia="Arial" w:hAnsi="Arial"/>
                <w:sz w:val="18"/>
                <w:szCs w:val="18"/>
                <w:color w:val="auto"/>
              </w:rPr>
              <w:t>Ecosystem Volume</w:t>
            </w:r>
            <w:r>
              <w:rPr>
                <w:rFonts w:ascii="Arial" w:cs="Arial" w:eastAsia="Arial" w:hAnsi="Arial"/>
                <w:sz w:val="23"/>
                <w:szCs w:val="23"/>
                <w:color w:val="auto"/>
                <w:vertAlign w:val="superscript"/>
              </w:rPr>
              <w:t>(1)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1,577,709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1,191,916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5,879,144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3,368,859</w:t>
            </w:r>
          </w:p>
        </w:tc>
        <w:tc>
          <w:tcPr>
            <w:tcW w:w="0" w:type="dxa"/>
            <w:vAlign w:val="bottom"/>
          </w:tcPr>
          <w:p>
            <w:pPr>
              <w:spacing w:after="0"/>
              <w:rPr>
                <w:sz w:val="1"/>
                <w:szCs w:val="1"/>
                <w:color w:val="auto"/>
              </w:rPr>
            </w:pPr>
          </w:p>
        </w:tc>
      </w:tr>
      <w:tr>
        <w:trPr>
          <w:trHeight w:val="229"/>
        </w:trPr>
        <w:tc>
          <w:tcPr>
            <w:tcW w:w="4540" w:type="dxa"/>
            <w:vAlign w:val="bottom"/>
          </w:tcPr>
          <w:p>
            <w:pPr>
              <w:ind w:left="240"/>
              <w:spacing w:after="0" w:line="230" w:lineRule="exact"/>
              <w:rPr>
                <w:sz w:val="20"/>
                <w:szCs w:val="20"/>
                <w:color w:val="auto"/>
              </w:rPr>
            </w:pPr>
            <w:r>
              <w:rPr>
                <w:rFonts w:ascii="Arial" w:cs="Arial" w:eastAsia="Arial" w:hAnsi="Arial"/>
                <w:sz w:val="18"/>
                <w:szCs w:val="18"/>
                <w:color w:val="auto"/>
              </w:rPr>
              <w:t>Consumer Loan Marketplace Volume</w:t>
            </w:r>
            <w:r>
              <w:rPr>
                <w:rFonts w:ascii="Arial" w:cs="Arial" w:eastAsia="Arial" w:hAnsi="Arial"/>
                <w:sz w:val="23"/>
                <w:szCs w:val="23"/>
                <w:color w:val="auto"/>
                <w:vertAlign w:val="superscript"/>
              </w:rPr>
              <w:t>(1)</w:t>
            </w:r>
          </w:p>
        </w:tc>
        <w:tc>
          <w:tcPr>
            <w:tcW w:w="1200" w:type="dxa"/>
            <w:vAlign w:val="bottom"/>
          </w:tcPr>
          <w:p>
            <w:pPr>
              <w:jc w:val="right"/>
              <w:spacing w:after="0"/>
              <w:rPr>
                <w:sz w:val="20"/>
                <w:szCs w:val="20"/>
                <w:color w:val="auto"/>
              </w:rPr>
            </w:pPr>
            <w:r>
              <w:rPr>
                <w:rFonts w:ascii="Arial" w:cs="Arial" w:eastAsia="Arial" w:hAnsi="Arial"/>
                <w:sz w:val="18"/>
                <w:szCs w:val="18"/>
                <w:color w:val="auto"/>
              </w:rPr>
              <w:t>1,365,136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1,191,916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5,128,457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3,368,859</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Partner Branded Volume</w:t>
            </w:r>
            <w:r>
              <w:rPr>
                <w:rFonts w:ascii="Arial" w:cs="Arial" w:eastAsia="Arial" w:hAnsi="Arial"/>
                <w:sz w:val="23"/>
                <w:szCs w:val="23"/>
                <w:color w:val="auto"/>
                <w:vertAlign w:val="superscript"/>
              </w:rPr>
              <w:t>(1)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1,045,059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3,447,386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1,683,011</w:t>
            </w:r>
          </w:p>
        </w:tc>
        <w:tc>
          <w:tcPr>
            <w:tcW w:w="0" w:type="dxa"/>
            <w:vAlign w:val="bottom"/>
          </w:tcPr>
          <w:p>
            <w:pPr>
              <w:spacing w:after="0"/>
              <w:rPr>
                <w:sz w:val="1"/>
                <w:szCs w:val="1"/>
                <w:color w:val="auto"/>
              </w:rPr>
            </w:pPr>
          </w:p>
        </w:tc>
      </w:tr>
      <w:tr>
        <w:trPr>
          <w:trHeight w:val="229"/>
        </w:trPr>
        <w:tc>
          <w:tcPr>
            <w:tcW w:w="4540" w:type="dxa"/>
            <w:vAlign w:val="bottom"/>
          </w:tcPr>
          <w:p>
            <w:pPr>
              <w:ind w:left="460"/>
              <w:spacing w:after="0" w:line="230" w:lineRule="exact"/>
              <w:rPr>
                <w:sz w:val="20"/>
                <w:szCs w:val="20"/>
                <w:color w:val="auto"/>
              </w:rPr>
            </w:pPr>
            <w:r>
              <w:rPr>
                <w:rFonts w:ascii="Arial" w:cs="Arial" w:eastAsia="Arial" w:hAnsi="Arial"/>
                <w:sz w:val="18"/>
                <w:szCs w:val="18"/>
                <w:color w:val="auto"/>
              </w:rPr>
              <w:t>Figure Branded Volume</w:t>
            </w:r>
            <w:r>
              <w:rPr>
                <w:rFonts w:ascii="Arial" w:cs="Arial" w:eastAsia="Arial" w:hAnsi="Arial"/>
                <w:sz w:val="23"/>
                <w:szCs w:val="23"/>
                <w:color w:val="auto"/>
                <w:vertAlign w:val="superscript"/>
              </w:rPr>
              <w:t>(1)</w:t>
            </w:r>
          </w:p>
        </w:tc>
        <w:tc>
          <w:tcPr>
            <w:tcW w:w="1200" w:type="dxa"/>
            <w:vAlign w:val="bottom"/>
          </w:tcPr>
          <w:p>
            <w:pPr>
              <w:jc w:val="right"/>
              <w:spacing w:after="0"/>
              <w:rPr>
                <w:sz w:val="20"/>
                <w:szCs w:val="20"/>
                <w:color w:val="auto"/>
              </w:rPr>
            </w:pPr>
            <w:r>
              <w:rPr>
                <w:rFonts w:ascii="Arial" w:cs="Arial" w:eastAsia="Arial" w:hAnsi="Arial"/>
                <w:sz w:val="18"/>
                <w:szCs w:val="18"/>
                <w:color w:val="auto"/>
              </w:rPr>
              <w:t>320,077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428,560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1,681,071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1,685,848</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Digital Asset Marketplace Volume</w:t>
            </w:r>
            <w:r>
              <w:rPr>
                <w:rFonts w:ascii="Arial" w:cs="Arial" w:eastAsia="Arial" w:hAnsi="Arial"/>
                <w:sz w:val="23"/>
                <w:szCs w:val="23"/>
                <w:color w:val="auto"/>
                <w:vertAlign w:val="superscript"/>
              </w:rPr>
              <w:t>(1)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212,574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750,687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tcPr>
          <w:p>
            <w:pPr>
              <w:ind w:left="40"/>
              <w:spacing w:after="0" w:line="230" w:lineRule="exact"/>
              <w:rPr>
                <w:sz w:val="20"/>
                <w:szCs w:val="20"/>
                <w:color w:val="auto"/>
              </w:rPr>
            </w:pPr>
            <w:r>
              <w:rPr>
                <w:rFonts w:ascii="Arial" w:cs="Arial" w:eastAsia="Arial" w:hAnsi="Arial"/>
                <w:sz w:val="18"/>
                <w:szCs w:val="18"/>
                <w:color w:val="auto"/>
              </w:rPr>
              <w:t>Figure Connect Volume</w:t>
            </w:r>
            <w:r>
              <w:rPr>
                <w:rFonts w:ascii="Arial" w:cs="Arial" w:eastAsia="Arial" w:hAnsi="Arial"/>
                <w:sz w:val="23"/>
                <w:szCs w:val="23"/>
                <w:color w:val="auto"/>
                <w:vertAlign w:val="superscript"/>
              </w:rPr>
              <w:t>(1)</w:t>
            </w:r>
          </w:p>
        </w:tc>
        <w:tc>
          <w:tcPr>
            <w:tcW w:w="1200" w:type="dxa"/>
            <w:vAlign w:val="bottom"/>
          </w:tcPr>
          <w:p>
            <w:pPr>
              <w:jc w:val="right"/>
              <w:spacing w:after="0"/>
              <w:rPr>
                <w:sz w:val="20"/>
                <w:szCs w:val="20"/>
                <w:color w:val="auto"/>
              </w:rPr>
            </w:pPr>
            <w:r>
              <w:rPr>
                <w:rFonts w:ascii="Arial" w:cs="Arial" w:eastAsia="Arial" w:hAnsi="Arial"/>
                <w:sz w:val="18"/>
                <w:szCs w:val="18"/>
                <w:color w:val="auto"/>
              </w:rPr>
              <w:t>477,904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84,510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209,549</w:t>
            </w:r>
          </w:p>
        </w:tc>
        <w:tc>
          <w:tcPr>
            <w:tcW w:w="0" w:type="dxa"/>
            <w:vAlign w:val="bottom"/>
          </w:tcPr>
          <w:p>
            <w:pPr>
              <w:spacing w:after="0"/>
              <w:rPr>
                <w:sz w:val="1"/>
                <w:szCs w:val="1"/>
                <w:color w:val="auto"/>
              </w:rPr>
            </w:pPr>
          </w:p>
        </w:tc>
      </w:tr>
      <w:tr>
        <w:trPr>
          <w:trHeight w:val="230"/>
        </w:trPr>
        <w:tc>
          <w:tcPr>
            <w:tcW w:w="45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(28,461)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(52,443)</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Adjusted Net Revenue</w:t>
            </w:r>
            <w:r>
              <w:rPr>
                <w:rFonts w:ascii="Arial" w:cs="Arial" w:eastAsia="Arial" w:hAnsi="Arial"/>
                <w:sz w:val="23"/>
                <w:szCs w:val="23"/>
                <w:color w:val="auto"/>
                <w:vertAlign w:val="superscript"/>
              </w:rPr>
              <w:t>(2)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89,213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214,168</w:t>
            </w:r>
          </w:p>
        </w:tc>
        <w:tc>
          <w:tcPr>
            <w:tcW w:w="0" w:type="dxa"/>
            <w:vAlign w:val="bottom"/>
          </w:tcPr>
          <w:p>
            <w:pPr>
              <w:spacing w:after="0"/>
              <w:rPr>
                <w:sz w:val="1"/>
                <w:szCs w:val="1"/>
                <w:color w:val="auto"/>
              </w:rPr>
            </w:pPr>
          </w:p>
        </w:tc>
      </w:tr>
      <w:tr>
        <w:trPr>
          <w:trHeight w:val="316"/>
        </w:trPr>
        <w:tc>
          <w:tcPr>
            <w:tcW w:w="4540" w:type="dxa"/>
            <w:vAlign w:val="bottom"/>
          </w:tcPr>
          <w:p>
            <w:pPr>
              <w:ind w:left="4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(2)</w:t>
            </w:r>
          </w:p>
        </w:tc>
        <w:tc>
          <w:tcPr>
            <w:tcW w:w="1200" w:type="dxa"/>
            <w:vAlign w:val="bottom"/>
          </w:tcPr>
          <w:p>
            <w:pPr>
              <w:jc w:val="right"/>
              <w:spacing w:after="0"/>
              <w:rPr>
                <w:sz w:val="20"/>
                <w:szCs w:val="20"/>
                <w:color w:val="auto"/>
              </w:rPr>
            </w:pPr>
            <w:r>
              <w:rPr>
                <w:rFonts w:ascii="Arial" w:cs="Arial" w:eastAsia="Arial" w:hAnsi="Arial"/>
                <w:sz w:val="18"/>
                <w:szCs w:val="18"/>
                <w:color w:val="auto"/>
              </w:rPr>
              <w:t>30,589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101,443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(12,370)</w:t>
            </w: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6"/>
          <w:szCs w:val="16"/>
          <w:color w:val="auto"/>
        </w:rPr>
        <w:t>_______________</w:t>
      </w:r>
    </w:p>
    <w:p>
      <w:pPr>
        <w:spacing w:after="0" w:line="15" w:lineRule="exact"/>
        <w:rPr>
          <w:sz w:val="20"/>
          <w:szCs w:val="20"/>
          <w:color w:val="auto"/>
        </w:rPr>
      </w:pPr>
    </w:p>
    <w:p>
      <w:pPr>
        <w:jc w:val="both"/>
        <w:ind w:left="340" w:hanging="326"/>
        <w:spacing w:after="0" w:line="256" w:lineRule="auto"/>
        <w:tabs>
          <w:tab w:leader="none" w:pos="3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See the section titled “Management’s Discussion and Analysis of Financial Condition and Results of Operations—Key Operating Metrics” for definitions and further information about why and how we calculate Ecosystem Volume, Consumer Loan Marketplace Volume, Partner Branded Volume, Figure Branded Volume, Digital Asset Marketplace Volume, and Figure Connect Volume.</w:t>
      </w:r>
    </w:p>
    <w:p>
      <w:pPr>
        <w:spacing w:after="0" w:line="1" w:lineRule="exact"/>
        <w:rPr>
          <w:rFonts w:ascii="Arial" w:cs="Arial" w:eastAsia="Arial" w:hAnsi="Arial"/>
          <w:sz w:val="16"/>
          <w:szCs w:val="16"/>
          <w:color w:val="auto"/>
        </w:rPr>
      </w:pPr>
    </w:p>
    <w:p>
      <w:pPr>
        <w:jc w:val="both"/>
        <w:ind w:left="340" w:right="20" w:hanging="326"/>
        <w:spacing w:after="0" w:line="258" w:lineRule="auto"/>
        <w:tabs>
          <w:tab w:leader="none" w:pos="3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See the section titled “Management’s Discussion and Analysis of Financial Condition and Results of Operations—Non-GAAP Financial Measures” for a description of Adjusted Net Revenue and Adjusted EBITDA and a reconciliation of such non-GAAP financial measures to certain directly comparable financial measures calculated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9920"/>
          </w:cols>
          <w:pgMar w:left="980" w:top="1440" w:right="999" w:bottom="1440" w:gutter="0" w:footer="0" w:header="0"/>
        </w:sectPr>
      </w:pPr>
    </w:p>
    <w:bookmarkStart w:id="35" w:name="page36"/>
    <w:bookmarkEnd w:id="35"/>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Investing in our Class A common stock involves a high degree of risk. Before making an investment decision, you should carefully consider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thereto included elsewhere in this prospectus. Our business, results of operations, financial condition, or prospects could also be harmed by risks and uncertainties not currently known to us or that we currently do not believe are material. If any of the risks actually occur, our business, results of operations, financial condition, and prospects could be adversely affected. In that event, the market price of our Class A common stock could decline, and you could lose part or all of your investment. The risks and uncertainties described below are not guarantees that no such conditions exist as of the date of this prospectus and should not be interpreted as an affirmative statement that such risks or conditions have not materialized, in whole or in part.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Financial, and Operational Risks</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have a history of losses, we may not be able to maintain profitability in the future, and there is no assurance that our revenue and business model will be successful.</w:t>
      </w:r>
    </w:p>
    <w:p>
      <w:pPr>
        <w:spacing w:after="0" w:line="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have a history of net losses. We expect our costs will increase over time, and while we had net income of $20 million for the year ended December 31, 2024, we may continue to generate losses in the future as we invest significant additional funds towards growing our business and operating as a public company. Such losses may fluctuate significantly from quarter to quarter.</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expended and expect to continue to expend substantial financial and other resources on product development, including investments in our product, engineering, data, and design teams and the development of new products and new functionality for our existing products and our platform; our technology infrastructure, including systems architecture, management tools, scalability, availability, performance, security, and disaster recovery measures; our sales, marketing, and partner management organizations; acquisitions or strategic investments; and general administration, including legal and accounting expenses. These efforts may be more costly than we expect and may not result in increased revenue or growth in our business.</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Any failure to increase our revenue sufficiently to keep pace with our investments and other expenses could prevent us from achieving or maintaining profitability or positive cash flows on a consistent basis. If we are unable to successfully address these risks and challenges as we encounter them, our business, financial condition, and results of operations could be adversely affected.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effectively manage our growth, our business, financial condition, and results of operations could be adversely affected.</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grown rapidly since our inception and expect to continue to experience rapid growth in the future. This growth has placed, and may continue to place, significant demands on our management and our operational and financial infrastructure. We have made, and intend to continue to make, substantial investments in our technology, customer service, risk, sales, and marketing infrastructure. Our ability to manage our growth effectively and to integrate new technologies, personnel, and strategic acquisitions and priorities into our existing business will require us to continue to expand our operational and financial infrastructure and retain, attract, train, motivate, and manage key employees. Continued growth could strain our ability to develop and improve our operational, financial, and management controls, enhance our reporting systems and procedures, recruit, train, and retain highly skilled personnel, and maintain customer and brand satisfaction.</w:t>
      </w:r>
    </w:p>
    <w:p>
      <w:pPr>
        <w:spacing w:after="0" w:line="12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Additionally, if we do not effectively manage the growth of our business and operations, the quality of our platform and the efficiency of our operations could suffer, which could adversely affect our growth,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growth rate and financial performance in prior years may not be indicative of future performance.</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grown rapidly in the past, and our historical revenue growth rate and financial performance may not be indicative of our future performance. Our revenue for any previous quarterly or annual periods should not be relied upon as an indication of our revenue or revenue growth in future periods. Our future growth will be impacted by, among other things: adverse macroeconomic conditions; changing interest rates; our ability to deploy alternative loan products, including in response to changing conditions in the HELOC market; market acceptance of our online lending products, including our HELOC product, digital assets-secured personal loan product, and new product offerings; our ability to meet demand for funding; sales of loans held on our balance sheet at a loss; our ability to successfully finance and sell our loans; growth in our network of partners; increasing competition; credit market volatility; increasing regulatory costs and challenges; prices of digital assets and volume of transactions conducted on Figure Exchange; and our failure to capitalize on growth opportunities.</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prospects and may increase the risk of your investment.</w:t>
      </w:r>
    </w:p>
    <w:p>
      <w:pPr>
        <w:spacing w:after="0" w:line="8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have experienced rapid growth in recent years. Our limited operating history may make it difficult to evaluate our business and prospects, including our ability to plan for and model future growth. We face numerous challenges to our success, including our ability to:</w:t>
      </w:r>
    </w:p>
    <w:p>
      <w:pPr>
        <w:spacing w:after="0" w:line="9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accurately forecast our revenue or volume, and to plan our operating expenses;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and maintain a scalable, high-performance technology infrastructure that can efficiently and reliably process an increased number of HELOC originations and other product offerings, as well as the deployment of new features and services;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or increase the volume of HELOC originations and other product offerings, such as our digital assets-secured personal loan product, enabled through our platform;</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and maintain existing relationships with our network of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attract new customers to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identify, negotiate, execute, and integrate strategic acquisitions and partnerships;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compete with current and future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build our brand and protect our reputation from negative publicity;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the effectiveness of our marketing strategies;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adjust our proprietary technology, products, and services in a timely manner in response to changing macroeconomic conditions and fluctuations in the credit market;</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introduce new products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adapt to rapidly evolving trends in the way our consumers and our network of partners interact with technology;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comply with and successfully adapt to complex and evolving regulatory environments;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protect against fraud and online theft;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avoid interruptions or disruptions in our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39" w:lineRule="exact"/>
        <w:rPr>
          <w:sz w:val="20"/>
          <w:szCs w:val="20"/>
          <w:color w:val="auto"/>
        </w:rPr>
      </w:pPr>
    </w:p>
    <w:p>
      <w:pPr>
        <w:ind w:left="660" w:right="2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effectively secure and maintain the confidentiality of the information received, accessed, stored, provided, used, and otherwise processed across our systems and our third-party vendors;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obtain and maintain funding and liquidity to support continued growth and general corporate purposes;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integrate, and retain qualified employees;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effectively manage growth in our personnel and operations.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face risks from the underperformance of any assets we have originated and/or serviced to date, which include HELOCs, personal loans, student loans, and closed-end mortgages, as well as risks from the future underperformance of any assets we originate. In addition, the price of digital assets and associated demand for buying, selling, and trading digital assets have historically been subject to significant volatility. There is no assurance that any supported digital asset will maintain its value or that there will be meaningful levels of trading activity.</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fail to address the risks and difficulties that we face, including those associated with the challenges listed above as well as those described elsewhere in this “Risk Factors” section, our business, financial condition, and results of operations could be adversely affected. Further, because we have limited historical financial data and operate in a rapidly evolving market, any predictions about our future revenue and expenses may not be as accurate as they would be if we had a longer operating history or operated in a more predictable market. Our inability to accurately evaluate our business and prospects could adversely affect our business, financial condition, and results of operations.</w:t>
      </w:r>
    </w:p>
    <w:p>
      <w:pPr>
        <w:spacing w:after="0" w:line="1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Substantially all of our revenue is derived from our HELOC product, and we are thus particularly susceptible to fluctuations in the HELOC market. Our current product offerings may also not be sufficiently broad to attract and retain partners.</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we plan to continue to invest in developing additional loan product offerings, the vast majority of our revenue is currently derived from our HELOC product. A wide variety of factors could impact the market for HELOCs, including macroeconomic conditions, competition, regulatory developments, and other developments in the credit market. Our success will depend in part on the continued demand for HELOCs, and if such demand does not experience further growth or grows more slowly than we expect, our business, financial condition, and results of operations could be adversely affected.</w:t>
      </w:r>
    </w:p>
    <w:p>
      <w:pPr>
        <w:spacing w:after="0" w:line="1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our partners may in the future seek commercial relationships with competitors that are able to offer them a broader array of credit products. Over time, in order to preserve and expand our relationships with our existing partners and expand our network of partners, it may become increasingly important for us to be able to offer a wider variety of products than we currently provide. We are also susceptible to competitors that may be able to provide more competitive pricing than we can, or intentionally underprice their loan products, even if such pricing practices lead to losses. Such practices by competitors would negatively affect the overall demand for HELOCs facilitated by our technology.</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Failure to accurately predict demand or growth with respect to our existing and new product offerings could adversely affect our business, financial condition, and results of operations. Moreover, our existing or new product offerings may be less profitable than we expect, increase our costs, decrease our operating margins, or take longer than anticipated to achieve target margins. Further, our development efforts with respect to new product offerings could distract management from current operations and could divert capital and other resources from our existing business. In addition, the profile of potential borrowers using our new product offerings may not be as attractive as the profile of the borrowers that we currently serve, which may lead to higher levels of delinquencies or defaults than we have historically experienced. If we do not realize the expected benefits of our investments,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success and ability to develop our lending business depend on retaining and expanding our reach through both our Figure-branded and Partner-branded strategies. If we or our partners fail to add new customers, our business, financial condition, and results of operations could be adversely affected.</w:t>
      </w:r>
    </w:p>
    <w:p>
      <w:pPr>
        <w:spacing w:after="0" w:line="10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current model for our lending business is primarily based on our ability to enable our partners to originate, and our borrowers to obtain, HELOCs using our technology in a seamless, timely, and hassle-free transaction that funds quickly. We have experienced significant growth in recent years; however, we may not be able to continue to grow our business, and our network of partners and our consumer base could shrink over time.</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ability to attract borrowers, and in turn attract partners to offer our products to their customers, depends, in large part, on our ability to continue to provide, and be perceived as providing, seamless and superior customer experiences and expeditious funding. In order to maintain this ability and perception, we may be required to incur costs related to improving our platform capabilities and customer service, increasing our marketing and advertising spend, as well as reducing the interest rates on our loan products either more or more quickly than our competitors, any of which could result in lower revenues or lower profitability.</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not be able to promote awareness of our Figure-branded products and achieve widespread market acceptance of our business model to increase access to our platform. We have incurred significant expenses on and devoted considerable resources to branding and marketing activities and user traffic acquisition, and we may continue to do so in the future. If any of our marketing channels become less effective, or if the cost of these channels were to significantly increase, we may not be able to attract new borrowers in a cost-effective manner or convert prospective borrowers into borrowers. Additionally, changes in the way third-party platforms operate, including changes in our participation on such platforms, could make the maintenance and promotion of our products and services more expensive or more difficult. Further, there is no assurance that any of these actions will achieve their desired effect. If we fail to remain competitive on customer experience or pricing, our business, financial condition, and results of operations could be adversely affected.</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business depends, in part, on the success of our Partner-branded strategies and our network of partners being able to deliver our products, and our ability to grow our business depends on our ability to continue our relationships with our network of partners.</w:t>
      </w:r>
    </w:p>
    <w:p>
      <w:pPr>
        <w:spacing w:after="0" w:line="1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dependent upon our partners and their use of our Partner-branded offerings. If we are not able to retain our existing partners or expand our network of partners in a cost-effective manner, or if our partners fail to maintain their utilization of our products and services, we will not be able to continue to grow our business. Our ability to retain and grow our relationships with our partners depends on their willingness to work with us. The attractiveness of our platform to partners depends upon, among other things: our brand and reputation, the amount of fees that we charge, our ability to adapt to our customers’ needs and implement technological changes, our ability to sustain our value proposition to our partners, products and services offered by competitors, and our ability to perform under and maintain our agreements with partners. Our partners do not have any long-term contractual financial commitments to us, and there are de minimis fixed fees in our contracts with partners. Therefore, our partners may cease their use of our platform at any time without incurring any material termination charges.</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 any downturn in the financial services industry, a disruption or significant change in the capital markets, including government-sponsored enterprise involvement in the purchase and securitization of similar lending products, or change in interest rates may cause our partners to end or reduce their relationship with us. Our partners have no obligation to use our platform and generally only pay us when they use it. As a result, our partners may, at any time, seek to renegotiate pricing or other contract terms that are less favorable to us or otherwise ask to modify their agreement terms in a manner that is cost prohibitive to us. Our relationships with partners may decline or fluctuate as a result of a number of factors, including the attractiveness of our products to their customers, the value of originating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products on our platform compared to the origination of other similar products, their satisfaction with our pricing or our platform, or their ability to continue their operations or spending levels. In addition, our partners’ regulators may require that they terminate or otherwise limit their business with us, or impose regulatory pressure limiting their ability to do business with us. If any of our partners were to stop working with us, suspend, limit, or cease their operations, successfully renegotiate less favorable pricing terms with us, or otherwise terminate their relationships with us, the number of loans and other transactions enabled through our platform could decrease and our business, financial condition, and results of operations could be adversely affected.</w:t>
      </w:r>
    </w:p>
    <w:p>
      <w:pPr>
        <w:spacing w:after="0" w:line="12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could in the future have disagreements or disputes with any of our partners, which could negatively impact or threaten our relationship with them. In our agreements with partners, we make representations, warranties, and covenants concerning our compliance with certain procedures and guidelines related to laws and regulations applicable to the services to be provided by us to our partners. If those representations and warranties are not accurate when made or if we fail to perform a covenant, we may be liable for any resulting damages, including potentially any losses associated with impacted transactions, and our reputation and ability to continue to attract partners could be adversely affected. Additionally, our partners may engage in mergers, acquisitions, or consolidations with each other, our competitors, or third parties, any of which could be disruptive to our existing and prospective partner relationships.</w:t>
      </w:r>
    </w:p>
    <w:p>
      <w:pPr>
        <w:spacing w:after="0" w:line="12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If we are unable to maintain existing relationships partners and develop new customer relationships with financial institutions to expand our network of partners for any reason, our business, financial condition, and results of operations could be adversely affected.</w:t>
      </w:r>
    </w:p>
    <w:p>
      <w:pPr>
        <w:spacing w:after="0" w:line="10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have significant partner concentration, with a limited number of partners accounting for a substantial portion of our loan originations.</w:t>
      </w:r>
    </w:p>
    <w:p>
      <w:pPr>
        <w:spacing w:after="0" w:line="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derive a significant portion of our loan origination volume from our major partners. Our top 10 partners contributed 54% and 52% of our origination volume for the three months ended March 31, 2025, and the year ended December 31, 2024, respectively. Relying heavily on a limited number of partners for a large percentage of total loan origination presents inherent risks. We cannot predict the future volume of loan originations from these partners. If any of our largest partners reduce their loan origination volume or terminate their relationship with us, it could materially and negatively impact our revenues, results of operations, and financial condition. To mitigate these risks, we are actively working to expand our partner base and reduce reliance on a few significant partners. However, there is no assurance of success in these efforts, and our financial performance may continue to be significantly influenced by our major partners.</w:t>
      </w:r>
    </w:p>
    <w:p>
      <w:pPr>
        <w:spacing w:after="0" w:line="13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to attract potential customers for our HELOC products on other products, and our ability to grow our business depends on our ability to continue these relationships.</w:t>
      </w:r>
    </w:p>
    <w:p>
      <w:pPr>
        <w:spacing w:after="0" w:line="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depend on a number of strategic relationships to attract additional customers to our products. For example, through a number of strategic relationships, we purchase leads or otherwise advertise (e.g., on the provider’s website and/or via e-mail, or in the provider’s retail stores), on a non-exclusive basis, to consumers who may view the content and/or be customers of the lead or advertising platform providers. In some cases, we may offer consumers incentives to obtain HELOCs from us based on the consumers’ status as an enrollee or customer of a particular advertising platform. These incentives include gift cards to major retailers, offered to consumers upon the completion of specific tasks, such as securing a funded loan or completing a survey. These gift cards have no cash value and are not redeemable for interests in our company or our affiliates. These incentives fall outside the scope of Section 8 of RESPA, which regulates payments in exchange for referrals. The gift cards are a benefit solely to the consumer and have the effect of reducing the cost of credit. Because we provide the gift cards unilaterally and not in exchange for or in anticipation of referrals, and no third party receives anything of value for influencing a consumer’s choice of settlement service provider, such practices do not constitute a violation of RESPA.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Identifying strategic partners, and negotiating and documenting relationships with them, requires significant time and resources. In addition, there is significant competition to develop relationships with these strategic partners, and our competitors may be effective in providing incentives to favor their products or platforms or to prevent or reduce our ability to advertise our offerings and our platform to consumers. If we are unsuccessful in maintaining our relationships with strategic partners and identifying new strategic partners and establishing relationships with them in a timely manner, our ability to compete in the marketplace or to grow our revenue could be impaired and our results of operations may be materially and adversely affected. Additionally, certain of our relationships may require extensive time and resources to establish and, once established, would require time and resources to terminate and unwind. To minimize any disruption associated with such a termination, certain of our relationships include transition service and wind-down periods. We cannot guarantee we will be successful in establishing these relationships or, if necessary, terminating and unwinding these relationships, and establishing or terminating these relationships could require substantial time and attention from our management team. Additionally, we cannot assure you that we will be able to successfully replace a terminated relationship with a new relationship. If we are unable to effectively manage our strategic partner relationships, this could materially and adversely affect our business, financial condition, and results of operations.</w:t>
      </w:r>
    </w:p>
    <w:p>
      <w:pPr>
        <w:spacing w:after="0" w:line="13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are also subject to legal and regulatory risks associated with these relationships, including changes in law or interpretations of law that could result in increased scrutiny of these relationships, require restructuring of these relationships, and/or diminish the value of these relationships.</w:t>
      </w:r>
    </w:p>
    <w:p>
      <w:pPr>
        <w:spacing w:after="0" w:line="119"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If we do not compete effectively in our target markets, our business, financial condition, and results of operations could be adversely affected.</w:t>
      </w:r>
    </w:p>
    <w:p>
      <w:pPr>
        <w:spacing w:after="0" w:line="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consumer lending market is highly competitive and increasingly dynamic as emerging technologies continue to enter into the lending ecosystem. With the introduction of new technologies and the influx of new entrants, competition may persist and intensify in the future, which could have an adverse effect on our business, financial condition, and results of operations.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inability to compete effectively could result in reduced loan volumes, reduced average size of loans facilitated on our platform, reduced fees, increased marketing and customer acquisition costs, or the failure of our platform to achieve or maintain more widespread market acceptance, any of which could adversely affect our business, financial condition, and results of operations.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Consumer lending is a vast and competitive market, and we compete to varying degrees with all other sources of consumer credit, which can include banks, non-bank lenders, including retail-based lenders, and other financial technology lending platforms. Although HELOCs often have more attractive interest rates than credit card debt, we compete with the convenience and ubiquity that credit cards represent. Many of our competitors operate with different business models, have different funding sources,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also face competition from banks or companies that have not previously competed in the consumer lending market, including companies with access to vast amounts of 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new technologies. Many of our current or potential competitors have significantly more resources, such as financial, technical, and marketing resources, than we do and may be able to devote greater resources to the development, promotion, sale, and support of their platforms and distribution channels.</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face competition in areas such as compliance capabilities, commercial financing terms, costs of capital, interest rates, fees (and other financing terms) available to our partners’ customers, approval rates, model efficiency, speed, simplicity of loan origination, ease-of-use, marketing expertise,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levels, products and services, technological capabilities and integration, customer experience, brand and reputation, and terms available to our base of loan purchasers on the secondary market. Our competitors may also have longer operating histories, lower commercial financing costs or costs of capital, more extensive customer bases, more diversified products and customer bases, operational efficiencies, more versatile or extensive technology platforms, greater brand recognition and brand loyalty, broader customer relationships in Figure-branded and Partner-branded channels, more extensive and/or more diversified base of loan purchasers on the secondary market than we have, greater capacity to fund loans through their balance sheets, and more products and services than we have. Furthermore, our existing and potential competitors may decide to modify their pricing and business models to compete more directly with us. Our ability to compete will also be affected by our ability to provide our partners with a commensurate or more extensive suite of loan technologies than those offered by our competitors. In addition, current or potential competitors, including financial technology lending platforms and existing or potential partners, may also acquire or form strategic alliances with one another, which could result in our competitors being able to offer more competitive loan terms due to their access to lower-cost capital. Such acquisitions or strategic alliances among our competitors or potential competitors could also make our competitors more adaptable to a rapidly evolving regulatory environment.</w:t>
      </w:r>
    </w:p>
    <w:p>
      <w:pPr>
        <w:spacing w:after="0" w:line="136"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To remain competitive, we may need to increase our regulatory compliance expenditures or our ability to compete could be adversely affected.</w:t>
      </w:r>
    </w:p>
    <w:p>
      <w:pPr>
        <w:spacing w:after="0" w:line="9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the digital asset industry is highly innovative, rapidly evolving, and characterized by significant competition, experimentation, changing customer needs, frequent introductions of new products and services, and subject to uncertain and evolving industry and regulatory requirements. We expect competition for Figure Exchange to further intensify in the future as existing and new competitors introduce new products or enhance existing products. We compete against a number of companies operating both within the United States and abroad, and both those that focus on traditional financial services and those that focus on digital asset-based services. Our current and contemplated competitors fall into the following categories:</w:t>
      </w:r>
    </w:p>
    <w:p>
      <w:pPr>
        <w:spacing w:after="0" w:line="128" w:lineRule="exact"/>
        <w:rPr>
          <w:sz w:val="20"/>
          <w:szCs w:val="20"/>
          <w:color w:val="auto"/>
        </w:rPr>
      </w:pPr>
    </w:p>
    <w:p>
      <w:pPr>
        <w:jc w:val="both"/>
        <w:ind w:left="660" w:hanging="328"/>
        <w:spacing w:after="0" w:line="25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companies focused on the digital asset market, including (i) direct competitors with Figure Exchange who are also required to adhere to the same or similar local regulations as us and (ii) competitors who are not subject to or do not adhere to the same local rules and regulations as us or who operate in jurisdictions with less stringent local rules and regulations. As a result, many of our competitors are potentially able to more quickly adapt to trends, support a greater number of digital assets, and develop new digital asset-based products and services due to their different standard of regulatory compliance or scrutiny;</w:t>
      </w:r>
    </w:p>
    <w:p>
      <w:pPr>
        <w:spacing w:after="0" w:line="1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traditional financial technology and brokerage firms that have entered the digital asset market in recent years and offer overlapping features targeted at our customers; and</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digital asset-focused companies and traditional financial incumbents that offer point or siloed solutions specifically targeted at institutional customers.</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 the recent change in administration may lead to a more favorable federal regulatory environment for digital assets, which may encourage more traditional financial institutions to enter the digital asset industry. Such financial institutions may have significantly greater financial, technical, marketing and other resources than we do, which may allow them to more efficiently identify and capitalize upon opportunities and trends, transition and adapt their products and services, and devote greater resources to marketing and advertising, all of which could adversely affect our ability to compete effectively.</w:t>
      </w:r>
    </w:p>
    <w:p>
      <w:pPr>
        <w:spacing w:after="0" w:line="1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noted above, our competition to date for Figure Exchange includes companies, in particular those located outside the United States, who are not required to or do not comply with the same regulatory compliance standards as us or who are subject to significantly less stringent regulatory and compliance requirements in their local jurisdictions, as well as DeFi protocols, each of which also may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less stringent regulatory and compliance requirements, or none at all. The business models of such competitors rely on or benefit from being unregulated or only regulated in a small number of lower compliance jurisdictions, whilst also offering their products in highly regulated jurisdictions, including the United States, without necessarily complying with the relevant regulatory requirements in such jurisdictions.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 date, and although there have been a small number of enforcement actions by U.S. and foreign regulators against such offshore platforms, developers of DeFi protocols, many of these competitors have been able to operate from offshore while offering large numbers of products and services to consumers, including in the United States, Europe, and other highly regulated jurisdictions, without complying with the relevant licensing and other requirements in these jurisdictions, and seemingly without penalty. Due to our regulated status in several jurisdictions and our commitment to legal and regulatory compliance, we have not been able to offer many popular products and services, including products and services that our unregulated or less regulated competitors are able to offer to a group that includes many of our customers, or expand our offerings to new jurisdictions where we are currently not allowed to offer products, which may adversely impact our business, financial condition, and results of operations.</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recent years, we have also expended significant managerial, operational, and compliance costs to meet the legal and regulatory requirements applicable to us in the United States and other jurisdictions in which we operate. Such costs have increased as we expanded our products and services that we offer. We expect to continue to incur significant costs to satisfy our legal and compliance obligations, which our unregulated or less regulated competitors have not had to and will not incur.</w:t>
      </w:r>
    </w:p>
    <w:p>
      <w:pPr>
        <w:spacing w:after="0" w:line="12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Additionally, due to the broad nature of our products and services, we also compete with, and expect additional competition from, digital and mobile payment companies and other traditional financial services companies.</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Many innovative start-up companies and larger companies have made, and continue to make, significant investments in research and development in digital asset markets, and we expect these companies to continue to develop similar or superior products and technologies that compete with Figure Exchange. Further, more traditional financial and non-financial services businesses may choose to offer digital asset-based services in the future as the industry gains adoption. Our current and potential competitors may establish cooperative relationships among themselves or with third parties that may further enhance their resources.</w:t>
      </w:r>
    </w:p>
    <w:p>
      <w:pPr>
        <w:spacing w:after="0" w:line="1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existing competitors for Figure Exchange have, and our potential competitors are expected to have, various competitive advantages over us, such as:</w:t>
      </w:r>
    </w:p>
    <w:p>
      <w:pPr>
        <w:spacing w:after="0" w:line="99" w:lineRule="exact"/>
        <w:rPr>
          <w:sz w:val="20"/>
          <w:szCs w:val="20"/>
          <w:color w:val="auto"/>
        </w:rPr>
      </w:pPr>
    </w:p>
    <w:p>
      <w:pPr>
        <w:ind w:left="660" w:right="2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offer products and services globally. Incumbents were able to operate while jurisdictions worked to develop local legislation and had the resources to pursue licenses around the global simultaneously;</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offer certain products and services that we do not support or offer on our platform (due to constraints from regulatory authorities, our banking partners, and other factors) such as tokens that constitute securities or derivative instruments under U.S. or foreign laws;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name recognition, longer operating histories, larger customer bases, and larger market shares;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larger sales and marketing budgets and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established marketing, banking, financial, and compliance relationships;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3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larger and more mature intellectual property portfolios;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number of applicable licenses or similar authorizations;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operations in certain jurisdictions with lower compliance costs and greater flexibility to explore new product offerings.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If we are unable to compete successfully, or if competing successfully requires us to take costly actions in response to the actions of our competitors, our business, financial condition, and results of operations could be adversely affected.</w:t>
      </w:r>
    </w:p>
    <w:p>
      <w:pPr>
        <w:spacing w:after="0" w:line="10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expect to introduce and develop new products and services, and if these products or services are not successful or we are unable to manage the related risks, our business, financial condition, and results of operations could be adversely affected.</w:t>
      </w:r>
    </w:p>
    <w:p>
      <w:pPr>
        <w:spacing w:after="0" w:line="8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are continuing to invest in the development of new products and services. For example, we launched Figure Exchange in March 2024, Figure Connect in June 2024, YLDS in February 2025, and Democratized Prime in June 2025. New initiatives are inherently unpredictable and risky, as each involves unproven business strategies, new regulatory requirements, and new financial products and services with which we, and in some cases our customers, may have limited or no prior development or operating experience.</w:t>
      </w:r>
    </w:p>
    <w:p>
      <w:pPr>
        <w:spacing w:after="0" w:line="12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cannot be sure that we will be able to develop, commercially market, and achieve market acceptance of any new products and services, including Figure Exchange, Figure Connect, YLDS, and Democratized Prime. In addition, our investment of resources to develop new products and services may either be insufficient or result in expenses that are excessive in light of revenue actually derived from these new products and services. It is also possible that such investment of resources may need to be delayed or deferred.</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Furthermore, failure to accurately predict demand or growth with respect to our new products and services could have an adverse impact on our reputation and business, and our new products and services may be less profitable than we expect, increase our costs, decrease our operating margins, or take longer than anticipated to achieve target margins. For example, if the profile of borrowers using any new products and services is different from that of those currently served by our HELOC product or other loan products, our proprietary algorithms may not be able to accurately evaluate the credit risk of such borrowers, and our partners and loan purchasers in our loan funding programs may in turn experience higher levels of delinquencies or defaults.</w:t>
      </w:r>
    </w:p>
    <w:p>
      <w:pPr>
        <w:spacing w:after="0" w:line="1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our recently launched products Figure Connect, Figure Exchange, YLDS, and Democratized Prime have increased our regulatory compliance obligations and increased our costs.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will divert capital and other resources from our existing business.</w:t>
      </w:r>
    </w:p>
    <w:p>
      <w:pPr>
        <w:spacing w:after="0" w:line="1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may also have difficulty with securing adequate funding for any such new loan products and services originated on our platform, and if we are unable to do so, our ability to develop and grow these new offerings and services will be impaired. If we are unable to effectively manage the foregoing risks,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we cannot keep pace with rapid digital asset industry changes to provide new and innovative products and services, the use of our products and services, and consequently our net revenue, could decline, which could adversely impact our business, financial condition, and results of operations.</w:t>
      </w:r>
    </w:p>
    <w:p>
      <w:pPr>
        <w:spacing w:after="0" w:line="1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digital asset industry has been characterized by many rapid, significant, and disruptive products and services in recent years. These include decentralized applications, DeFi, yield farming, non-fungible tokens, play-to-earn games, lending, staking, token wrapping, governance tokens, innovative programs to attract customers such as transaction fee mining programs, initiatives to attract traders such as trading competitions, airdrops and giveaways, staking reward programs, “layer 2” blockchain networks, and novel digital asset fundraising and distribution schemes, such as “initial exchange offerings.” We expect new digital asset products, services, and technologies to continue to emerge and evolve, which may be superior to, or render obsolete, the products and services that we currently provide or utilize. For example, disruptive technologies such as generative artificial intelligence (“AI”) may fundamentally alter the use of our products or services in unpredictable ways. We cannot predict the effects of new services and technologies on our business. However, our ability to grow our customer base and net revenue will depend heavily on our ability to innovate and create successful new products and services, both independently and in conjunction with third-party developers. In particular, developing and incorporating new products and services into our business may require substantial expenditures, take considerable time, and ultimately may not be successful. Any new products or services could fail to attract customers, generate revenue, or perform or integrate well with third-party applications and platforms. In addition, our ability to adapt and compete with new products and services may be inhibited by regulatory requirements and general uncertainty in the law and regulatory expectations, constraints by our banking partners and payment processors, third-party intellectual property rights, or other factors. Moreover, we must continue to enhance our technical infrastructure and other technology offerings to remain competitive and maintain a platform that has the required functionality, performance, capacity, security, and speed to attract and retain customers, including large, institutional, high-frequency, and high-volume traders. As a result, we expect to incur significant costs and expenses to develop and upgrade our technical infrastructure to meet the evolving needs of the industry. Our success will depend on our ability to develop and incorporate new offerings and adapt to technological changes and evolving industry practices. If we are unable to do so in a timely or cost-effective manner, our business and our ability to successfully compete, to retain existing customers, and to attract new customers may be adversely affected.</w:t>
      </w:r>
    </w:p>
    <w:p>
      <w:pPr>
        <w:spacing w:after="0" w:line="136"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Negative publicity and unfavorable media coverage could adversely affect our business, financial condition, and results of operations.</w:t>
      </w:r>
    </w:p>
    <w:p>
      <w:pPr>
        <w:spacing w:after="0" w:line="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Negative publicity about us, our partners, the financial services technology industry, or the digital assets industry, including with respect to the transparency, fairness, user experience, quality, reliability, and the security of our platform, effectiveness of our credit decisioning or scoring models, effectiveness of our collection efforts, changes to our platform, loss of access to data related to assets and trades recorded on Provenance Blockchain due to causes such as fraudulent or accidental transactions, technology failures or disruptions, security breaches or incidents, our ability to grow our customer base at a rate expected by the market, our ability to effectively manage and resolve customer complaints, our ability to manage customer accounts in compliance with regulatory requirements which may not be clear, our or our partners’ privacy, data and security practices, use of loan proceeds by certain borrowers or other companies in our industry for illegal purposes, litigation, regulatory activity, misconduct by our employees, partners or wholesale brokers, vendors, other service providers, or others in the financial services technology industry, and the experience of our customers or our partners and their customers with our platform or services, even if inaccurate, could adversely affect our reputation and the confidence in, and the use of, our platform, which could harm our reputation and cause disruptions to our platform. Any such reputational harm could further affect the behavior of our customers and partners, including their willingness to use our platform,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rely on our management team and will require additional key personnel to grow our business, and the loss of key management members or key employees, or an inability to hire key personnel, could adversely affect our business, financial condition, and results of operations.</w:t>
      </w:r>
    </w:p>
    <w:p>
      <w:pPr>
        <w:spacing w:after="0" w:line="1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believe our success has depended, and continues to depend, on the efforts and talents of our senior management, who have significant experience in the financial services and technology industries, are responsible for our core competencies, and would be difficult to replace. Our future success depends on our continuing ability to attract, develop, motivate, and retain highly qualified and skilled employees. Qualified individuals are in high demand, and we may incur significant costs to attract and retain them. In connection with the Recombination, we plan to appoint additional members to our board of directors. Our future success will depend, in part, on the ability of our new executives and board members to quickly expand their knowledge of our operations, which will be critical to their ability to make informed decisions about our business and strategies, particularly given the competitive environment in which we operate. Certain of the companies against which we compete for experienced talent have greater financial and other resources, different risk profiles, longer histories in the industry, and greater ability to provide valuable cash or stock incentives to potential recruits than we do. Competition for this experienced talent is strong and our failure to attract, train, retain, and motivate such additional executives and board members could hinder or delay our strategic planning and execution, as well as adversely affect our ability to attract and retain other experienced and talented employees. The transition of our board of directors and senior management team as a result of the Recombination may compromise our ability to compete effectively.</w:t>
      </w:r>
    </w:p>
    <w:p>
      <w:pPr>
        <w:spacing w:after="0" w:line="13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the loss of any of our senior management or key employees could adversely affect our ability to execute our business plan and strategy, and we may not be able to find adequate replacements on a timely basis, or at all, and our other employees may be required to take on additional responsibilities. Furthermore, many candidates evaluate year-over-year stock growth trends for a sense of the potential long-term value of their proposed stock awards or have recently begun to discount the value of growth stocks on the whole. Volatility in the market price of our Class A common stock could harm our ability to attract and retain talent. Our executive officers and other employees are at-will employees, which means they may terminate their employment relationship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financial condition, and results of operations could be adversely affected.</w:t>
      </w:r>
    </w:p>
    <w:p>
      <w:pPr>
        <w:spacing w:after="0" w:line="12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business is subject to the risks of natural disasters, power outages, telecommunications failures, public health crises and similar events, and to interruptions by human-made problems such as war, terrorism, cyberattacks and other actions, which may impact the demand for our products or our customers’ ability to repay their loans.</w:t>
      </w:r>
    </w:p>
    <w:p>
      <w:pPr>
        <w:spacing w:after="0" w:line="1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Events beyond our control may damage our ability to maintain our platform and provide services to our customers. Such events include, but are not limited to, hurricanes, earthquakes, fires, floods, and other natural disasters, pandemics, power outages, telecommunications failures, and similar events. Despite any precautions we may take, system interruptions and delays could occur if there is a natural disaster, if a third-party provider closes a facility we use without adequate notice for financial or other reasons, or if there are other unanticipated problems at our leased facilities. Because we rely heavily on our servers, computer and communications systems, and the internet to conduct our business and provide high-quality service to our customers, disruptions could harm our ability to effectively run our business. Moreover, our customers, including partners, and other service providers face similar risks, which could directly or indirectly impact our business, financial condition, and results of operations. We currently use Google Cloud Platform (“GCP”). While other providers are available, we would be unable to switch instantly to another system in the event of failure to access GCP. This means that an outage of GCP could result in our system being unavailable for a significant period of time. Terrorism, cyberattacks, and other criminal, tortious, or unintentional actions could also give rise to significant disruptions to our operations. In addition, the long-term effects of climate change on the global economy and in particular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industry are unclear; however, we recognize that there are inherent climate-related risks wherever business is conducted. For example, our offices may be vulnerable to the adverse effects of climate change. We are headquartered in New York, New York and have additional offices located in Charlotte, North Carolina, San Francisco, California, and Reno, Nevada, regions that are prone to events such as seismic activity and/or severe weather and that have experienced and may continue to experience climate-related events and at an increasing rate. Examples include drought and water scarcity, warmer temperatures, wildfires, and air quality impacts and power shutoffs associated with wildfire prevention. The increasing intensity of drought throughout California and annual periods of wildfire danger increase the probability of planned power outages. In addition, acts of war and other armed conflicts, disruptions in global trade, travel restrictions, quarantines, terrorism, and other civil, political, and geopolitical unrest could cause disruptions in our business and lead to interruptions, delays, or loss of critical data.</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we maintain a disaster response plan and insurance, such events could disrupt our business, the business of our customers or third-party suppliers, and may cause us to experience losses and additional costs to maintain and resume operations. Our business interruption insurance may not be sufficient to compensate us for losses that may result from interruptions in our service as a result of system failures or other disruptions. Comparable natural and other risks may reduce demand for our products or cause our customers to suffer significant losses and/or incur significant disruption in their respective operations, which may affect their ability to satisfy their obligations to us. All of the foregoing could adversely affect our business, financial condition, and results of operations.</w:t>
      </w:r>
    </w:p>
    <w:p>
      <w:pPr>
        <w:spacing w:after="0" w:line="13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The use of blockchain technology in the primary and secondary loan markets is still in relatively early stages of growth, and if these markets do not continue to accept our blockchain-supported platform, or if these markets accept our platform more slowly than we expect, or if the markets for our platform fail to grow as large as we expect, our business, financial condition, and results of operations could be adversely affected.</w:t>
      </w:r>
    </w:p>
    <w:p>
      <w:pPr>
        <w:spacing w:after="0" w:line="11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Use of, and reliance on, blockchain technology in the lending industry is still at an early stage among participants, and we do not know whether financial services firms will continue to use our platform in the future, or whether the primary and secondary loan markets will change in ways we do not anticipate. Many financial services firms have invested substantial personnel and financial resources in legacy software, and these institutions may be reluctant, unwilling, or unable to adapt their existing systems to our platform. Furthermore, these financial services firms may be reluctant, unwilling, or unable to use our software due to various concerns, such as their familiarity with blockchain technology, the security of their data, the reliability of the delivery model, and uncertainty as to the regulatory treatment of blockchain technology. These concerns or other considerations may cause current and prospective counterparties to choose alternative products or firms, which could adversely affect our business, financial condition, and results of operations. Our future success also depends on our ability to sell additional products, services, and functionality to our current and prospective partners, as well as to facilitate distribution of those products effectively into the capital markets. As we create new products and services and enhance our existing products and services, these applications and enhancements may not be attractive to customers, partners, or counterparties, or we may encounter difficulties in achieving interoperability between our new products and services and our existing products and services. In addition, promoting and selling new and enhanced products and platform and processing functionality may require increasingly costly sales and marketing efforts, and if customers and our partners choose not to adopt this functionality, our business, financial condition, and results of operations could be adversely affected.</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future development and growth of the digital asset market is subject to a variety of factors that are difficult to predict and evaluate. If the digital asset market does not grow as we expect, our business, financial condition, and results of operations could be adversely affected.</w:t>
      </w:r>
    </w:p>
    <w:p>
      <w:pPr>
        <w:spacing w:after="0" w:line="10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Digital assets built on blockchain technology were only introduced in 2008 and remain in the early stages of development. Digital assets are a new asset class that, as of yet, have not been widely adopted, particularly by institutional investors and corporate securities issuers. Figure Exchange will rely on the acceptance and use by such investors and issuers of digital assets to create demand for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products and services. Though we believe that the anticipated benefits of digital assets will create such demand, there can be no assurance that this will occur, or if it does occur, that it will be in the near term.</w:t>
      </w:r>
    </w:p>
    <w:p>
      <w:pPr>
        <w:spacing w:after="0" w:line="9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different digital assets and digital asset networks are designed for different purposes. Bitcoin, for instance, was designed to serve as a peer-to-peer electronic cash system, while the Ethereum network was designed to be a smart contract and decentralized application platform. Many other digital asset networks—ranging from cloud computing to tokenized securities networks—have only recently been established or begun to emerge. The further growth and development of any digital assets and their underlying networks and other cryptographic and algorithmic protocols governing the creation, transfer, and usage of digital assets represent a new and evolving paradigm that is subject to a variety of factors that are difficult to evaluate, including:</w:t>
      </w:r>
    </w:p>
    <w:p>
      <w:pPr>
        <w:spacing w:after="0" w:line="128" w:lineRule="exact"/>
        <w:rPr>
          <w:sz w:val="20"/>
          <w:szCs w:val="20"/>
          <w:color w:val="auto"/>
        </w:rPr>
      </w:pPr>
    </w:p>
    <w:p>
      <w:pPr>
        <w:jc w:val="both"/>
        <w:ind w:left="66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many digital asset networks have limited operating histories and are still in the process of developing and making significant decisions that will affect the design, supply, issuance, functionality, and governance of their respective digital assets and underlying blockchain networks, any of which could adversely affect their respective digital assets;</w:t>
      </w:r>
    </w:p>
    <w:p>
      <w:pPr>
        <w:spacing w:after="0" w:line="11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many digital asset networks are in the process of implementing software upgrades and other changes to their protocols, which could introduce software bugs, security risks, or adversely affect the respective digital asset networks;</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several large networks, including Bitcoin and Ethereum, are developing new features to address fundamental speed, scalability, and energy usage issues. If these issues are not successfully addressed, or are unable to receive widespread adoption, the underlying digital assets could be adversely affected;</w:t>
      </w:r>
    </w:p>
    <w:p>
      <w:pPr>
        <w:spacing w:after="0" w:line="116"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security issues, software bugs, and software errors have been identified with many digital assets and their underlying blockchain networks or protocols, some of which have been exploited by malicious actors. There are also inherent security weaknesses in some digital assets, such as when creators of certain digital asset networks use procedures that could allow hackers to counterfeit tokens. Any weaknesses identified with a digital asset could adversely affect its price, security, liquidity, and adoption. If a malicious actor or botnet (a volunteer or hacked collection of computers controlled by networked software coordinating the actions of the computers) obtains a majority of the compute or staking power on a digital asset network, as has happened in the past, it may be able to manipulate transactions, which could cause financial losses to holders, damage the network’s reputation and security, and adversely affect its value;</w:t>
      </w:r>
    </w:p>
    <w:p>
      <w:pPr>
        <w:spacing w:after="0" w:line="130"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emergence of quantum computing and its potential for shortening the time required by governments, criminals, and unauthorized third parties to factor and derive the very large seed numbers (e.g., private keys) associated with current public key cryptography poses a future risk to current approaches to blockchain cryptography that protect many digital assets from theft or loss;</w:t>
      </w:r>
    </w:p>
    <w:p>
      <w:pPr>
        <w:spacing w:after="0" w:line="116"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development of new technologies for mining, such as improved application-specific integrated circuits (commonly referred to as ASICs), or changes in industry patterns, such as the consolidation of mining power in a small number of large mining farms, could reduce the security of blockchain networks, lead to increased liquid supply of digital assets, and reduce a digital asset’s price and attractiveness;</w:t>
      </w:r>
    </w:p>
    <w:p>
      <w:pPr>
        <w:spacing w:after="0" w:line="12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rewards and transaction fees for miners or validators on any particular digital asset network are not sufficiently high to attract and retain miners or validators, a digital asset network’s security and speed may be adversely affected, increasing the likelihood of a malicious attack;</w:t>
      </w:r>
    </w:p>
    <w:p>
      <w:pPr>
        <w:spacing w:after="0" w:line="11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costs of electricity, environmental restrictions, and regulations make it uneconomic for miners to operate or maintain blockchain networks, the overall security and efficiency of digital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39" w:lineRule="exact"/>
        <w:rPr>
          <w:sz w:val="20"/>
          <w:szCs w:val="20"/>
          <w:color w:val="auto"/>
        </w:rPr>
      </w:pPr>
    </w:p>
    <w:p>
      <w:pPr>
        <w:ind w:left="328"/>
        <w:spacing w:after="0"/>
        <w:rPr>
          <w:sz w:val="20"/>
          <w:szCs w:val="20"/>
          <w:color w:val="auto"/>
        </w:rPr>
      </w:pPr>
      <w:r>
        <w:rPr>
          <w:rFonts w:ascii="Arial" w:cs="Arial" w:eastAsia="Arial" w:hAnsi="Arial"/>
          <w:sz w:val="18"/>
          <w:szCs w:val="18"/>
          <w:color w:val="auto"/>
        </w:rPr>
        <w:t>asset networks may be adversely affected, potentially impacting their reliability and attractiveness to users and investors;</w:t>
      </w:r>
    </w:p>
    <w:p>
      <w:pPr>
        <w:spacing w:after="0" w:line="171" w:lineRule="exact"/>
        <w:rPr>
          <w:sz w:val="20"/>
          <w:szCs w:val="20"/>
          <w:color w:val="auto"/>
        </w:rPr>
      </w:pPr>
    </w:p>
    <w:p>
      <w:pPr>
        <w:jc w:val="both"/>
        <w:ind w:left="328" w:hanging="328"/>
        <w:spacing w:after="0" w:line="268"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many digital assets have concentrated ownership or an “admin key,” allowing a small group of holders to have significant or unilateral control and potentially collusive influence over key decisions relating to their digital asset networks, such as governance decision and protocol changes, which could impact the market price of such digital assets;</w:t>
      </w:r>
    </w:p>
    <w:p>
      <w:pPr>
        <w:spacing w:after="0" w:line="116" w:lineRule="exact"/>
        <w:rPr>
          <w:rFonts w:ascii="Arial" w:cs="Arial" w:eastAsia="Arial" w:hAnsi="Arial"/>
          <w:sz w:val="18"/>
          <w:szCs w:val="18"/>
          <w:color w:val="auto"/>
        </w:rPr>
      </w:pPr>
    </w:p>
    <w:p>
      <w:pPr>
        <w:jc w:val="both"/>
        <w:ind w:left="328" w:hanging="328"/>
        <w:spacing w:after="0" w:line="259"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governance of many decentralized blockchain networks and protocols is by voluntary consensus and open competition, and many developers are not directly compensated for their contributions. As a result, there may be a lack of consensus or clarity on the governance of any particular digital asset network or protocols, a lack of incentives for developers to maintain or develop the network, and other unforeseen issues, any of which could result in unexpected or undesirable errors, bugs, or changes, or stymie such network or protocol’s utility and ability to respond to challenges and grow;</w:t>
      </w:r>
    </w:p>
    <w:p>
      <w:pPr>
        <w:spacing w:after="0" w:line="125"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many digital asset networks and protocols are in the early stages of developing partnerships and collaborations, all of which may not succeed and adversely affect the usability and adoption of the respective digital assets;</w:t>
      </w:r>
    </w:p>
    <w:p>
      <w:pPr>
        <w:spacing w:after="0" w:line="98" w:lineRule="exact"/>
        <w:rPr>
          <w:rFonts w:ascii="Arial" w:cs="Arial" w:eastAsia="Arial" w:hAnsi="Arial"/>
          <w:sz w:val="18"/>
          <w:szCs w:val="18"/>
          <w:color w:val="auto"/>
        </w:rPr>
      </w:pPr>
    </w:p>
    <w:p>
      <w:pPr>
        <w:jc w:val="both"/>
        <w:ind w:left="328" w:hanging="328"/>
        <w:spacing w:after="0" w:line="257"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digital assets have only recently become selectively accepted as a means of payment by retail and commercial outlets, and use of digital assets by consumers to pay such retail and commercial outlets remains limited. Banks and other established financial institutions may refuse to (i) process funds for digital asset transactions; (ii) process wire transfers to or from digital asset exchanges, digital asset-related companies, and service providers; or (iii) maintain accounts for persons or entities transacting in digital assets. As a result, the prices of various digital assets are largely determined by speculators, miners and validators, thus contributing to price volatility, which makes retailers less likely to accept digital assets as a form of payment in the future;</w:t>
      </w:r>
    </w:p>
    <w:p>
      <w:pPr>
        <w:spacing w:after="0" w:line="128" w:lineRule="exact"/>
        <w:rPr>
          <w:rFonts w:ascii="Arial" w:cs="Arial" w:eastAsia="Arial" w:hAnsi="Arial"/>
          <w:sz w:val="18"/>
          <w:szCs w:val="18"/>
          <w:color w:val="auto"/>
        </w:rPr>
      </w:pPr>
    </w:p>
    <w:p>
      <w:pPr>
        <w:jc w:val="both"/>
        <w:ind w:left="328" w:hanging="328"/>
        <w:spacing w:after="0" w:line="259"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banks may choose to not provide or cease providing banking services to businesses that provide digital asset-related services or that accept digital assets as payment, which could harm our banking infrastructure, limit us from operating in certain jurisdictions or limit product or service offerings, dampen liquidity in the market, and damage public perception of digital assets generally or any one digital asset in particular and their or our utility as a payment system. These actions could decrease the price of digital assets generally or individually;</w:t>
      </w:r>
    </w:p>
    <w:p>
      <w:pPr>
        <w:spacing w:after="0" w:line="125" w:lineRule="exact"/>
        <w:rPr>
          <w:rFonts w:ascii="Arial" w:cs="Arial" w:eastAsia="Arial" w:hAnsi="Arial"/>
          <w:sz w:val="18"/>
          <w:szCs w:val="18"/>
          <w:color w:val="auto"/>
        </w:rPr>
      </w:pPr>
    </w:p>
    <w:p>
      <w:pPr>
        <w:ind w:left="328" w:hanging="328"/>
        <w:spacing w:after="0"/>
        <w:tabs>
          <w:tab w:leader="none" w:pos="3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is a lack of liquid markets in certain digital assets, and these markets are subject to possible manipulation;</w:t>
      </w:r>
    </w:p>
    <w:p>
      <w:pPr>
        <w:spacing w:after="0" w:line="171"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digital assets have concentrated ownership, and large sales or distributions by significant holders of such digital assets, or “whales,” could have an adverse effect on the market price of such digital assets;</w:t>
      </w:r>
    </w:p>
    <w:p>
      <w:pPr>
        <w:spacing w:after="0" w:line="98"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characteristics of digital assets have been, and may in the future continue to be, exploited to facilitate illegal activity such as fraud, money laundering, tax evasion, and ransomware scams;</w:t>
      </w:r>
    </w:p>
    <w:p>
      <w:pPr>
        <w:spacing w:after="0" w:line="98" w:lineRule="exact"/>
        <w:rPr>
          <w:rFonts w:ascii="Arial" w:cs="Arial" w:eastAsia="Arial" w:hAnsi="Arial"/>
          <w:sz w:val="18"/>
          <w:szCs w:val="18"/>
          <w:color w:val="auto"/>
        </w:rPr>
      </w:pPr>
    </w:p>
    <w:p>
      <w:pPr>
        <w:ind w:left="328" w:right="20" w:hanging="328"/>
        <w:spacing w:after="0" w:line="287"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governments, quasi-government and other regulatory bodies may impose additional regulation on digital assets and blockchain technology, and the regulatory environment for digital assets is changing and unpredictable;</w:t>
      </w:r>
    </w:p>
    <w:p>
      <w:pPr>
        <w:spacing w:after="0" w:line="98"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consumer demographics, public tastes and preferences, and general economic conditions may change and affect the acceptance and popularity of digital assets; and</w:t>
      </w:r>
    </w:p>
    <w:p>
      <w:pPr>
        <w:spacing w:after="0" w:line="98"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forks of digital assets may occur at any time. A fork can lead to a disruption of networks and our information and technology systems, cybersecurity attacks, replay attacks, or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08"/>
          </w:cols>
          <w:pgMar w:left="652" w:top="1440" w:right="339" w:bottom="1440" w:gutter="0" w:footer="0" w:header="0"/>
        </w:sectPr>
      </w:pPr>
    </w:p>
    <w:bookmarkStart w:id="49" w:name="page50"/>
    <w:bookmarkEnd w:id="49"/>
    <w:p>
      <w:pPr>
        <w:spacing w:after="0" w:line="139"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weaknesses, any of which can further lead to assets being unavailable for a period of time or temporary or even permanent loss of assets.</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Various other technical issues have also been uncovered from time to time that have or could have resulted in disabled functionalities, exposure of certain users’ personal information, theft of users’ assets, and other negative consequences, and which required resolution with the attention and efforts of their global miner, user, and development communities. If any such risks or other risks materialize, and in particular if they are not resolved, the development and growth of digital assets may be significantly affected and, as a result, our business, financial condition, and results of operations could be adversely affected.</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Many participants in the financial industry (including regulators) and other industries may oppose the development of products and services that utilize blockchain technology. The market participants who oppose such products and services may include entities with significantly greater resources, including financial resources and political influence, than we have. Our ability to operate and achieve our commercial goals could be adversely affected by any actions of any such market participants that result in additional regulatory requirements, legal challenges or other activities that make it more difficult for us to operate.</w:t>
      </w:r>
    </w:p>
    <w:p>
      <w:pPr>
        <w:spacing w:after="0" w:line="1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blockchain industry as a whole has been characterized by rapid changes and innovations and is constantly evolving. Although it has experienced significant growth in recent years, the slowing or stopping of the development, general acceptance and adoption and usage of blockchain technology and digital assets may adversely impact our business, financial condition, and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and we cannot be certain that additional financing will be available on favorable terms, or at all.</w:t>
      </w:r>
    </w:p>
    <w:p>
      <w:pPr>
        <w:spacing w:after="0" w:line="1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Historically, we have funded our operations and capital expenditures primarily through direct and indirect contributions from FT, cash generated from our operations, and debt financing for capital purchases. Although we currently anticipate that our existing cash and cash equivalents will be sufficient to meet our cash needs for at least the next 12 months, our anticipated cash needs may be greater than our resources and we may require additional financing. We evaluate financing opportunities from time to time, and our ability to obtain financing will depend, among other things, on our development efforts, business plans, operating performance, and the condition of the capital markets at the time we seek financing. We cannot assure you that additional financing will be available to us on favorable terms when required, or at all. If we raise additional funds through the issuance of equity or equity-linked securities, those securities may have rights, preferences, or privileges senior to the rights of our Class A common stock, and our stockholders may experience dilution. If we raise additional funds by incurring indebtedness, then we may be subject to increased fixed payment obligations and could be subject to restrictive covenants, such as limitations on our ability to incur additional debt, and other operating restrictions that could adversely affect our ability to conduct our business. Any future indebtedness we may incur may result in terms that could be unfavorable to our investors.</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To the extent that we seek to grow through future acquisitions or other strategic investments or alliances, we may not be able to do so effectively.</w:t>
      </w:r>
    </w:p>
    <w:p>
      <w:pPr>
        <w:spacing w:after="0" w:line="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may in the future seek to grow our business by exploring potential acquisitions or other strategic investments or alliances. However, we may not be successful in identifying businesses or opportunities that meet our acquisition or expansion criteria. In addition, even if a potential acquisition target or other strategic investment opportunity is identified, we may not be successful in completing such acquisition or integrating such new business or other investment. We may face significant competition for acquisition and other strategic investment opportunities from other well-capitalized companies that have greater financial resources and access to debt and equity capital to secure such acquisitions or investments than we do. As a result of such competition, we may be unable to acquire certain assets or businesses or take advantage of other strategic investment opportunities that we deem attractive, the purchase price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given strategic opportunity may be significantly elevated, or certain other terms or circumstances may be substantially more onerous. Moreover, we are subject to regulatory risk in connection with potential acquisitions or other strategic investments or alliances, including changes in law or interpretations of law that could result in increased scrutiny, require restructuring, and/or diminish the value of these acquisitions, investments, or alliances. There can be no assurance that we will be able to manage our expanding operations, including from acquisitions, investments, or alliances, and any failure to do so could adversely affect our business, financial condition, and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Specific Risks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loans originated by us or through our platform and purchased by us do not perform, or significantly underperform, we may incur financial losses on the loans we hold on our balance sheet, which could adversely affect our business, financial condition, and results of operations, as well as result in the loss of confidence of our funding sources.</w:t>
      </w:r>
    </w:p>
    <w:p>
      <w:pPr>
        <w:spacing w:after="0" w:line="1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retain a significant amount of loans on our balance sheet funded through warehouse credit facilities. Of the $ 531 million of loans on our balance sheet as of March 31, 2025, $423 million, or 80%, of these loans were funded through our warehouse credit facilities. Of the $396 million of loans on our balance sheet as of December 31, 2024, $ 305 million, or 77%, of these loans were funded through our warehouse credit facilities. For these loans and any future loans originated by us or loans originated by our partners using our technology and purchased by us that may be held for investment on our balance sheet, we bear the entire credit risk in the event of customer default. An increase in customer defaults on the HELOCs held on our balance sheet could have an adverse effect on our business given that a substantial percentage of such loans have liens with greater priority than those we hold. As of March 31, 2025 and December 31, 2024, we did not hold the first lien on 94% and 91%, respectively, of the HELOCs on our balance sheet. In addition, non-performance, or even significant underperformance, of the loan receivables that we own could have an adverse effect on our business, financial condition, and results of operations.</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Digital assets-secured personal loans are subject to the volatility of the digital assets markets. Significant fluctuations in the value of the digital assets securing the loans can trigger margin calls, requiring borrowers to provide additional collateral or make payments. Failure to meet margin calls can result in the liquidation of the borrower’s digital assets, potentially leading to financial losses and borrower dissatisfaction.</w:t>
      </w:r>
    </w:p>
    <w:p>
      <w:pPr>
        <w:spacing w:after="0" w:line="12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Additionally, our funding model relies on a variety of funding arrangements, including warehouse credit facilities, term securitizations, and whole loan sales. Any significant underperformance of the loans facilitated through our platform may adversely impact our relationship with such funding sources and result in their loss of confidence in us, which could lead to the termination of our existing funding arrangements and adversely affect our business, financial condition, and results of operations.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Increases in borrower default rates on loans could make us and our loans less attractive to loan purchasers, lenders under warehouse credit facilities and investors in securitizations, which may adversely affect our access to financing and our business, financial condition, and results of operations.</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Increases in borrower default rates, due to deteriorating economic conditions or other factors, could make us and our loans less attractive to our existing or prospective funding sources, including loan purchasers on the secondary market, securitization investors and lenders under debt warehousing facilities. The volatility of digital assets markets could exacerbate default risks on digital assets-secured personal loans, as significant fluctuations in collateral value may lead to borrower defaults or margin calls that are unmet, resulting in forced liquidations. These factors could further impact the attractiveness of our loans to existing or prospective funding sources. If our existing funding sources do not achieve their desired financial returns or if they suffer losses, they or prospective funding sources may increase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cost of providing future financing or refuse to provide future financing or purchase loans on terms acceptable to us or at all.</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HELOC securitizations are non-recourse to us and are collateralized by the pool of HELOCs pledged to the relevant securitization issuer. While we are not obligated to support the performance of the loans once securitized and the related securitization entities are variable interest entities that are not consolidated in our financial statements, the performance of these loans may nonetheless impact the credit ratings assigned to the securities issued by our securitization trusts. For example, if the loans securing our securitizations underperform relative to expectations, rating agencies may place the related bonds on watch, downgrade their ratings on such bonds, or revise their rating methodologies in a manner that reflects negatively on the underlying loan quality. Although these rating actions pertain to the securitization trusts and not to our corporate credit directly, they may influence how rating agencies, warehouse lenders, institutional loan purchasers, or other market participants assess our loan origination and servicing practices. As a result, negative loan performance or adverse rating actions could increase the cost of, or reduce access to, future financing—including warehouse credit facilities and loan sales—or limit the ability of our securitization trusts to issue securities on terms acceptable to us or at all.</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While we are able to temporarily hold loans on our balance sheet upon an increase in borrower default rates, a substantial increase in the volume of borrower defaults would negatively impact our financial condition. Consequently, if we were to be unable to arrange new or alternative methods of financing on favorable terms, we may have to curtail or cease our origination of loans, which would adversely affect our business, financial condition, and results of operations.</w:t>
      </w:r>
    </w:p>
    <w:p>
      <w:pPr>
        <w:spacing w:after="0" w:line="12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HELOCs and other loans we make, such as digital assets-secured personal loans, are subject to federal, state and local laws that regulate various aspects of lending, including disclosures, interest rates and other charges, and if we exceed applicable limitations on interest, loan charges, and other fees or fail to provide required disclosures, our business, financial condition, and results of operations could be significantly adversely affected, including but not limited to, through litigation (including damages), investigation, enforcement and other regulatory and legal action and penalties.</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HELOCs and other loans we make, such as digital assets-secured personal loans, are subject to applicable federal, state and local laws that regulate, among other things, interest rates and other charges, require specific disclosures, regulate specific practices, and require licensing of various participants in the transaction. In addition, other federal, state and local laws, public policy, and general principles of equity relating to the protection of consumers, unfair, deceptive, and abusive practices, and debt collection practices apply to the origination, ownership, servicing, or collection of the HELOCs and other loans we make.</w:t>
      </w:r>
    </w:p>
    <w:p>
      <w:pPr>
        <w:spacing w:after="0" w:line="1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Title V of the Depository Institutions Deregulation and Monetary Control Act of 1980 (“Title V”, “DIDMCA”), section 501, generally preempts state usury limitations on certain loans, mortgages, credit sales, or advances secured by a </w:t>
      </w:r>
      <w:r>
        <w:rPr>
          <w:rFonts w:ascii="Arial" w:cs="Arial" w:eastAsia="Arial" w:hAnsi="Arial"/>
          <w:sz w:val="18"/>
          <w:szCs w:val="18"/>
          <w:i w:val="1"/>
          <w:iCs w:val="1"/>
          <w:color w:val="auto"/>
        </w:rPr>
        <w:t>first lien on residential real property</w:t>
      </w:r>
      <w:r>
        <w:rPr>
          <w:rFonts w:ascii="Arial" w:cs="Arial" w:eastAsia="Arial" w:hAnsi="Arial"/>
          <w:sz w:val="18"/>
          <w:szCs w:val="18"/>
          <w:color w:val="auto"/>
        </w:rPr>
        <w:t xml:space="preserve"> made after March 31, 1980. The Office of the Comptroller of the Currency (the “OCC”), as successor to the Federal Home Loan Bank Board, was authorized to issue rules and regulations implementing Title V. While the statute authorized states to reimpose interest rate limits by adopting legislation or a constitutional provision before April 1, 1983, only fifteen states have done so. Even where Title V has not been so rejected, states retain the authority to limit certain other loan charges and other aspects of extending credit. Certain states have taken action to reimpose interest rate limits and/or limit these other loan charges or regulate other aspects of loans. Importantly, to the extent that a HELOC is secured by a </w:t>
      </w:r>
      <w:r>
        <w:rPr>
          <w:rFonts w:ascii="Arial" w:cs="Arial" w:eastAsia="Arial" w:hAnsi="Arial"/>
          <w:sz w:val="18"/>
          <w:szCs w:val="18"/>
          <w:i w:val="1"/>
          <w:iCs w:val="1"/>
          <w:color w:val="auto"/>
        </w:rPr>
        <w:t>subordinate</w:t>
      </w:r>
      <w:r>
        <w:rPr>
          <w:rFonts w:ascii="Arial" w:cs="Arial" w:eastAsia="Arial" w:hAnsi="Arial"/>
          <w:sz w:val="18"/>
          <w:szCs w:val="18"/>
          <w:color w:val="auto"/>
        </w:rPr>
        <w:t xml:space="preserve"> lien on the related property, that HELOC </w:t>
      </w:r>
      <w:r>
        <w:rPr>
          <w:rFonts w:ascii="Arial" w:cs="Arial" w:eastAsia="Arial" w:hAnsi="Arial"/>
          <w:sz w:val="18"/>
          <w:szCs w:val="18"/>
          <w:i w:val="1"/>
          <w:iCs w:val="1"/>
          <w:color w:val="auto"/>
        </w:rPr>
        <w:t>will not</w:t>
      </w:r>
      <w:r>
        <w:rPr>
          <w:rFonts w:ascii="Arial" w:cs="Arial" w:eastAsia="Arial" w:hAnsi="Arial"/>
          <w:sz w:val="18"/>
          <w:szCs w:val="18"/>
          <w:color w:val="auto"/>
        </w:rPr>
        <w:t xml:space="preserve"> qualify for preemption of state usury laws under Title V, as preemption under section 501 of Title V generally applies only to </w:t>
      </w:r>
      <w:r>
        <w:rPr>
          <w:rFonts w:ascii="Arial" w:cs="Arial" w:eastAsia="Arial" w:hAnsi="Arial"/>
          <w:sz w:val="18"/>
          <w:szCs w:val="18"/>
          <w:i w:val="1"/>
          <w:iCs w:val="1"/>
          <w:color w:val="auto"/>
        </w:rPr>
        <w:t>first</w:t>
      </w:r>
      <w:r>
        <w:rPr>
          <w:rFonts w:ascii="Arial" w:cs="Arial" w:eastAsia="Arial" w:hAnsi="Arial"/>
          <w:sz w:val="18"/>
          <w:szCs w:val="18"/>
          <w:color w:val="auto"/>
        </w:rPr>
        <w:t xml:space="preserve"> liens. Further, as a non-depository lender, we do not directly qualify for the interest rate preemption authority available to federally chartered or state-chartered banks under federal banking law (e.g., under section 85 of the National Bank Act, which applies to national banks, or section 521 of DIDMCA, which applies to state-chartered banks and has been the subject to recent state opt-out legislation and court challenges). As a result, our HELOCs and other loans we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may be subject to applicable state and local law limitations, including with respect to interest rates, loan charges, and other fees.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were to charge interest, fees, or other amounts that exceed applicable limitations, fail to deliver required disclosures to borrowers, or otherwise fail to comply with applicable federal, state, and local laws, the HELOCs or other loans we make, such as digital assets-secured personal loans, could be deemed unenforceable, in whole or in part. We might be unable to collect all or part of the principal, interest, or other amounts incurred by the customer, the customer could be entitled to refunds of amounts previously paid, and our securitization trusts and related entities, and any of their respective assignees, could be subject to litigation (including damages), investigation, enforcement and other regulatory and legal action and penalties. These consequences could adversely affect our business, financial condition, and results of operations. Unfavorable changes in state and local laws regulating lending, including interest rates and other charges, particularly in the states in which we have a high concentration of loan originations, could also adversely affect our business, financial condition, and results of operations.</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If a court or regulator determines that our HELOCs cannot be characterized as a fixed-rate extension of “open-end credit” under the TILA or state law, we would be subject to the more prescriptive closed-end mortgage laws and rules, as well as laws and rules applicable to variable-rate HELOCs, which would have a material adverse effect on our business, financial condition, and results of operations.</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HELOCs are characterized as “open-end credit” for purposes of the TILA because we contemplate that they will be used for repeated draws. However, it is possible that a court or regulator could recharacterize our HELOCs as closed-end credit. In such case, the HELOCs would be subject not only to TILA and Regulation Z’s ability to repay requirements, but also to a variety of other federal and state regulatory requirements that otherwise would not apply, including the TILA-RESPA Integrated Disclosure Rule, which was promulgated by the Consumer Financial Protection Bureau (the “CFPB”) and requires integrated loan estimate and closing disclosure forms to be provided to borrowers of closed-end mortgage loans, and the Loan Originator Compensation Rule, which was also promulgated by the CFPB and prohibits the payment to or receipt by loan originators of compensation that is based on a term of a closed-end consumer credit transaction secured by a dwelling or based on a proxy for such a term. In addition to TILA and Regulation Z, state laws may separately impose ability to repay requirements or other substantive restrictions, including under state licensing, mortgage lending, mortgage servicing, and usury laws, on closed-end mortgage loans that our HELOCs may not satisfy if they were to be re-characterized as extensions of closed-end credit.</w:t>
      </w:r>
    </w:p>
    <w:p>
      <w:pPr>
        <w:spacing w:after="0" w:line="13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proceeds of each of our HELOCs are fully drawn at account opening, with borrowers having the ability to take additional draws as the initial and any subsequent draws are repaid. Draw periods on the HELOCs generally last between two and five years after origination. Additionally, each draw (including the initial draw) is amortized from the draw date to the maturity date, and the interest rate for each draw is fixed, with the rate for draws after the initial draw being set based on a designated index and margin. The foregoing characteristics could potentially lead to scrutiny regarding whether the HELOCs may be “closed-end” or variable-rate credit. Accordingly, there can be no guarantee that a court or regulator would not determine that the HELOCs constitute an extension of closed-end credit. To the extent that a HELOC is recharacterized as closed-end credit or the originator of such HELOC is found to have structured the HELOC as open-end credit for the purpose of evading otherwise applicable regulatory requirements, all or part of the principal of or interest on the HELOC may not be collectable, the HELOC may be able to be rescinded by the borrower, the borrower may be entitled to a refund of amounts previously paid and we, our securitization trusts and related entities, and any of their respective assignees could be subject to litigation (including damages), investigation, enforcement and other regulatory and legal action and penalties. In addition, each draw (including the initial draw) is amortized from the draw date to the maturity date, and the interest rate for each draw is fixed, with the rate for draws after the initial draw being set based on a designated index and margin. Because the rate applicable to each draw does not vary after the draw is made, we originate our HELOCs in compliance with legal requirements applicable to fixed-rate HELOCs, which, in certain cases, may differ from the legal requirements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apply to variable-rate HELOCs. If a court or regulator were to recharacterize our HELOCs as a variable-rate HELOC, the HELOC may be able to be rescinded by the borrower, the borrower may be entitled to a refund of amounts previously paid and we, our securitization trusts and related entities, and any of their respective assignees could be subject to litigation (including damages), investigation, enforcement and other regulatory and legal action and penalties. Any such recharacterization of the HELOCs as either closed-end credit or variable-rate credit would affect all of the HELOCs that we have originated to date and would have a material adverse effect on our business, financial condition, and results of operations.</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Borrowers may prepay a loan at any time without penalty, which could reduce our servicing fees and deter our partners and loan purchasers from investing in our loans.</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borrower may decide to prepay all or a portion of the remaining principal amount on a loan at any time without penalty. If the entire or a significant portion of the remaining unpaid principal amount of a loan is prepaid, we would not receive a servicing fee, or we would receive a significantly lower servicing fee associated with such prepaid loan. Prepayments may occur for a variety of reasons, including if interest rates decrease after a loan is made. If a significant volume of prepayments occurs, the amount of our servicing fees would decline, which could adversely affect our business, financial condition, and results of operations. Our models are designed to predict prepayment rates. However, if there is a significant volume of prepayments that our models do not accurately predict, returns targeted by our partners and loan purchasers in our loan funding programs would be adversely affected, and our ability to attract new partners and loan purchasers in our loan funding programs would be negatively affected.</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management and security of digital assets collateral presents risk of potential loss of the collateral and attendant legal and reputational consequences.</w:t>
      </w:r>
    </w:p>
    <w:p>
      <w:pPr>
        <w:spacing w:after="0" w:line="8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rely on third-party custodial service providers to hold the digital asset collateral we receive in respect of digital asset-secured personal loans. At present, we entrust the collateral for digital asset-secured loans to Anchorage Digital Bank National Association (“Anchorage”), a qualified custodian. Anchorage is chartered and regulated by the Office of the Comptroller of the Currency. Our relationship with Anchorage is governed by a Master Custody Service Agreement. When we issue a digital asset-secured personal loan to a customer, we establish a new order form with Anchorage to manage the collateral associated with the loan. These agreements generally have a fixed one-year term and automatically renew for additional one-year terms unless either party terminates the agreement at least 30 days before the end of the then current term. Anchorage is entitled to an annual fee of 0.35% of the market value of the collateral, which is assessed as a 0.0292% monthly fee based on the market value of the collateral. While Anchorage is a federally regulated entity, we remain exposed to various risks as a result of our reliance on a third-party custodian to manage and hold the collateral in respect of our digital asset-secured loans. There are inherent risks associated with the security and management of digital assets, and we are therefore exposed to risks of loss stemming from the operational and cybersecurity systems and controls of such custodians. For example, cybersecurity threats or operational errors experienced by such custodians could result in the loss or compromise of some or all of the digital asset collateral they hold on our behalf. Were such a loss to occur, there is no guarantee that we would have full recourse against such custodian for the value of the collateral lost and we could be left in an unsecured position with respect to our digital asset loans. Moreover, such an event may also result in us incurring liability to return equivalent collateral to our borrowers. Such incidents could expose us to significant legal disputes and damage our reputation, potentially leading to financial losses and a loss of trust from our customers and investors.</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Declines in the value of the collateral for our digital assets-secured loans can lead to margin calls, affecting borrowers’ ability to manage their loans, exposes us to the financial, legal, and reputational risks associated with potential system failures, data inaccuracies, and cybersecurity threats, and potentially leading to financial losses for us.</w:t>
      </w:r>
    </w:p>
    <w:p>
      <w:pPr>
        <w:spacing w:after="0" w:line="104"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Our digital assets-secured personal loans are structured with fixed interest rates and fees based on the loans’ initial loan-to-value ratios. If the value of the digital assets collateral decreases significantly,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loan-to-value ratio can rise, triggering a margin call, which requires borrowers to either add more collateral or make payments to restore the loan-to-value ratio to its original level. Failure to meet margin calls can result in the liquidation of the borrower’s digital assets, potentially leading to financial losses for us if the collateral is insufficient to repay the borrower’s debt and borrower dissatisfaction.</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Reliance on technology for digital assets-secured loans exposes us to the financial, legal, and reputational risks associated with potential system failures, data inaccuracies, and cybersecurity threats.</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management of digital assets-secured loans is heavily dependent on advanced technology systems, including real-time pricing of collateral. This reliance introduces several risks, such as system failures that could disrupt loan processing and management, data inaccuracies that might lead to incorrect assessments of collateral value or borrower status, and cybersecurity threats that could compromise sensitive information. These vulnerabilities could adversely affect our operations, lead to financial losses, and impact our reputation and ability to retain and attract customers.</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loan underwriting processes rely on automation and on data from third-party vendors, and, if that data is inaccurate or if the technology supporting that automation fails or is deployed incorrectly, our business may suffer losses due to poor loan performance or loss of customers or loan purchasers on the secondary market.</w:t>
      </w:r>
    </w:p>
    <w:p>
      <w:pPr>
        <w:spacing w:after="0" w:line="1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origination platform relies on automation to process data we receive from third-party vendors in connection with the underwriting process. Third-party vendors provide the data used by our platform to verify the creditworthiness of potential borrowers. This data may include, but is not limited to, (i) certain applicant depository accounts, (ii) payroll information from providers, (iii) tax return information, when provided, or (iv) other documents uploaded by the applicant. For loans underwritten based on the borrower’s income, we underwrite each loan based on the lower of the stated income amount provided by the borrower and the verified income amount, but the third-party data may be inaccurate, or our algorithms may not account for certain scenarios, resulting in the overstatement of such applicant’s income during the underwriting process. If we fail to adequately predict the creditworthiness of borrowers due to the design of our models or programming or other errors, and we do not detect and account for such errors, or any of the other components of our credit decision process fails, we may experience higher than forecasted loan losses. We also rely on data we receive from third-party vendors about lien data and value of the collateral. If this information is incorrect, we may experience higher than forecasted loan losses and may not be able to attract and retain our partners. Any of the foregoing could result in sub-optimally priced loans, incorrect approvals or denials of loans, or higher than expected loan losses, which in turn could adversely affect our ability to attract new borrowers, partners and loan purchasers to our platform, increase the number of our loans or maintain or increase the average size of loans facilitated on our platform.</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models also target and optimize other aspects of the lending process, such as customer acquisition, fraud detection, default timing, loan stacking, prepayment timing, and fee optimization, and our continued improvements to such models have allowed us to facilitate loans inexpensively and virtually instantly, with a high degree of borrower satisfaction and an insignificant impact on loan performance. However, such applications of our models may prove to be less predictive than we expect, or than they have been in the past, for a variety of reasons, including inaccurate assumptions or other errors made in constructing such models, incorrect interpretations of the results of such models, and failure to timely update model assumptions and parameters. Additionally, such models may not be able to effectively account for matters that are inherently difficult to predict and beyond our control, such as macroeconomic conditions, credit market volatility, interest rate fluctuations, and digital assets market volatility, which often involve complex interactions between a number of dependent and independent variables and factors. Material errors or inaccuracies in our data and/or models could lead us to make inaccurate or sub-optimal operational or strategic decisions,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41"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If we do not make accurate credit and pricing decisions or effectively forecast our loss rates, our business, financial condition, and results of operations could be adversely affected.</w:t>
      </w:r>
    </w:p>
    <w:p>
      <w:pPr>
        <w:spacing w:after="0" w:line="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making a decision whether to extend credit to prospective customers, we rely upon data, including data obtained from third parties, to assess our ability to extend credit within our risk appetite and overall risk level to determine lending exposure and loan pricing. If the decision components, rapidly deteriorating macroeconomic conditions or analytics are either unstable, biased, or missing key pieces of information, the wrong decisions will be made, which will negatively affect our business. If our credit decisioning strategy fails to adequately predict the creditworthiness of our borrowers, including a failure to predict a borrower’s true credit risk profile and ability to repay their loan, higher than expected loss rates will impact the fair value of our loans. Additionally, if any portion of the information pertaining to the prospective borrower is false, inaccurate, or incomplete, and our systems did not detect such falsities, inaccuracies, or incompleteness, or any of the other components of our credit decision process fails, we may experience higher than forecasted losses, including losses attributable to fraud. Furthermore, we rely on credit reporting agencies to obtain credit reports and other information in making underwriting and pricing decisions. If one of these third parties experiences an outage, if we are unable to access the third-party data used in our decision strategy, or if our access to such data is limited for any reason, our ability to originate loans may be reduced and our volume may suffer. We may also be unable to accurately evaluate potential borrowers or effectively predict credit losses inherent in our loan portfolio, which could adversely affect our business, financial condition, and results of operations.</w:t>
      </w:r>
    </w:p>
    <w:p>
      <w:pPr>
        <w:spacing w:after="0" w:line="13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Additionally, if we make errors in the development, validation, or implementation of any of the underwriting models or tools that we use for the loans securing our debt warehouses or included in securitization transactions or whole loan sales, such loans may experience higher delinquencies and losses, which would negatively impact our debt warehouse financing terms and future securitization and whole loan sale transactions.</w:t>
      </w:r>
    </w:p>
    <w:p>
      <w:pPr>
        <w:spacing w:after="0" w:line="12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rely upon the accuracy and completeness of information about borrowers, and any misrepresented information or fraud could adversely affect our financial condition and reputation.</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use a combination of our own proprietary technology and third-party systems to determine if a loan applicant is creditworthy, and to detect and prevent fraud, including borrower identity theft. We are unable, however, to prevent every instance of fraud that may be engaged in by our borrowers and any loan broker or originator that misrepresents facts about a loan, including the information contained in the loan application. If any of this information is intentionally or negligently misrepresented and such misrepresentation is not detected prior to the acquisition or closing of the loan, the value of the loan could be significantly lower than expected, resulting in a loan being approved in circumstances where it would not have been had we been provided with accurate data. A loan subject to a material misrepresentation is typically unsalable or subject to repurchase if it is sold before detection of the misrepresentation. In addition, it is often difficult to collect monetary losses that we may have suffered as a result of persons or entities making a misrepresentation.</w:t>
      </w:r>
    </w:p>
    <w:p>
      <w:pPr>
        <w:spacing w:after="0" w:line="1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technology and other controls and processes we created to help us identify misrepresented information in our LOS were designed to obtain reasonable, not absolute, assurance that such information is identified and addressed appropriately. Accordingly, such controls may fail to detect all misrepresented information in our LOS.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High-profile fraudulent activity also could negatively impact our brand and reputation, which could impact our business. In addition, certain fraudulent activity could lead to regulatory intervention and/or increased oversight, which could increase our costs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4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While we take precautions to prevent borrower identity fraud, our borrowers have been, and may again be, subject to identity fraud, which may adversely affect the performance of the loans facilitated through our platform.</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Identity theft and the related provision of false identifying information is the most prevalent form of fraud that we encounter. There is a risk of fraudulent activity associated with our platform, borrowers, partners, and third-party vendors that handle borrower information. While we take precautions to prevent borrower identity fraud, our resources, technologies, and fraud prevention tools may be insufficient to accurately detect and prevent fraud. We have been, and may again be, obligated to repurchase loans facilitated through our platform in certain cases of confirmed identity theft, and the level of fraud-related charge-offs on the loans facilitated through our platform could be adversely affected if fraudulent activity were to significantly increase. We bear the risk of borrower fraud in a transaction involving borrower identity fraud, and we generally have no recourse to collect the amount owed by the borrower. High-profile fraudulent activity or significant increases in fraudulent activity could also lead to regulatory intervention, negative publicity, and the erosion of trust from our borrowers and partners, and could materially and adversely affect our business, financial condition, and results of operations.</w:t>
      </w:r>
    </w:p>
    <w:p>
      <w:pPr>
        <w:spacing w:after="0" w:line="12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underwriting may not accurately predict the likelihood of default for all loans, which could result in substantial losses that adversely affect our business, financial condition, and results of operations.</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originate HELOCs and other loans according to our internal guidelines using our proprietary technology. Our underwriting guidelines may not always correlate with, or accurately predict, creditworthiness or the underlying loan defaults. A borrower’s ability to repay their loan could be adversely impacted by numerous factors, including a change in the borrower’s employment, financial condition, or other negative local or macroeconomic conditions. Deterioration in a borrower’s financial condition and prospects may be accompanied by deterioration in the value of the collateral for the loan.</w:t>
      </w:r>
    </w:p>
    <w:p>
      <w:pPr>
        <w:spacing w:after="0" w:line="1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some of the loans we originate have been, and in the future could be, made to self-employed borrowers, or to borrowers who do not live in the home subject to a HELOC. For example, during the three months ended March 31, 2025, 9% of the total principal amount of the loans we originated were made to borrowers who do not live in the home subject to the HELOC they obtained. Loans to such borrowers may be higher-risk because the borrower may be more likely to default on their loans, and/or abandon the property in a default, either of which could increase our financial exposure. Further, the volatility of digital assets markets could exacerbate default risks on our digital assets-secured personal loans, as significant fluctuations in collateral value may lead to borrower defaults or margin calls that are unmet, resulting in forced liquidations.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above-referenced loans may be more expensive to service because they require more frequent interaction with borrowers and greater monitoring and oversight. Additionally, these higher-risk loans may be subject to increased scrutiny by state and federal regulators and lead to higher compliance and regulatory costs, which could result in a further increase in servicing costs. We may not be able to pass along any of the additional expenses we incur in servicing these higher-risk loans to investors. The greater cost of servicing higher-risk loans could adversely affect our business, financial condition, and results of operations.</w:t>
      </w:r>
    </w:p>
    <w:p>
      <w:pPr>
        <w:spacing w:after="0" w:line="127"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The unique features of our LOS, including reliance on online notaries, AVMs, and lien data may expose us to a greater risk of loss, which could harm our partners and investor relationships and our business, financial condition, and results of operations.</w:t>
      </w:r>
    </w:p>
    <w:p>
      <w:pPr>
        <w:spacing w:after="0" w:line="8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Certain aspects of our LOS, including our reliance on remote online notaries (in place of in-person notaries), AVMs (in place of appraisals or other valuation methods), and lien data (in place of title searches and title insurance), may expose us to a greater risk of loss, which could harm our partners and investor relationships and our business, financial condition, and results of operations. For example, during the origination process in 2024, 59% of the security instruments associated with our loans were notarized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by remote online notaries located in Nevada. In states and localities whose laws or recording processes do not support the use of our remote notaries, we use a traditional, in-person notary who notarizes electronically signed closing documents. Currently, the majority of states support the use of our remote online notaries for security instruments securing liens on real property, although not every county in those states accept for recording security instruments that are notarized by remote online notarization. As of December 31, 2024, we used our remote online notaries to notarize security instruments in 63% of all of the counties where we record security instruments, and 83% of all of the counties where we have recorded security instruments allow electronic recording of security instruments (whether we use a remote online notary or an in-person notary). Most often, the remote online notary is not located in the same state where the property being financed is located. The use of out-of-state remote online notaries to notarize security instruments is a new concept that, to our knowledge, has not been tested in court. If a court concluded that the out-of-state remote online notary was ineffective, this could result in the loss of the security interest in the related mortgaged property, or losses in respect of the related loan, and we could be required to alter our closing process, which would increase the cost and time to close a loan in such jurisdiction.</w:t>
      </w:r>
    </w:p>
    <w:p>
      <w:pPr>
        <w:spacing w:after="0" w:line="1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reliance on AVMs for valuations of the properties securing our HELOCs could result in loans being undercollateralized, which could increase the risk of default and reduce our recovery in the event of a foreclosure. In addition, our reliance on lien data in lieu of title searches and title insurance in our origination process also exposes us to a greater risk of loss in the event that we underestimate or do not account for liens on the loan collateral. If our partners or investors do not accept these aspects of our origination process, we may be required to alter our processes, which would increase the cost and reduce the speed of our product.</w:t>
      </w:r>
    </w:p>
    <w:p>
      <w:pPr>
        <w:spacing w:after="0" w:line="1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Additionally, errors or inaccuracies in our LOS could result in any person exposed to the credit risk of our HELOCs or other loans we make—whether it be us, our partners, or investors in our loan funding programs—experiencing higher than expected losses or lower than desired returns, which could impair our ability to retain existing or attract new partners and investors to participate in our loan funding programs, reduce the number, or limit the types, of loans that partners and investors are willing to fund, and limit our ability to increase commitments under our repurchase warehouses and other debt facilities. Any of these circumstances could reduce the number of our HELOCs and other loans we make, harm our ability to maintain a diverse and robust loan funding program, and adversely affect our business, financial condition, and results of operations.</w:t>
      </w:r>
    </w:p>
    <w:p>
      <w:pPr>
        <w:spacing w:after="0" w:line="13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primarily utilize a gain-on-sale origination model and, consequently, our business is affected by the cost and availability of funding in the capital markets.</w:t>
      </w:r>
    </w:p>
    <w:p>
      <w:pPr>
        <w:spacing w:after="0" w:line="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to proceeds from the issuance of preferred stock, historically we have funded our operations and capital expenditures through sales of our loans, secured warehouse credit facilities, and securitizations. We primarily utilize a gain-on-sale origination model and, consequently, our earnings and financial condition are dependent on the price we can obtain for our HELOCs in the capital markets, which has been and may be negatively impacted by the combination of rising interest rates and longer periods during which we hold the loans on our balance sheet. These capital markets risks may be partially mitigated by the availability of other corporate cash to temporarily hold the loans on our balance sheet. However, corporate cash has not historically been our primary source of funding and can be impacted by a number of factors. Our ability to obtain financing in the capital markets depends, among other things, on our development efforts, business plans, operating performance, lending activities, and the condition of the capital markets at the time we seek financing. The capital markets have recently and from time to time experienced periods of significant volatility, including volatility driven by the COVID-19 pandemic, rising inflation, the war in Ukraine, and the Israel-Hamas conflict, among other things. This volatility can dramatically and adversely affect financing costs when compared to historical norms or make funding unavailable. Additional factors that could make financing more expensive or unavailable to us include, but are not limited to, financial losses, events that have an adverse impact on our reputation, lawsuits challenging our business practices, adverse regulatory changes, changes in the activities of our business partners, loan performance, events that have an adverse impact on the financial services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generally, counterparty availability, negative credit rating actions with respect to our rated securities, corporate and regulatory actions, interest rate changes, general economic conditions, including changing expectations for inflation and deflation, and the legal, regulatory and tax environments governing funding transactions, including existing or future securitization transactions. If financing is difficult, expensive, or unavailable, our business, financial condition, and results of operations could be adversely affected.</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rely on our warehouse credit facilities to fund loans, including HELOCs, and otherwise operate our business. If one or more of such facilities is terminated or otherwise becomes unavailable for us to use, we may be unable to find replacement financing at commercially favorable terms, or at all, which could adversely affect our business.</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require a significant amount of short-term funding capacity for HELOCs and other loans we originate, and our business model is to fund substantially all of the loans we close on a short-term basis primarily under our warehouse credit facilities (as well as from our operations for any amounts not advanced by warehouse lenders). As of December 31, 2024, the aggregate borrowing limit on our warehouse credit facilities, including REIT, was $1.4 billion. During the three months ended March 31, 2025, our average utilization rate of the warehouse credit facilities, excluding REIT, as each was available throughout the year was 22%.</w:t>
      </w:r>
    </w:p>
    <w:p>
      <w:pPr>
        <w:spacing w:after="0" w:line="1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Loan production activities generally require short-term liquidity in excess of amounts generated by our operations. The HELOCs we produce are typically financed through one of our warehouse credit facilities before being sold to a loan purchaser. We operate an originate-to-sell model and therefore sell the vast majority of the loans we originate. We originate all loans using cash on our balance sheet and then immediately finance each loan through our warehouse credit facilities, with the exception of a very small percentage of loans that are instead immediately sold to a third-party purchaser. For the years ended December 31, 2024 and 2023, we received $4 billion and $2 billion from the sale of loans and $456 million and $818 million from securitizations, respectively. Our borrowings are generally repaid with the proceeds we receive from loan sales, and delays or failures in the loan sales could have a material adverse effect on our liquidity and our ability to repay existing borrowings or obtain additional funds. We are currently, and may in the future continue to be, dependent upon a handful of warehouse lenders to provide the primary funding facilities for our loans. While there are other lenders that participate in these types of warehouse facilities that could serve as future sources of warehouse borrowings, engaging with such other lenders and consummating new warehouse credit facilities may be time consuming, which could cause us to need to slow our origination activities if our current facilities were to become unavailable.</w:t>
      </w:r>
    </w:p>
    <w:p>
      <w:pPr>
        <w:spacing w:after="0" w:line="13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Consistent with industry practice, our existing warehouse credit facilities generally require periodic renewal. If any of our warehouse credit facilities are terminated or are not renewed or are not honored, we may be unable to find replacement financing on favorable terms, or at all, and we might not be able to originate an acceptable or sustainable volume of loans, which would have a material adverse effect on our business. Additionally, as our business continues to expand, we may need additional warehouse funding capacity for the loans we originate. There can be no assurance that we will be able to obtain additional warehouse funding capacity on favorable terms, on a timely basis, or at all.</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we fail to meet or satisfy any of the financial or other covenants included in our warehouse credit facilities, we would be in default under one or more of these facilities, and our lenders could elect to declare all amounts outstanding under the facilities to be immediately due and payable, enforce their interests against loans pledged under such facilities, and restrict our ability to make additional borrowings. Certain of these facilities also contain cross-default provisions. These restrictions may interfere with our ability to obtain financing or to engage in other business activities, which could adversely affect our business, financial condition, and results of operations. We have in the past not complied with, and in the future may be unable to comply with, certain financial and other covenants included in our warehouse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addition, our agreements with our warehouse lenders may contain various concentration limits and triggers, including limits related to excess spread. A breach of such limits or other similar terms of such agreements could result in an inability to place loans in the relevant warehouse credit facilities and require us to pursue other forms of financing. If we are unable to find replacement financing on favorable terms, or at all, our operations could be adversely affected.</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Our securitizations, whole loan sales, and warehouse credit facilities expose us to certain risks, and we can provide no assurance that we will be able to access the securitization markets, continue our whole loan sales, renew our existing warehouse credit facilities, or obtain new warehouse credit facilities in the future. This may result in a reduction in our HELOC funding capital or require us to seek more costly financing for our platform.</w:t>
      </w:r>
    </w:p>
    <w:p>
      <w:pPr>
        <w:spacing w:after="0" w:line="11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of March 31, 2025, we have facilitated 13 securitizations of HELOCs for a total issuance of over $4 billion. We may in the future facilitate or sponsor additional securitizations of HELOCs originated by us or our partners using our platform to allow certain of our partners, loan purchasers, and ourselves to liquidate such loans through the asset-backed securities markets.</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our sponsored or co-sponsored securitizations, we sell and convey pools of HELOCs to Variable Interest Entities (“VIEs”). Each securitization VIE issues notes and/or certificates pursuant to the terms of indentures and trust agreements, or in the case of the warehouse credit facilities, we or the applicable warehouse VIE borrows money from lenders pursuant to master repurchase agreements. The securities issued by the securitization VIEs in asset-backed securitization transactions are secured by static pools of HELOCs originated using our platform, including the underlying documentation with respect to such HELOCs and the security interest in the related encumbered property with respect to such HELOCs, and all proceeds thereof. These securitizations are not cross-collateralized with any other financing transaction. In exchange for the sale of a portion of a given pool of HELOCs to the securitization VIE, we and/or our loan purchasers and certain partners who contribute loans to the securitization receive cash and/or securities representing debt of and/or equity interests in such securitization VIE, which are the proceeds from the sale of the securities. The equity interests in the securitization VIEs are residual interests in that they entitle the equity owners of such securitization VIEs, including us if we are an equity owner in the relevant transaction, to a certain proportion of the residual cash flows, if any, from the loans and to any assets remaining in such securitization VIEs. As a result of challenging credit and liquidity conditions, the value of the subordinated securities we or other transaction participants retain in such securitization VIEs might be reduced or, in some cases, eliminated.</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also fund certain loans on our balance sheet with warehouse credit facilities from banks or non-bank lenders, or by selling loans to our warehouse credit facility VIEs, which loan sales are partially financed with associated warehouse credit facilities from banks or non-bank lenders. The warehouse credit facilities are each secured by pools of HELOCs originated using our platform and owned by the applicable VIE or us, including the underlying documentation with respect to such HELOCs and the security interest in the related encumbered property with respect to such HELOCs, and all proceeds thereof. The pools of HELOCs that secure our warehouse credit facilities are separate and independent from each other and none of our financing facilities are cross-collateralized. In addition, we have implemented and maintain an interest rate hedging program designed to reduce our exposure to changes in prevailing interest rates. However, there can be no assurance that the program will be successful in eliminating all or some interest rate risks. See the sections titled “—Risks Related to Market and Interest Rates—Our loan financing and selling strategy exposes us to interest rate volatility risk” and “Management’s Discussion and Analysis of Financial Condition and Results of Operations—Liquidity and Capital Resources—Warehouse Credit Facilities” for more information.</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During periods of financial disruption and economic uncertainty, such as the financial crisis that began in 2008, the beginning of the COVID-19 pandemic in early 2020, and periods of significant market volatility driven by rapidly rising interest and inflation rates and recessionary concerns in 2022 and 2023, the securitization market has been constrained. These conditions can limit access to capital and increase the cost of securitization. Given the potential for continued economic challenges, such as geopolitical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tensions, supply chain disruptions, and evolving monetary policies, the securitization market could experience further constraints in the future. Notably, in times of economic distress, creditors may desire to reduce consumers’ credit limits and thereby their ability to continue making draws on their HELOCs, but the TILA’s implementing regulation, Regulation Z, limits their ability to do so unless certain specified circumstances are present, such as the value of the security property declining significantly below its appraised value for purposes of the HELOC. This limitation may further drive constraints in the securitization market. In addition, other matters, such as (i) accounting standards applicable to securitization transactions and (ii) capital and leverage requirements applicable to banks and other regulated financial institutions holding asset-backed securities, could result in decreased institutional investor demand for securities issued through our securitization transactions, or increased competition from other institutions that undertake securitization transactions. In addition, compliance with certain regulatory requirements, including the Dodd-Frank Act, the Investment Company Act, and the so-called “Volcker Rule,” may affect the type of securitizations that we are able to complete.</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it is not possible or economical for us to securitize loans in the future, we may need to seek alternative financing to support our loan funding programs and to meet our existing debt obligations. Such funding may not be available on commercially reasonable terms, or at all. If the cost of such loan funding mechanisms were to be higher than that of our securitizations, the fair value of the loans would likely be reduced, which would negatively impact our results of operations. If we are unable to access such financing, our ability to originate loans and our business, financial condition, and results of operations could be adversely affected.</w:t>
      </w:r>
    </w:p>
    <w:p>
      <w:pPr>
        <w:spacing w:after="0" w:line="1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gain on sale and related servicing fees generated by our whole loan sales, and the servicing fees based on sales of asset-backed securities, represent a substantial portion of our earnings. For the year ended December 31, 2024, we recognized gain on sale of our whole loan sales of $103 million and servicing fees of $25 million for the same period. While we have in the past recognized losses on the sale of loan and asset-backed securities, excluding losses incurred on repurchases and charge-offs, such losses have historically been minimal and, as of December 31, 2024, represented 1% of all loans originated since inception. However, we cannot be certain that losses in the future will not materially and adversely impact our business. As we hold more loans on our balance sheet or hold loans for longer periods while interest rates rise, our business, financial condition, and results of operations could be adversely affected, including further reductions in revenue.</w:t>
      </w:r>
    </w:p>
    <w:p>
      <w:pPr>
        <w:spacing w:after="0" w:line="1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cannot assure you that our loan purchasers will continue to purchase loans or securities, either through whole loan sales or asset-backed securities, or that loan purchasers will continue to purchase loans in transactions that generate the same spreads and/or fees that we have historically obtained. Factors that may affect loan purchaser demand for loans include:</w:t>
      </w:r>
    </w:p>
    <w:p>
      <w:pPr>
        <w:spacing w:after="0" w:line="117" w:lineRule="exact"/>
        <w:rPr>
          <w:sz w:val="20"/>
          <w:szCs w:val="20"/>
          <w:color w:val="auto"/>
        </w:rPr>
      </w:pPr>
    </w:p>
    <w:p>
      <w:pPr>
        <w:jc w:val="both"/>
        <w:ind w:left="660" w:hanging="328"/>
        <w:spacing w:after="0" w:line="25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competition in the whole loan sales and securitization markets where we compete with loan originators and other issuers who can sell either larger loan portfolios or loans, or securitize or sell loan portfolios (which may include loans originated by us or our partners using our platform, on a commingled basis or otherwise) that have characteristics, pricing and terms that may be perceived to be more desirable to certain loan purchasers on the secondary market than those offered in loans originated by us or by our partners using our platform (and purchased by us and/or contributed to asset-based securitization transactions that we facilitate);</w:t>
      </w:r>
    </w:p>
    <w:p>
      <w:pPr>
        <w:spacing w:after="0" w:line="1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servicing fees and other expenses increase due to delinquencies or defaults may reduce overall net return on purchased pools of HELOCs;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actual or perceived credit performance and loan grade and term mix of the portfolios of loans offered for sale;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loan purchasers’ sector and company investment diversification requirements and strategies;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higher-yield investment opportunities at a risk profile deemed similar to our sold loan portfolios;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3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customer prepayment behavior within the underlying pools;</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or investment practices related to maintaining net asset value, mark-to-market and similar metrics surrounding pools of purchased HELOCs; and</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our loan purchasers to access funding and liquidity channels, including warehouse financing and securitization markets, on terms they find acceptable to deliver an appropriate return net of funding costs, as well as general economic conditions and market trends, such as increasing interest rates, that affect the appetite for loan financing investments.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Though certain of our current loan purchasers have committed to minimum purchase volumes, these commitments are generally for short periods of less than six months. We impose a breakage fee on certain of our loan purchasers in the event of failure to satisfy their commitment during the related commitment period, but the loan purchasers may choose to pay the breakage fee by purchasing HELOCs instead of satisfying their loan commitment volume.</w:t>
      </w:r>
    </w:p>
    <w:p>
      <w:pPr>
        <w:spacing w:after="0" w:line="1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Potential loan purchasers in our loan funding programs may also demand a lower price on our loans and loan financing products during periods of economic slowdown or recession to compensate for any increased risks. A reduction in the sale price of the loans and loan financing products we sell would negatively impact our revenues, operations, and returns. For example, as interest rates have increased, loan purchasers on the secondary market have reduced the prices they are willing to pay to purchase certain loans we hold, which had been originated during an earlier, lower interest rate environment, and which negatively impacted our revenue. Any sustained decline in demand for loans or loan financing products, or any increase in delinquencies, defaults or losses that result from economic downturns, may also reduce the price we receive on future loan sales.</w:t>
      </w:r>
    </w:p>
    <w:p>
      <w:pPr>
        <w:spacing w:after="0" w:line="131"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In connection with our loan funding programs, we make representations and warranties concerning the loans sold, and if such representations and warranties are not accurate when made, we could be required to repurchase the applicable loans or indemnify the purchaser.</w:t>
      </w:r>
    </w:p>
    <w:p>
      <w:pPr>
        <w:spacing w:after="0" w:line="1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connection with our loan funding programs, including direct sales, warehouse financings, and asset-backed securitizations, we make numerous representations and warranties concerning the characteristics of the HELOCs and other loans sold and transferred under such transactions, including, among other things, representations and warranties that the loans were originated and serviced in compliance with applicable law and with our credit risk origination policy and servicing guidelines and that each loan was originated by us without any fraud or misrepresentation on our part or, to our knowledge, on the part of the customer or any other person. If those representations and warranties are not accurate when made and are not timely cured or incurable, we may be required to repurchase the underlying loans, replace the affected loans with other loans or make a loss of value payment, as the case may be. Failure to repurchase such loans could constitute a default, an event of default, or a termination event under the agreements governing our various loan funding programs and could require us to indemnify certain financing parties. Through December 31, 2024, we repurchased an immaterial number of HELOCs that we or our partners originated as a result of inaccurate representations and warranties. While only a small number of HELOCs have been historically repurchased by us, there can be no assurance that we would have adequate cash or other qualifying assets available to make such repurchases if and when required. Such repurchases could be limited in scope, relating to small pools of HELOCs, or significant in scope, across multiple pools of HELOCs. If we were required to make such repurchases and if we do not have adequate liquidity to fund such repurchases, our business, financial condition, and results of operations could be adversely affected.</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addition to loan level representations and warranties, our agreements with the lenders and investors on our securitizations and warehouse credit facilities contain a number of corporate financial covenants and early payment triggers and performance covenants. These facilities are the primary funding sources available to support the maintenance and growth of our business, and our liquidity would be adversely affected by our inability to comply with the various covenants and other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requirements set forth in our agreements with our lenders and investors, which could result in the early amortization, default and/or acceleration of our existing facilities. Such covenants and requirements include financial covenants, and other events. For a description of these covenants, requirements, and events, see the section titled “Management’s Discussion and Analysis of Financial Condition and Results of Operations—Liquidity and Capital Resources—Debt Obligations.”</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an early amortization period or upon the occurrence of a termination event or an event of default, principal collections from the loans in our asset-backed facilities would be applied to repay principal under such facilities rather than be available to fund newly originated loans. Upon the occurrence of a termination event or an event of default under any of our warehouse facilities or indentures that govern our securitizations, the applicable lenders or noteholders could accelerate the related debt and, in the case of most of our warehouse lenders, terminate the related facility. If we were unable to repay the amounts due and payable under such facilities and securitizations, the applicable lenders and noteholders could seek remedies, including against the collateral pledged under such facilities and by the securitization trust. An acceleration of the debt under certain facilities could also lead to a default under other facilities due to cross-default and cross-acceleration provisions.</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 early amortization event or event of default would negatively impact our liquidity, including our ability to originate new loans, and require us to rely on alternative funding sources, which might increase our funding costs or which might not be available when needed. If we were unable to arrange new or alternative methods of financing on favorable terms, we might have to hold loans on our balance sheet in an amount that may negatively impact our financial condition, or curtail or cease the origination of loans, which could impair our growth, and, in each case, adversely affect our business, financial condition, and results of operations, which in turn could adversely affect our ability to meet our obligations under our facilities.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Digital Assets</w:t>
      </w:r>
    </w:p>
    <w:p>
      <w:pPr>
        <w:spacing w:after="0" w:line="17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A particular digital asset, product or service’s status as a “security” in any relevant jurisdiction is subject to a high degree of uncertainty and if we are unable to properly characterize a digital asset or product offering, or if the regulatory framework with respect to digital assets changes, we may be subject to regulatory scrutiny, inquiries, investigations, fines, and other penalties, which may adversely affect our business, operating results, and financial condition.</w:t>
      </w:r>
    </w:p>
    <w:p>
      <w:pPr>
        <w:spacing w:after="0" w:line="11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The SEC and its staff have taken the position that a range of digital assets, products and services fall within the definition of a “security” under the U.S. federal securities laws. Despite the SEC being the principal federal securities law regulator in the United States, whether or not an asset, product or service is a security or the offering thereof constitutes a securities offering under federal securities laws currently depends on the application of various judicial precedents interpreting the definition of a “security” under the U.S. federal securities laws. To date, the principal legal test that has been applied in analyzing the application of the U.S. federal securities laws to a given digital asset, product or service is the test set forth in the 1946 Supreme Court case </w:t>
      </w:r>
      <w:r>
        <w:rPr>
          <w:rFonts w:ascii="Arial" w:cs="Arial" w:eastAsia="Arial" w:hAnsi="Arial"/>
          <w:sz w:val="18"/>
          <w:szCs w:val="18"/>
          <w:i w:val="1"/>
          <w:iCs w:val="1"/>
          <w:color w:val="auto"/>
        </w:rPr>
        <w:t>SEC v. W.J. Howey Co.</w:t>
      </w:r>
      <w:r>
        <w:rPr>
          <w:rFonts w:ascii="Arial" w:cs="Arial" w:eastAsia="Arial" w:hAnsi="Arial"/>
          <w:sz w:val="18"/>
          <w:szCs w:val="18"/>
          <w:color w:val="auto"/>
        </w:rPr>
        <w:t xml:space="preserve"> for identifying an “investment contract” that constitutes a “security.” In certain contexts, especially in the context of digital asset yield and earn offerings, the SEC and private plaintiffs have also invoked the test in the 1990 Supreme Court case </w:t>
      </w:r>
      <w:r>
        <w:rPr>
          <w:rFonts w:ascii="Arial" w:cs="Arial" w:eastAsia="Arial" w:hAnsi="Arial"/>
          <w:sz w:val="18"/>
          <w:szCs w:val="18"/>
          <w:i w:val="1"/>
          <w:iCs w:val="1"/>
          <w:color w:val="auto"/>
        </w:rPr>
        <w:t>Reves v. Ernst &amp; Young</w:t>
      </w:r>
      <w:r>
        <w:rPr>
          <w:rFonts w:ascii="Arial" w:cs="Arial" w:eastAsia="Arial" w:hAnsi="Arial"/>
          <w:sz w:val="18"/>
          <w:szCs w:val="18"/>
          <w:color w:val="auto"/>
        </w:rPr>
        <w:t xml:space="preserve"> for identifying a “note” that constitutes a “security.” The application of these and other relevant judicial precedents requires a highly complex, fact-driven analysis. Accordingly, whether any given digital asset, product or service may ultimately be deemed to be a security is uncertain and difficult to predict notwithstanding the conclusions of the SEC or any conclusions we may draw based on our risk-based assessment regarding the likelihood that a particular digital asset, product or service could be deemed a “security” or “securities offering” under applicable laws. Adding to the complexity, the SEC staff has indicated that the security status of a particular digital asset can change over time as the relevant facts evolve.</w:t>
      </w:r>
    </w:p>
    <w:p>
      <w:pPr>
        <w:spacing w:after="0" w:line="1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With limited exception, the SEC and its staff generally do not provide advance guidance of the status of any particular digital asset, product or service as a security or the offering or sale thereof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securities offering. For example, the SEC’s Strategic Hub for Innovation and Financial Technology published a framework for analyzing whether any given digital asset is a security in April 2019. The SEC staff has also issued certain no-action letters and has brought various enforcement actions and entered into settlements with numerous digital asset economy participants alleging that certain digital assets or digital asset related products or services constituted a securities offering. However, these statements, framework and settled enforcement actions are not rules or regulations of the SEC, and are not binding on the SEC or courts. For instance, on April 5, 2025, then-acting SEC Chair Mark Uyeda announced that the SEC is conducting a review of the April 2019 digital asset security framework and other related guidance issued between 2019 and 2022 to determine whether to rescind or modify such guidance. There is therefore no certainty as to whether particular digital assets, products or services are securities or whether the offering of any such digital assets, products or services constitutes a securities offering or implicates a security offering, in each case under the U.S. federal securities laws. Moreover, the SEC and the Commodity Futures Trading Commission (the “CFTC”) and their senior officials have, at times, taken conflicting positions in public statements and enforcement actions as to whether a particular digital asset is a security. Furthermore, the views of the SEC and its staff in this area have evolved over time, and, at times, have appeared contradictory.</w:t>
      </w:r>
    </w:p>
    <w:p>
      <w:pPr>
        <w:spacing w:after="0" w:line="13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Additionally, the Securities Act does not preempt U.S. state law with respect to determining whether a digital asset, product or service is a security. Each state has the right to enforce its own securities laws and may ultimately determine that a digital asset, product or service is a security even if the SEC has elected not to pursue enforcement or it or its staff have given assurances that it would not do so, or a digital asset, product or service is otherwise excluded from the meaning of a security at the federal level.</w:t>
      </w:r>
    </w:p>
    <w:p>
      <w:pPr>
        <w:spacing w:after="0" w:line="12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It is also possible that the recent change in administration and the resulting composition of the SEC could substantially impact the views or approach to enforcement by the SEC and its staff. For example, on February 4, 2025, SEC Commissioner Hester Pierce further elaborated on some of the priorities for the SEC’s newly founded crypto task force, which include: determining the status of digital assets, as well as digital assets lending and staking products, under the federal securities laws; identifying the scope of the SEC’s jurisdiction through no-action relief; providing temporary prospective and retroactive relief for coin offerings for which the issuing entity provides certain information and agrees not to contest the SEC’s jurisdiction in the event of fraud allegations; modifying existing paths to registration, such as Regulation A and Regulation Crowdfunding; updating the special-purpose broker-dealer no-action statement to, among other things, cover broker-dealers that are custodians of digital asset securities alongside digital assets that are not securities; developing a framework within which investment advisers can have custody of client digital assets themselves or with a third party; approving self-regulatory organization proposed rule changes to list new types of digital assets exchange-traded products, including to allow for staking and in-kind creations and redemptions; revising clearing agency and transfer agent rules to allow for the tokenization of securities and other uses of blockchain technology; and facilitating cross-border experimentation. Additionally, in the first and second quarters of 2025, the SEC consented to the dismissal of certain ongoing civil enforcement actions and the closing of investigations into certain entities in the digital asset industry. During the same period, the SEC’s Division of Corporation Finance also issued a statement regarding meme coins and the circumstances under which the staff would not view such assets as securities, which was followed by additional statements at the end of the first quarter and in the second quarter of 2025 providing guidance surrounding the applicability of the securities laws with regard to topics such as Proof-of-Work (“PoW”) Mining Activities, certain stablecoins, Proof-of-Stake (“PoS”) consensus mechanisms, and digital asset-related disclosures in securities offering and registration statements. The SEC also hosted a series of five roundtables between March and June of 2025 on topics relating to defining the security status of digital assets, tailoring regulation for digital asset trading, custody of digital assets, tokenization, and DeFi. Further, the U.S. Department of Justice issued a memorandum in April 2025 indicating that it will prioritize cases related to the use of digital assets in crimes of fraud, terrorism, drugs and human trafficking, organized crime, hacking and gang financing, and that other cases related to digital assets will have less priority.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classification of a digital asset, product, or service as a security under applicable law has wide-ranging implications for the regulatory obligations that flow from the offer, sale, trading, and clearing, as applicable, of such assets, products, or services. For example, a digital asset, product, or service that is a security in the United States may generally only be offered or sold in the United States pursuant to a registration statement filed with the SEC or in an offering that qualifies for an exemption from registration. Persons that effect transactions in digital assets, products, or services that are securities in the United States may be subject to registration with the SEC as a “broker” or “dealer.” Platforms that bring together purchasers and sellers to trade digital assets that are securities in the United States are generally subject to registration as national securities exchanges, or must qualify for an exemption, such as by being operated by a registered broker-dealer as an ATS in compliance with the SEC’s rules for ATSs. Persons facilitating clearing and settlement of securities may be subject to registration with the SEC as a clearing agency. Subject to certain exceptions and exclusions, companies may be deemed investment companies, subject to registration as such, if: (a) they are engaged in the business of investing, reinvesting, or trading in securities; or (b) if the value of its investment securities is more than 40% of its total assets (exclusive of government securities and cash items) on a consolidated basis. Foreign jurisdictions may have similar licensing, registration, and qualification requirements.</w:t>
      </w:r>
    </w:p>
    <w:p>
      <w:pPr>
        <w:spacing w:after="0" w:line="13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policies and procedures to analyze whether each digital asset that we seek to facilitate trading of on Figure Exchange, as well as our products and services, could be deemed to be a “security” under applicable laws. Our policies and procedures do not constitute a legal standard, but rather represent our company-developed model, which we use to make a risk-based assessment regarding the likelihood that a particular digital asset, product, or service could be deemed a “security” under applicable laws. There is no guarantee that our application of these policies and procedures will be effective in assessing the regulatory categorization of any given digital asset, and the SEC, state regulatory authorities, private plaintiffs, or a court applying applicable securities laws may reach a conclusion at odds with our ultimate assessment.</w:t>
      </w:r>
    </w:p>
    <w:p>
      <w:pPr>
        <w:spacing w:after="0" w:line="12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Although we have an SEC-registered broker-dealer subsidiary, Figure Securities, Inc. (“Figure Securities”), we facilitate most trading activity in digital assets in the United States through our money transmitter subsidiary, Figure Payments Corporation. Because Figure Payments Corporation is not registered or licensed with the SEC or foreign authorities as a broker-dealer, national securities exchange, or ATS (or foreign equivalents), we only permit it to facilitate trading of those digital assets, and offer products and services, for which we determine there are reasonably strong arguments to conclude that the digital asset, product, or service should not be classified as a security. We believe that our process reflects a comprehensive and thoughtful analysis and is reasonably designed to facilitate consistent application of available legal guidance on digital assets, products, and services and to facilitate informed risk-based business judgment. We recognize that the application of securities laws to the specific facts and circumstances of digital assets, products, and services may be complex and subject to change, and that a listing determination does not guarantee any conclusion under the U.S. federal, state, or foreign securities laws. Regardless of our conclusions, we could in the future be subject to legal or regulatory action in the event the SEC or a state or foreign regulatory authority were to assert, or a court were to determine, that a supported digital asset, product, or service offered, sold, or traded on Figure Exchange or a product or service that we offer as a non-security is later deemed a “security” under applicable laws. There can be no assurance that we will properly characterize over time any given digital asset, product, or service offering as a security or non-security, or that the SEC, state, foreign regulatory authority, or a court having final determinative authority on the topic, if the question was presented to it, would agree with our assessment. We expect our risk assessment policies and procedures to continuously evolve to take into account case law, legislative developments, facts, and developments in technology.</w:t>
      </w:r>
    </w:p>
    <w:p>
      <w:pPr>
        <w:spacing w:after="0" w:line="14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If an applicable regulatory authority or a court, in either case having final determinative authority on the topic, were to determine that a supported digital asset, product or service currently offered, sold, or traded on Figure Exchange is a security, we would not be able to offer such digital asset for trading, or product or service on Figure Exchange, until we are able to do so in a compliant manner. A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by the SEC, a state or foreign regulatory authority, or a court that an asset that we currently support for trading on Figure Exchange, or product or service that we offer on Figure Exchange, constitutes a security may result in us removing that digital asset from or ceasing to offer that product or service on Figure Exchange, and may also result in us determining that it is advisable to remove assets from Figure Exchange, or to cease offering products and services on Figure Exchange, that have similar characteristics to the asset, product or service that was alleged or determined to be a security. Alternatively, we may determine not to remove a particular digital asset from Figure Exchange or to continue to offer a product or service on Figure Exchange even if the SEC or another regulator alleges that the digital asset, product or service is a security, pending a final judicial determination as to that digital asset, product or service’s proper characterization, and the fact that we waited for a final judicial determination would generally not preclude penalties or sanctions against us for our having previously made Figure Exchange available for trading that digital asset or offering that product or service on Figure Exchange without registering as a national securities exchange or ATS; as a broker-dealer or investment company; or the tokens that we may issue as securities. As such, we could be subject to judicial or administrative sanctions for failing to offer or sell the digital asset, product or service in compliance with the registration requirements, or for acting as a broker, dealer, national securities exchange, clearing agency, or investment company without appropriate registration or an available exemption or exclusion. Such an action could result in injunctions, cease and desist orders, as well as civil monetary penalties, fines, and disgorgement, criminal liability, and reputational harm. Customers that traded such supported digital asset on Figure Exchange and suffered trading losses could also seek to rescind a transaction that we facilitated on the basis that it was conducted in violation of applicable law, which could subject us to significant liability. We may also be required to cease facilitating transactions in the supported digital asset other than via our licensed subsidiaries, which could negatively impact our business, operating results, and financial condition. Additionally, the SEC has brought and may in the future bring enforcement actions against other digital asset market participants and their product offerings and services that may cause us to modify or discontinue a product offering or service on Figure Exchange. If we were to modify or discontinue any product offering or service or remove any assets from trading on Figure Exchange for any reason, our decision may be unpopular with users, may reduce our ability to attract and retain customers (especially if similar products, services or such assets continue to be offered or traded on unregulated exchanges, which includes many of our competitors), and may adversely affect our business, operating results, and financial condition.</w:t>
      </w:r>
    </w:p>
    <w:p>
      <w:pPr>
        <w:spacing w:after="0" w:line="13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Further, if Bitcoin, Ether, stablecoins or any other supported digital asset is deemed to be a security under any U.S. federal, state, or foreign jurisdiction, or in a proceeding in a court of law or otherwise, it may have adverse consequences for such supported digital asset. For instance, all transactions in such supported digital asset may have to be registered with the SEC or other foreign authority, or else be conducted in accordance with an exemption from registration, which could severely limit its liquidity, usability and transactability. Moreover, the network on which such supported digital asset is utilized may be required to be regulated or registered as a securities intermediary in one or more different capacities, and thus subject to applicable rules, which could effectively render the network impracticable or inoperable for its existing purposes. Further, it could draw negative publicity and a decline in the general acceptance of the digital asset. Also, it may make it difficult for such supported digital asset to be traded, cleared, settled, and custodied as compared to other digital assets that are not considered to be securities. Specifically, even if transactions in a digital asset were registered with the SEC or conducted in accordance with an exemption from registration, the current intermediary-based framework for securities trading, clearance and settlement is not consistent with the operations of the digital asset market. For example, under current SEC guidance, digital assets that are securities cannot be held on behalf of customers by broker-dealers that also support activity in traditional securities, and the SEC has not permitted public permissionless blockchain-based clearance and settlement systems for securities. While we are not engaged in the business of investing, reinvesting, or trading in securities, if our holdings of digital assets that are deemed securities exceed 40% of our total assets (exclusive of government securities and cash items) on a consolidated basis, we could be deemed an investment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Beyond the United States, several foreign jurisdictions, including jurisdictions where our international operations are located, have taken a broad-based approach to classifying digital assets, products and services as “securities,” while other foreign jurisdictions, such as Switzerland, Malta, and Singapore, have adopted a narrower approach. As a result, certain digital assets, products or services may be deemed to be a “security” under the laws of some jurisdictions but not others. Various foreign jurisdictions may, in the future, adopt additional laws, regulations, or directives that affect the characterization of digital assets, products or services as “securities.”</w:t>
      </w:r>
    </w:p>
    <w:p>
      <w:pPr>
        <w:spacing w:after="0" w:line="1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Due to unfamiliarity and some negative publicity associated with digital asset platforms, confidence or interest in digital asset platforms may decline.</w:t>
      </w:r>
    </w:p>
    <w:p>
      <w:pPr>
        <w:spacing w:after="0" w:line="8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Digital asset platforms are relatively new. Some of our competitors are unlicensed, unregulated, operate without supervision by any governmental authorities, and do not provide the public with significant information regarding their ownership structure, management team, corporate practices, cybersecurity, and regulatory compliance. As a result, customers and the general public may lose confidence or interest in digital asset platforms, including regulated platforms like ours.</w:t>
      </w:r>
    </w:p>
    <w:p>
      <w:pPr>
        <w:spacing w:after="0" w:line="1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Since the inception of the digital asset economy, numerous digital asset platforms have been sued, investigated, or shut down due to fraud, manipulative practices, business failure, insolvency, and security breaches. In many of these instances, customers of these platforms were not compensated or made whole for their losses. Platforms like ours are appealing targets for hackers and malware, and may also be targets of regulatory enforcement actions. In addition, there have been reports that a significant amount of the apparent digital asset trading volume on digital asset platforms may be inflated or otherwise fabricated and false in nature, with a specific focus on unregulated platforms located outside the United States. Such reports may indicate that the market for digital asset platform activities is significantly smaller than otherwise understood.</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Negative perception, a lack of stability and standardized regulation in the digital asset market, and the closure or temporary shutdown of digital asset platforms due to fraud, business failure, hackers or malware, or government mandated regulation, and associated losses suffered by customers, may continue to reduce confidence or interest in the digital asset economy and result in greater volatility of the prices of assets, including significant depreciation in value. Any of these events could have an adverse impact on our business and our customers’ perception of us, including decreased use of Figure Exchange and loss of customer demand for our products and services.</w:t>
      </w:r>
    </w:p>
    <w:p>
      <w:pPr>
        <w:spacing w:after="0" w:line="1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Depositing and withdrawing digital assets into and from Figure Exchange involve risks, which could result in loss of customer assets, customer disputes and other liabilities, and adversely impact our business, financial condition, and results of operations.</w:t>
      </w:r>
    </w:p>
    <w:p>
      <w:pPr>
        <w:spacing w:after="0" w:line="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order to own, transfer and use a digital asset on its underlying blockchain network, a person must have a private and public key pair associated with a network address, commonly referred to as a “wallet.” Each wallet is associated with a unique “public key” and “private key” pair, each of which is a string of alphanumerical characters. In addition, some digital asset networks require additional information to be provided in connection with any transfer of digital assets to or from Figure Exchange. A number of errors can occur in the process of depositing or withdrawing digital assets into or from Figure Exchange, such as typos, mistakes, or the failure to include the information required by the blockchain network. Alternatively, a user may unintentionally transfer digital assets to a wallet address that the user does not own, control or hold the private keys to. A malicious actor may also take over our customer’s account due to security problems outside of our control, such as malware in the customer’s browser or other account theft/takeover scenarios on the customer side. In addition, each wallet address is generally only compatible with the underlying blockchain network on which it is created. For instance, a Bitcoin wallet address can only be used to send and receive Bitcoins. If any Ether or other digital assets are sent to a Bitcoin wallet address, or if any of the foregoing errors occur, all of the customer’s sent digital assets will be permanently and irretrievably lost with no means of recovery. We have encountered and expect to continue to encounter similar incidents with our customers. Such incidents could result in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disputes, damage to our brand and reputation, legal claims against us, and financial liabilities, any of which could adversely affect our business, financial condition, and results of operations.</w:t>
      </w:r>
    </w:p>
    <w:p>
      <w:pPr>
        <w:spacing w:after="0" w:line="9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not experienced excessive redemptions or withdrawals, or prolonged suspended redemptions or withdrawals, of digital assets to date. However, similar to traditional financial institutions, we may experience temporary process-related withdrawal delays. For example, we, and traditional financial institutions, may experience such delays if there is a significant volume of withdrawal requests that is vastly beyond anticipated levels. This does not mean we cannot or will not satisfy withdrawals, but this may mean a temporary delay in satisfying withdrawal requests. To the extent we have process-related delays, even if brief or due to blockchain network congestion or heightened redemption activity, and even within the terms of an applicable user agreement or otherwise communicated by us, we may experience increased customer complaints and damage to our brand and reputation and face additional regulatory scrutiny, any of which could adversely affect our business.</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failure to safeguard and manage our and our customers’ fiat currencies and digital assets could adversely impact our business, financial condition, and results of operations.</w:t>
      </w:r>
    </w:p>
    <w:p>
      <w:pPr>
        <w:spacing w:after="0" w:line="8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hold fiat currencies on behalf of our customers and support digital assets via self custody. Our expanding number of regulated entities rely on hot wallets, as well as a small but increasing number of FBO (for the benefit of our customers) bank accounts, which heightens the complexity of our operations, including fiat and blockchain reconciliations and the maintenance of our internal ledger and related accounting procedures. With respect to digital assets, we also rely on MPC based wallets, which rely on cryptographic protocols which require the holders of multiple, partial private key shares to agree in order to sign and authorize wallet transactions and activities. Sub-custodial arrangements among our various regulated entities adds to the operational complexity of our international operations. Delays, errors, or failures in these operations could result in investigations, regulatory and enforcement actions, or litigation, and adversely impact our business, financial condition, and results of operations. Our subsidiary Figure Equity Solutions, Inc., which is registered with the SEC as a transfer agent, serves as the record keeper and the manager of the master policyholder record for YLDS and any digital securities traded on our ATS. For its private funds, Figure Markets has an agreement with a third-party fund administrator that handles the accounting for those funds. Figure Equity Solutions, Inc., maintains transaction information, such as wallet address, asset balance, ownership percentage, number of shares or units, and date of purchase, on the blockchain and personal information, such as the investor’s name, address and other contact information, tax identification number, and other identifying or non-public information, off-chain within Figure Equity Solutions Inc.’s proprietary systems. DART is part of a dual registry for real property records. DART Collateral Manager LLC acts as the trustee for platform-originated loans. DART Portfolio Manager LLC facilitates and documents subsequent transfers. DART monitors all DART Portfolio Manager LLC transactions and automatically updates the DART registry with real-time control changes. All DART records are stored on-chain and security interests reflected on the DART registry are recognized by Figure Connect participants via their assent to uniform DART Participation Rules. Our internal accounting team performs a fiat reconciliation, at a minimum, once quarterly to reconcile incoming wires, with automated checks also existing to reconcile security entitlements to digital assets held by customers Products that rely on off-chain systems or records include records of ownership filed with local recorder of deeds offices throughout the United States for real-estate secured loans, including HELOCs and DSCR loans, and the filing of UCC-1 financing statements with secretaries of state, where applicable, for digital assets-backed secured personal loans. All other records should be considered to be on-chain, with reconciliation performed automatically, in real time based on changes made by the owner or controller of the asset in Portfolio Manager, impacting the information available on the blockchain.</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ability to manage and accurately safeguard our customers’ assets requires a high level of internal controls. As our business continues to grow and we expand our product and service offerings, we must continue to strengthen our associated internal controls and ensure that our third-party service providers do the same. Our success and the success of our offerings requires significant public confidence in our ability to properly manage customers’ balances and handle large and growing transaction volumes and amounts of customer funds. Any failure by us to maintain the necessary controls or to manage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digital assets and funds appropriately and in compliance with applicable regulatory requirements could result in reputational harm or significant financial losses, lead customers to discontinue or reduce their use of our products, and result in significant penalties and fines and additional restrictions, which could adversely impact our business, operating results, and financial condition. For example, on February 21, 2025, Bybit, a digital asset exchange based in Dubai, suffered an exploit resulting in the loss of over $1.4 billion in digital assets from cold wallets used by Bybit to hold digital assets on the Ethereum network. While understanding of the precise nature and cause of the exploit continues to evolve, current analyses suggest potential involvement of state actors, social engineering attacks, and sophisticated exploits of vulnerabilities in the web interface utilized by Bybit to initiate transactions out of multi-signature cold wallets operated by Bybit.</w:t>
      </w:r>
    </w:p>
    <w:p>
      <w:pPr>
        <w:spacing w:after="0" w:line="1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deposit, transfer, and have custody of customer cash and digital assets in multiple jurisdictions. In each instance, we are required to safeguard customers’ assets using bank-level security standards applicable to our hot wallet and storage systems, as well as our financial management systems related to such custodial functions. Our security technology is designed to prevent, detect, and mitigate inappropriate access to our systems, by internal or external threats. We believe we have developed and maintained administrative, technical, and physical safeguards designed to comply with applicable legal requirements and industry standards. However, it is nevertheless possible that hackers, employees, service providers, or others acting contrary to our policies could circumvent these safeguards to improperly access our systems or documents, or the systems or documents of our business partners, agents, or service providers, and improperly access, obtain, or misuse customer digital assets and funds. The methods used to obtain unauthorized access, disable, or degrade service or sabotage systems are also constantly changing and evolving and may be difficult to anticipate or detect for long periods of time.</w:t>
      </w:r>
    </w:p>
    <w:p>
      <w:pPr>
        <w:spacing w:after="0" w:line="12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also hold fiat currency and digital assets for administrative and operating purposes. While we take steps to segregate such assets from our user assets, any failure to properly safeguard, manage, or account for these funds could result in financial losses, regulatory scrutiny, reputational harm, or legal liability.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temporary or permanent blockchain “fork” to any supported digital asset could adversely affect our business.</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Blockchain protocols, including Bitcoin and Ethereum, are open source. Any user can download the software, modify it, and then propose that Bitcoin, Ethereum, or other blockchain protocol users and miners adopt the modification. When a modification is introduced and a substantial majority of users and miners or validators consent to the modification, the change is implemented and the Bitcoin, Ethereum or other blockchain networks, as applicable, remain uninterrupted. However, if less than a substantial majority of users and miners or validators consent to the proposed modification, and the modification is not compatible with the software prior to its modification, the consequence would be what is known as a “fork” (i.e., “split”) of the impacted blockchain protocol network and respective blockchain, with one prong running the pre-modified software and the other running the modified software. The effect of such a fork would be the existence of two parallel versions of the Bitcoin, Ethereum, or other blockchain protocol network, as applicable, running simultaneously, but with each split network’s digital asset lacking interchangeability.</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Both Bitcoin and Ethereum protocols have been subject to “forks” that resulted in the creation of new networks, including Bitcoin Cash ABC, Bitcoin Cash SV, Bitcoin Diamond, Bitcoin Gold, Ethereum Classic, EthereumPoW, and others. Some of these forks have caused fragmentation among platforms as to the correct naming convention for forked digital assets. Due to the lack of a central registry or rulemaking body, no single entity has the ability to dictate the nomenclature of forked digital assets, causing disagreements and a lack of uniformity among platforms on the nomenclature of forked digital assets, and which results in further confusion to customers as to the nature of assets they hold on platforms. In addition, several of these forks were contentious and as a result, participants in certain communities may harbor ill will towards other communities. As a result, certain community members may take actions that adversely impact the use, adoption, and price of Bitcoin, Ether, or any of their forked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alternatives. For example, in September 2022, the Ethereum Network successfully completed its Merge, moving from a PoW model to a Proof-of-Stake (“PoS”) model. EthereumPoW miners who disagreed with the new consensus mechanism forked the network, which resulted in the EthereumPoW network (“ETHW”). ETHW was driven by a small but vocal group of miners who wished to hold onto revenue as Ethereum switched to PoS. The vast majority of token holder votes preferred the new PoS consensus method. There was no material impact on the Ethereum network as a result of the fork. All Ether holders also became owners of ETHW tokens as a result of the fork. However, not all liquidity providers were able to trade the new token, and the ETHW token almost immediately lost most of its value.</w:t>
      </w:r>
    </w:p>
    <w:p>
      <w:pPr>
        <w:spacing w:after="0" w:line="12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Furthermore, forks can lead to new security concerns. For instance, when the Ethereum and Ethereum Classic networks split in July 2016, replay attacks, in which transactions from one network were rebroadcast on the other network to achieve “double-spending,” plagued platforms that traded Ether through at least October 2016, resulting in significant losses to some digital asset platforms. Similar replay attacks occurred in connection with the Bitcoin Cash and Bitcoin Cash SV network split in November 2018. Another possible result of a fork is an inherent decrease in the level of security due to the splitting of some mining power across networks, making it easier for a malicious actor to exceed 50% of the mining power of that network, and thereby making digital assets that rely on PoW more susceptible to attack, as has occurred with Ethereum Classic.</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do not believe we are required to support any fork or provide the benefit of any forked digital asset to our customers. However, we may in the future be subject to claims by customers arguing that they are entitled to receive certain forked digital assets by virtue of digital assets that they currently hold. If any customers succeed on a claim that they are entitled to receive the benefits of a forked digital asset that we do not or are unable to support, we may be required to pay significant damages, fines or other fees to compensate customers for their losses.</w:t>
      </w:r>
    </w:p>
    <w:p>
      <w:pPr>
        <w:spacing w:after="0" w:line="1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 fork can also divert investors from the supported digital asset to new assets on the fork that are not supported by Figure Exchange. We may not be able to support the forked digital assets for technical, legal, or other reasons. This can adversely impact the trading volume on Figure Exchange.</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Future forks may occur at any time. A fork can lead to a disruption of networks and our information technology systems, cybersecurity attacks, replay attacks, or security weaknesses. Such disruption and loss could cause us to be exposed to liability, even in circumstances where we have no intention of supporting an asset compromised by a fork.</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From time to time, we may encounter technical issues in connection with the integration of supported digital assets and changes and upgrades to their underlying networks, which could adversely affect our business.</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order to support a digital asset, a variety of front and back-end technical and development work is required to integrate such supported digital asset with our existing technical infrastructure. For certain digital assets, a significant amount of development work is required and there is no guarantee that we will be able to integrate successfully with any existing or future digital asset. In addition, such integration may introduce software errors or weaknesses into Figure Exchange, including our existing infrastructure. Even if such integration is initially successful, any number of technical changes, software upgrades, soft or hard forks, cybersecurity incidents, or other changes to the underlying blockchain network may occur from time to time, causing incompatibility, technical issues, disruptions, or security weaknesses to Figure Exchange. If we are unable to identify, troubleshoot and resolve any such issues successfully, we may no longer be able to support such digital asset, and Figure Exchange and technical infrastructure may be affected, all of which could adversely impact our business.</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miners or validators of any supported digital asset demand high transaction fees, our business, financial condition, and results of operations may be adversely affected.</w:t>
      </w:r>
    </w:p>
    <w:p>
      <w:pPr>
        <w:spacing w:after="0" w:line="85"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Customers incur transaction fees when they send certain digital assets from their FMH account to a non-FMH account. In addition, we pay transaction fees when we move digital assets for various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operational purposes, for which we do not charge our customers. Such fees have been and may continue to be unpredictable, and may vary depending on a range of factors including activity levels on the relevant blockchain network and parameters specified by the governance processes of the relevant blockchain network. In addition, for PoW and PoS networks, if the block rewards for miners or validators on any blockchain network are not sufficiently high to incentivize miners or validators, miners or validators may demand higher transaction fees, or reject low transaction fees and force users to pay higher fees, which could adversely affect our business, financial condition and results of operations.</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Future developments regarding the treatment of digital assets for U.S. and foreign tax purposes could adversely impact our business, financial condition, and results of operations.</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Due to the new and evolving nature of digital assets and the absence of comprehensive legal and tax guidance with respect to digital asset products and transactions, many significant aspects of the U.S. and foreign tax treatment of transactions involving digital assets, such as the purchase and sale of digital assets on Figure Exchange, as well as the provision of staking rewards and other digital asset incentives and rewards products, are uncertain, and it is unclear whether, when and what guidance may be issued in the future on the treatment of digital asset transactions for U.S. and foreign tax purposes.</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2014, the U.S. Internal Revenue Service (the “IRS”) released Notice 2014-21, discussing certain aspects of “virtual currency” for U.S. federal income tax purposes and, in particular, stating that such virtual currency is “property,” is not “currency” for purposes of the rules relating to foreign currency gain or loss, and may be held as a capital asset. From time to time, the IRS has released other notices and rulings relating to the tax treatment of virtual currency or digital assets reflecting the IRS’s position on certain issues. The IRS has not addressed many other significant aspects of the U.S. federal income tax treatment of digital assets and related transactions.</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There continues to be uncertainty with respect to the timing, character and amount of income inclusions for various digital asset transactions including, but not limited to lending and borrowing digital assets, and other digital asset incentives and products that we offer. Although we believe our treatment of digital asset transactions for federal income tax purposes is consistent with existing positions from the IRS and/or existing U.S. federal income tax principles, because of the rapidly evolving nature of digital asset innovations and the increasing variety and complexity of digital asset transactions and products, it is possible the IRS and various U.S. states may disagree with our treatment of certain digital asset offerings for U.S. tax purposes, which could adversely affect our customers and the vitality of our business. Similar uncertainties exist in the foreign markets in which we operate with respect to direct and indirect taxes, and these uncertainties and potential adverse interpretations of tax law could impact the amount of tax we and our non-U.S. customers are required to pay, and the vitality of our platforms outside of the United States.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There can be no assurance that the IRS, the U.S. state revenue agencies, local U.S. tax authorities or foreign tax authorities, will not alter their respective positions with respect to digital assets in the future or that a court would uphold the treatment set forth in existing positions. It also is unclear what additional tax authority positions, regulations, or legislation may be issued in the future on the treatment of existing digital asset transactions and future digital asset innovations under U.S. federal, U.S. state or local, or foreign tax law. Any such developments could result in adverse tax consequences for holders of digital assets and could have an adverse effect on the value of digital assets and the broader digital asset markets. Future technological and operational developments that may arise with respect to digital assets may increase the uncertainty with respect to the treatment of digital assets for U.S. and foreign tax purposes. The uncertainty regarding tax treatment of digital asset transactions impacts our customers, and could impact our business, both domestically and abroad.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tax information reporting obligations with respect to digital asset transactions are subject to change.</w:t>
      </w:r>
    </w:p>
    <w:p>
      <w:pPr>
        <w:spacing w:after="0" w:line="16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Although we believe we are compliant with U.S. tax reporting and withholding requirements with respect to our customers’ digital asset transactions, the exact scope and application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requirements, including but not limited to U.S. onboarding requirements through IRS Forms W-9 and W-8, backup withholding, non-resident alien withholding, and IRS Form 1099 and IRS Form 1042-S reporting obligations, is not entirely clear for all of the digital asset transactions that we facilitate. In November 2021, the U.S. Congress passed the Infrastructure Investment and Jobs Act, providing that brokers (which appear to include exchanges such as Figure Exchange) would be responsible for reporting to the IRS the transactions of their customers in digital assets, including transfers to other exchanges or non-exchanges. In June 2024, the U.S. Treasury Department and the IRS released final regulations and issued other administrative guidance on tax information reporting for digital assets (the “Final Regulations”). The Final Regulations introduce new rules related to our tax reporting and withholding obligations on our customer transactions in ways that differ from our existing compliance protocols, and there can be no assurance that we will have proper records to ensure compliance for certain legacy customers or transactions. The Final Regulations will require us to invest substantially in new compliance measures. If the IRS determines that we are not in compliance with our tax reporting or withholding requirements with respect to customer digital asset transactions, we may be exposed to significant taxes and penalties, which could adversely affect our business, financial condition and results of operations. The Final Regulations will require us to invest substantially in new compliance measures and may require significant retroactive compliance efforts, which also could adversely affect our business, financial condition, and results of operations.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Similarly, it is likely that new rules for reporting digital assets under the global “common reporting standard” as well as the “crypto-asset reporting framework” will be implemented on our international operations, creating new obligations and a need to invest in new onboarding and reporting infrastructure. Such rules are under discussion by the member and observer states of the Organization for Economic Cooperation and Development and by the European Commission on behalf of the member states of the European Union. These new rules may give rise to potential liabilities or disclosure requirements for prior customer arrangements and new rules that affect how we onboard our customers and report their transactions to taxing authorities. Additionally, the European Union has issued directives, commonly referred to as the Central Electronic System of Payment information, requiring payment service providers in the European Union to report certain cross-border transactions to taxing authorities on a quarterly basis beginning in January 2024. Any actual or perceived failure by us to comply with the above or any other emerging tax regulations that apply to our operations could harm our business.</w:t>
      </w:r>
    </w:p>
    <w:p>
      <w:pPr>
        <w:spacing w:after="0" w:line="12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nature of our business requires the application of complex financial accounting rules, and there is limited guidance from accounting standard setting bodies on certain topics. If financial accounting standards undergo significant changes, our results of operations could fluctuate.</w:t>
      </w:r>
    </w:p>
    <w:p>
      <w:pPr>
        <w:spacing w:after="0" w:line="1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accounting rules and regulations that we must comply with are complex and subject to interpretation by the Financial Accounting Standards Board (the “FASB”), the SEC, and various other bodies formed to promulgate and interpret appropriate accounting principles. Recent actions and public comments from the FASB and the SEC have focused on the integrity of financial reporting and internal controls and many companies’ accounting policies are being subjected to heightened scrutiny by regulators and the public. Further, there has been limited precedent for the financial accounting of digital assets and related valuation and revenue recognition. Moreover, a change in these principles or interpretations could have a significant effect on our reported financial results, and may even affect the reporting of transactions completed before the announcement or effectiveness of a change. For example, in December 2023, the FASB issued Accounting Standards Update No. 2023-08, Intangibles-Goodwill and Other-Crypto Assets (ASU 2023-08): Accounting for and Disclosure of Crypto Assets (“ASU 2023-08”), which represents a significant change in how entities that hold digital assets will account for certain of those holdings. Previously, digital assets held were accounted for as intangible assets with indefinite useful lives, which required us to measure digital assets at cost less impairment. Effective as of January 1, 2024, we adopted ASU 2023-08, which requires us to measure digital assets held at fair value at each reporting date, with fair value gains and losses recognized through net income. Fair value gains and losses can increase the volatility of our net income, especially if the underlying digital asset market is volatile. Additionally, on March 31, 2022, the staff of the SEC issued Staff Accounting Bulletin No. 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(“SAB 121”), which represented a significant change regarding how a company safeguarding digital assets held for its platform users reports such digital assets on its balance sheet and required retrospective application as of January 1, 2022. In January 2025, the staff of the SEC issued SAB No. 122 (“SAB 122”), which rescinds the previously issued interpretive guidance included within SAB 121. We have adopted SAB 122 as of December 31, 2024 on a retrospective basis.</w:t>
      </w:r>
    </w:p>
    <w:p>
      <w:pPr>
        <w:spacing w:after="0" w:line="12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Uncertainties in or changes to regulatory or financial accounting standards could result in the need to change our accounting methods and may retroactively affect previously reported results and impair our ability to provide timely and accurate financial information, which could adversely affect our financial statements, result in a loss of investor confidence, and more generally impact our business, financial condition, and results of operations.</w:t>
      </w:r>
    </w:p>
    <w:p>
      <w:pPr>
        <w:spacing w:after="0" w:line="12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strategy and focus on delivering high-quality, compliant, easy-to-use, and secure digital assets-related financial services may not maximize short-term or medium-term financial results.</w:t>
      </w:r>
    </w:p>
    <w:p>
      <w:pPr>
        <w:spacing w:after="0" w:line="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taken, and expect to continue to take, actions that we believe are in the best interests of our customers and the long-term interests of our business, even if those actions do not necessarily maximize short-term or medium-term results. These include expending significant managerial, technical, and legal efforts on complying with laws and regulations that are applicable to our products and services and ensuring that our products are secure. We also focus on driving long-term engagement with our customers through innovation and developing new products and technologies. These decisions may not be consistent with the short-term and medium-term expectations of our stockholders and may not produce the long-term benefits that we expect, which could have an adverse effect on our business, financial condition, and results of operations.</w:t>
      </w:r>
    </w:p>
    <w:p>
      <w:pPr>
        <w:spacing w:after="0" w:line="13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Banking relationships in the digital asset space have been difficult to obtain and maintain in the recent regulatory climate. Loss of a critical banking or insurance relationship could adversely impact our business, financial condition, and results of operations.</w:t>
      </w:r>
    </w:p>
    <w:p>
      <w:pPr>
        <w:spacing w:after="0" w:line="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rely on bank relationships to provide banking rails for our platform. Given the industry in which we operate, our banking partners may view us as a higher risk customer for purposes of their AML programs, notwithstanding the fact that the subsidiaries through which we operate hold all required licenses for their current activities.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face difficulty establishing or maintaining banking relationships due to instability in the global banking system, increasing regulatory uncertainty and scrutiny, or our banking partners’ policies. The loss of banking partners or the imposition of operational restrictions by banking partners and the inability for us to utilize other redundant financial institutions may result in a disruption of business activity as well as regulatory risks. In addition, as a result of the myriad of regulations, the risks of digital assets generally, the adverse reputational impact of widely publicized negative events (such as FTX Trading Ltd.’s collapse) on our industry, implicit or explicit pressure from banking regulators and supervisors, or in the event of an adverse outcome of any SEC litigation, financial institutions in the United States and globally may decide to not provide, or be prohibited from providing, account, custody, or other financial services to us or the digital asset industry generally.</w:t>
      </w:r>
    </w:p>
    <w:p>
      <w:pPr>
        <w:spacing w:after="0" w:line="13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If the financial institutions we rely on face bank resolution or failure, limit or stop their digital asset activities, or if banking access for digital asset participants is restricted in a certain country, it could lead to temporary delays or unavailability of critical services in that country. This may affect our operations, reduce the availability of vendors or quality of services available to us or our customers, and cause a general disruption in the digital asset industry, potentially reducing activity on our platform, which may adversely impact our business, financial condition, and results of operations. Furthermore, the interruption or termination of certain of our banking relationships may lead to non-compliance with regulatory licenses that we maintain and could subject us to litigation (including damages), investigation, enforcement and other regulatory and legal action and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also rely on insurance carriers to insure customer losses resulting from a breach of our physical security, cybersecurity, or by employee or third-party theft. Our ability to maintain such insurance is subject to the insurance carriers’ ongoing underwriting criteria and our inability to obtain and maintain appropriate insurance coverage could cause a substantial business disruption, adverse reputational impact, inability to compete with our competitors, and regulatory scrutiny.</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currently support, and expect to continue to support, certain smart contract-based digital assets. If the underlying smart contracts for these digital assets do not operate as expected, or if the fundamental premise of smart contract acceptance or function shifts, our business, financial condition, and results of operations could be adversely affected.</w:t>
      </w:r>
    </w:p>
    <w:p>
      <w:pPr>
        <w:spacing w:after="0" w:line="1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currently support, and expect to continue to support, various digital assets that represent units of value on smart contracts deployed on a third-party blockchain. Smart contracts are programs that can store, automatically execute and transfer value, or conduct other operations when certain conditions are met. Since smart contracts typically cannot be stopped or reversed, vulnerabilities in their programming and design can have damaging effects. For instance, in April 2018, a batch overflow bug was found in many Ethereum-based ERC-20-compatible smart contract tokens that allowed hackers to create a large number of smart contract tokens, causing multiple digital asset platforms worldwide to shut down ERC-20-compatible token trading. Similarly, in March 2020, a design flaw in the MakerDAO smart contract caused forced liquidations of digital assets at significantly discounted prices, resulting in millions of dollars of losses to users who had deposited digital assets into the smart contract. If any such vulnerabilities or flaws come to fruition, smart contract-based digital assets, including those held by our customers on Figure Exchange, may suffer negative publicity, be exposed to security vulnerabilities, decline significantly in value, or lose liquidity over a short period of time.</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some cases, smart contracts can be controlled by one or more admin keys or users with special privileges, or “super-users.” These users have the ability to unilaterally make changes to the smart contract, enable or disable features on the smart contract, change how the smart contract receives external inputs and data, and make other changes to the smart contract. For smart contracts that hold a pool of reserves, these users may also be able to extract funds from the pool, liquidate assets held in the pool, or take other actions that decrease the value of the assets held by the smart contract in reserves. Even for digital assets that have adopted a decentralized governance mechanism, such as smart contracts that are governed by the holders of a governance token, such governance tokens can be concentrated in the hands of a small group of core community members, who would be able to make similar changes unilaterally to the smart contract. If any such super-user or group of core members unilaterally makes adverse changes to a smart contract, the design, functionality, features and value of the smart contract and its related digital assets may be harmed.</w:t>
      </w:r>
    </w:p>
    <w:p>
      <w:pPr>
        <w:spacing w:after="0" w:line="12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digital assets held by the smart contract in reserves may be stolen, misused, burnt, locked up or otherwise become unusable or irrecoverable. Super-users that have control over these smart contracts can also become targets of hackers and malicious attackers. If an attacker is able to access or obtain the super-user privileges of a smart contract, or if a smart contract’s super users or core community members take actions that adversely affect the smart contract, our users who hold and transact in the affected digital assets may experience decreased functionality and value of the applicable digital assets, up to and including a total loss of the value of such digital assets. Although we do not control these smart contracts, any such events could cause users to seek damages against us for their losses, result in reputational damage to us, or in other ways adversely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rely on external financial and tax advisors to provide us with accurate advice, which may be wrong or inaccurate. We may not be able to onboard external financial or tax advisors with the right skill sets and experience in the blockchain technology and digital assets industry and may not be able to maintain the services of external auditors.</w:t>
      </w:r>
    </w:p>
    <w:p>
      <w:pPr>
        <w:spacing w:after="0" w:line="10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Due to the complexity and novelty of the law, regulations, and accounting standards relevant to blockchain technology and the digital assets industry, from time to time we rely on external financial and tax advisors to provide us with accurate advice. However, as the industry is relatively new, the interpretation of the applicable laws, regulations and accounting standards by our external advisors may be different from that of government authorities and may be wrong or inaccurate.</w:t>
      </w:r>
    </w:p>
    <w:p>
      <w:pPr>
        <w:spacing w:after="0" w:line="1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there is a limited pool of suitably qualified financial and tax advisors with sufficient expertise in digital assets and blockchain technology, we may not be able to onboard external advisors with the right skill sets and experience. We may incur increased costs in obtaining external financial and tax advice from advisors with the appropriate level of quality and expertise.</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redemption risk, pricing risk, and regulatory risk associated with stablecoins may adversely affect our business, financial condition, and results of operations.</w:t>
      </w:r>
    </w:p>
    <w:p>
      <w:pPr>
        <w:spacing w:after="0" w:line="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Stablecoins are digital assets designed to minimize price volatility. A stablecoin is designed to track the price of an underlying asset such as fiat currency or an exchange-traded commodity. We currently support and use certain stablecoins in our business lines, and our wholly-owned subsidiary, FCC, recently launched YLDS, an interest-bearing transferable stablecoin.</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Stablecoins have a unique risk associated with redemption of the token for the underlying asset and divergence between the intended redemption rate of the stablecoin and secondary market trading prices. The underlying assets are often invested into perceived “safe” investments such as U.S. Treasury securities. However, there is no guarantee that the underlying assets are put into instruments that are as safe as they may be perceived to be. There is a risk that the assets may not be redeemable at the 1:1 redemption ratio (i.e., one U.S. dollar for one stablecoin) if an issue occurs with the underlying asset. The issuers of stablecoins may also not be able to provide sufficient underlying assets to back the stablecoins. Moreover, even if marketed or intended to be redeemable with the stablecoin issuer at a 1:1 ratio, there is no guarantee that a stablecoin will trade in the secondary market at or close to such redemption value. In this regard, various market factors, including factors including trade liquidity and sentiment and perception regarding a stablecoin and its backing with underlying assets, may result in a stablecoin trading in the secondary markets at a value other than (or “depegging” from) a 1:1 value with the U.S. dollar. For example, the USDC stablecoin issued by Circle temporarily depegged and traded at a secondary price below one U.S. dollar in March 2023 in the context of the collapse of Silicon Valley Bank due to concerns that some of the funds backing USDC were held in deposits with Silicon Valley Bank.</w:t>
      </w:r>
    </w:p>
    <w:p>
      <w:pPr>
        <w:spacing w:after="0" w:line="13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the regulatory treatment of fiat-backed stablecoins is highly uncertain. The resale of such stablecoins may implicate a variety of banking, deposit, money transmission, prepaid access and stored value, anti-money laundering, commodities, securities, sanctions, and other laws and regulations in the various jurisdictions relevant to our business. The risks associated with stablecoins may adversely affect interest in and demand for the products and services we seek to offer, and subject us to additional regulatory uncertainties, which may result in enforcement actions, litigation, significant costs being incurred, fines, and other penalties, as well as adversely affect our business, financial condition, and results of operations.</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A significant amount of the trading volume on Figure Exchange is derived from a relatively small number of customers, and the loss of these customers, or a reduction in their trading volume, could have an adverse effect on our business, financial condition, and results of operations.</w:t>
      </w:r>
    </w:p>
    <w:p>
      <w:pPr>
        <w:spacing w:after="0" w:line="10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 relatively small number of institutional market makers and high-transaction volume customers account for a significant amount of the trading volume on Figure Exchange. For example, our top seven customers accounted for 96% and 99% of the trading volume on Figure Exchange during the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months ended March 31, 2025 and the year ended December 31, 2024, respectively. Further, through March 31, 2025, we had three large institutional customers that made up the majority of the volume on Figure Exchange. To facilitate their activities, we provided loans to two of these customers for a total of $ 1.4 million as of March 31, 2025. Except for these loans and our customary terms of service that are entered into by all of our customers, we have not entered into any other agreements with such institutional investors. Figure Exchange did not charge transaction fees at such date but has since charged, and will continue to charge, transaction fees in the future. We expect significant trading volume and revenue attributable to these customers for the foreseeable future, including revenue attributable to transaction fees. A loss of these users, or a reduction in their trading volume, and our inability to replace these users with other users, could have an adverse effect on our business, financial condition, and results of operations.</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Revenue from Figure Exchange is concentrated in a limited number of areas, particularly transactions in Bitcoin, Ether, and HASH. If revenue from these areas declines and is not replaced by new trading in other digital assets or demand for other products and services, our business, financial condition, and results of operations could be adversely affected.</w:t>
      </w:r>
    </w:p>
    <w:p>
      <w:pPr>
        <w:spacing w:after="0" w:line="1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While we support a diverse portfolio of products and services, our revenue from Figure Exchange is concentrated in transactions in Bitcoin, Ether, and HASH (the native digital asset of the Provenance Blockchain). During 2022 and 2023, the value of Bitcoin, Ether, and other digital assets declined steeply. While the value of many digital assets recovered in 2024, they fell significantly again during the first quarter of 2025. If the value of these digital assets does not continue to increase or declines in the future, our business, financial condition, and results of operations could be adversely affected. As such, in addition to the factors impacting the broader digital asset industry described herein, our revenue may be adversely affected if the markets for Bitcoin, Ether, or HASH deteriorate or if their prices decline, including because of the following factors:</w:t>
      </w:r>
    </w:p>
    <w:p>
      <w:pPr>
        <w:spacing w:after="0" w:line="129" w:lineRule="exact"/>
        <w:rPr>
          <w:sz w:val="20"/>
          <w:szCs w:val="20"/>
          <w:color w:val="auto"/>
        </w:rPr>
      </w:pPr>
    </w:p>
    <w:p>
      <w:pPr>
        <w:ind w:left="66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reduction in mining rewards of Bitcoin, including block reward halving events, which are events that occur after a specific period of time and reduces the block reward earned by miners;</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 sentiment related to the actual or perceived environmental impact of blockchain technology and related activities, including environmental concerns raised by private individuals and governmental actors related to the energy resources consumed in the Bitcoin mining process;</w:t>
      </w:r>
    </w:p>
    <w:p>
      <w:pPr>
        <w:spacing w:after="0" w:line="11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disruptions, hacks, forks, attacks by malicious actors who control a significant portion of the networks’ hash rate through double spend or 51% attacks, and similar incidents affecting the Bitcoin or Ethereum networks;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forks resulting in the creation of and divergence into multiple separate networks, such as Bitcoin Cash and Ethereum Classic;</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informal governance led by Bitcoin and Ethereum core developers that leads to revisions to the underlying source code or inactions that prevent network scaling, and which evolves over time largely based on self-determined participation, which may result in new changes or updates that affect their speed, security, usability, or value;</w:t>
      </w:r>
    </w:p>
    <w:p>
      <w:pPr>
        <w:spacing w:after="0" w:line="11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for Bitcoin and Ethereum Networks to resolve significant scaling challenges and increase the volume and speed of transactions;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transaction congestion and fees associated with processing transactions on the Bitcoin and Ethereum networks;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identification of Satoshi Nakamoto, the pseudonymous person or persons who developed Bitcoin, or the transfer of Nakamoto’s Bitcoin;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39" w:lineRule="exact"/>
        <w:rPr>
          <w:sz w:val="20"/>
          <w:szCs w:val="20"/>
          <w:color w:val="auto"/>
        </w:rPr>
      </w:pPr>
    </w:p>
    <w:p>
      <w:pPr>
        <w:ind w:left="66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in mathematics, technology, digital computing, algebraic geometry, and quantum computing that could result in the cryptography which is used by Bitcoin and Ethereum Networks becoming insecure or ineffective;</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legal proceedings or regulatory enforcement actions, judgments, or settlements impacting digital asset industry participants;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legislative, or other compulsory or informal restrictions or limitations on Bitcoin and Ethereum lending, mining, or staking activities;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liquidity and credit risk issues experienced by other digital asset platforms and other participants of the digital asset industry; and</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laws and regulations affecting the Bitcoin and Ethereum Networks or access to these networks, including a determination that either Bitcoin, Ether, or HASH constitutes a security or other regulated financial instrument under the laws of any jurisdiction.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Third Parties</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sell a significant percentage of our loans to a concentrated number of loan purchasers on the secondary market, and the loss of one or more significant purchasers could adversely affect our business, financial condition, and results of operations.</w:t>
      </w:r>
    </w:p>
    <w:p>
      <w:pPr>
        <w:spacing w:after="0" w:line="8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While we continue to diversify and add more loan purchasers, we currently sell a significant percentage of our loans to a concentrated number of loan purchasers. For example, our top three loan purchasers in 2024 collectively accounted for 38% of our loan sale volume, and individually accounted for 15%, 14%, and 10%, or $660 million, $618 million, and $427 million, respectively. Our top three loan purchasers in 2023 collectively accounted for approximately 60% of our loan sale volume, and individually accounting for 27%, 21%, and 12% of our loan volume, or $889 million, $664 million, and $388 million, respectively. These values do not include loans sold in Figure Securitizations, which totaled $456 million in 2024 and $818 million in 2023. We continue to diversify our loan purchaser ecosystem by adding new buyers in addition to securitizing loans. There are inherent risks whenever a large percentage of a business is concentrated with a limited number of parties. It is not possible for us to predict the future level of demand for our loans by these or other purchasers. In addition, purchases of our loans by these purchasers have historically fluctuated and may continue to fluctuate based on a number of factors, some of which may be outside of our control, including economic conditions, government-sponsored enterprise involvement in the purchase and securitization of similar lending products, the availability of alternative investments, changes in the terms of the loans, loans offered by competitors, prevailing interest rates, and a change in business plan, liquidity or strategy by the purchaser. If any of these purchasers significantly reduces the dollar amount of the loans it purchases from us, we may be unable to sell those loans to another purchaser on favorable terms or at all, which may require us to reduce originations or hold additional loans on our balance sheet and may reduce our flexibility in making financing decisions. In addition, the loss of one or more of our significant loan purchasers could increase the volatility of the mark-to-market methodology we use to determine the fair value of the loans we hold on our balance sheet, which could adversely affect our business, financial condition, and results of operations.</w:t>
      </w:r>
    </w:p>
    <w:p>
      <w:pPr>
        <w:spacing w:after="0" w:line="14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counterparties may terminate our servicing rights pursuant to servicing agreements under which we conduct servicing activities.</w:t>
      </w:r>
    </w:p>
    <w:p>
      <w:pPr>
        <w:spacing w:after="0" w:line="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business depends in part on our ability to effectively service loans in accordance with the terms of our servicing agreements with third parties. Additionally, we contract with subservicers to service certain loans, while retaining ultimate responsibility and liability to our counterparties for the subservicer’s performance. Our servicing agreements generally include provisions that allow our counterparties to terminate our servicing rights under certain conditions, which may include non-compliance with financial obligations, breach of contractual terms, or failure to adhere to legal and regulatory requirements. Moreover, these agreements generally allow our counterparties to terminate and transfer our servicing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rights at their discretion at any time, which they may choose to do based on preferential relationships with other servicers, changes to their operations, or general dissatisfaction with our or a subservicer’s performance. In the event of termination of our servicing rights, we may be required to transfer our servicing rights to a successor servicer on short notice and without compensation. A large number of requested transfers to a successor servicer could disrupt our operations. If we were to have our servicing rights terminated on a material portion of our servicing portfolio, this could adversely affect our business, financial condition, and results of operations.</w:t>
      </w:r>
    </w:p>
    <w:p>
      <w:pPr>
        <w:spacing w:after="0" w:line="1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Failure of vendors to perform their contractual agreements embedded in our products and services and our failure to effectively oversee vendor operations could adversely affect our business, financial condition, and results of operations.</w:t>
      </w:r>
    </w:p>
    <w:p>
      <w:pPr>
        <w:spacing w:after="0" w:line="8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contract with vendors and service providers who perform services for us or to whom select functions are delegated and integrated into our processes. In some cases, third-party vendors are one of a limited number of sources. These service providers are critical to our maintaining a high level of automation on our platform; without certain vendors, we would experience disruption to our LOS that could prevent our platform from originating loans until we identify and integrate a replacement vendor. In addition to vendors that are integrated into our LOS, such as credit reporting agencies and residential property and consumer data providers, we rely on vendors for key information technology tasks, including maintenance of system availability, cybersecurity, and data integrity. For example, we use the following capabilities of GCP: infrastructure and scalability resources, security measures, a high-performance network that supports system availability by minimizing latency and providing reliable connectivity, and data storage, protection, privacy, and integrity. We utilize a variety of other vendors to detect and defend against malicious activity and threats. Our arrangements with vendors and service providers have in the past and may in the future disrupt or degrade our operations if they fail to satisfy their obligations to us or if they were to stop providing services to us either on a temporary or permanent basis. We may be unable to replace these vendors and service providers in a timely and efficient manner, on similar terms, or at all. In addition, our vendors and service providers may fail to operate in compliance with applicable laws, regulations, and rules. Despite our efforts to monitor our vendors and service providers with which we transact business, there is no guarantee that they will comply with their contractual obligations as agreed to or applicable laws and regulations. Failure to maintain an effective vendor oversight program and monitor our vendors’ compliance with applicable laws could result in fines, penalties or other liability for errors and omissions by these vendors and service providers, which could adversely affect our business, financial condition, and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Market and Interest Rates</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 is significantly impacted by interest rates. Changes in prevailing interest rates or U.S. monetary policies that affect interest rates could adversely affect our business, financial condition, and results of operations.</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Interest rate fluctuations have a significant effect on our results of operations and cash flows. Our financial performance is directly affected by changes in prevailing interest rates, which may subject our financial performance to substantial volatility. We are particularly affected by the policies of the U.S. Federal Reserve, which influence interest rates and impact the size of the loan production market. In 2021, the U.S. Federal Reserve ended its quantitative easing program and started its balance sheet reduction plan. The U.S. Federal Reserve’s balance sheet consists of U.S. Treasury securities and mortgage-backed securities issued by Fannie Mae, Freddie Mac, and Ginnie Mae. Recently, the U.S. Federal Reserve has increased significantly its primary policy rate, which has and may continue to result in increased interest rates in the future. Since HELOC origination volumes tend to increase in rising interest rate environments and decrease in decreasing rate environments, we are exposed to cyclical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changes as a result of shifts in interest rates. Fluctuations in interest rates significantly impact every aspect of our operations:</w:t>
      </w:r>
    </w:p>
    <w:p>
      <w:pPr>
        <w:spacing w:after="0" w:line="171" w:lineRule="exact"/>
        <w:rPr>
          <w:sz w:val="20"/>
          <w:szCs w:val="20"/>
          <w:color w:val="auto"/>
        </w:rPr>
      </w:pPr>
    </w:p>
    <w:p>
      <w:pPr>
        <w:jc w:val="both"/>
        <w:ind w:left="660" w:hanging="328"/>
        <w:spacing w:after="0" w:line="255"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Increases in interest rates beginning in April 2021 led to a sizable reduction of the refinance market as fewer customers are incentivized to refinance their loans, which has had a positive effect on revenues from our HELOCs, as this product has become more attractive to customers. While our borrowing costs have also risen as benchmark rates increased, this increase in costs has had a minimal effect on our business given we increase rates on our HELOCs as rates rise. In general, we benchmark our HELOC rates to spreads relative to alternative benchmarks in order to minimize the effect of interest rate moves, and we have been successful in passing those changes onto customers without affecting volume. We expect our borrowing costs to increase to the extent interest rates increase; at the same time, we expect our borrowing costs to come down over time relative to benchmark rates as our product matures and our financing partners become more comfortable with our HELOCs. If interest rates were to fall significantly from current levels, we would expect a compression in the market for HELOCs.</w:t>
      </w:r>
    </w:p>
    <w:p>
      <w:pPr>
        <w:spacing w:after="0" w:line="12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interest rates associated with our digital assets-secured personal loans are fixed based on initial loan-to-value ratios, but fluctuations in market interest rates can influence borrower demand and the attractiveness of these loans.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market value of a loan held for sale generally declines as interest rates rise. Changes in interest rates between origination and sale of the loan can expose us to loan losses.</w:t>
      </w:r>
    </w:p>
    <w:p>
      <w:pPr>
        <w:spacing w:after="0" w:line="98"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interest rates are also a key driver of the revenue we receive from the value of servicing rights. Historically, the value of servicing rights has increased when interest rates rise as higher interest rates lead to decreased prepayment rates, and has decreased when interest rates decline as lower interest rates lead to increased prepayment rates. As a result, decreases in interest rates could adversely affect our business, financial condition, and results of operations.</w:t>
      </w:r>
    </w:p>
    <w:p>
      <w:pPr>
        <w:spacing w:after="0" w:line="122"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interest rates also lead to higher payment obligations by our borrowers to us and to their creditors under mortgage, credit card, and other consumer and merchant loans, which might reduce our borrowers’ ability to satisfy their obligations to us, including failing to pay for securities purchased, meet minimum credit card payments, deliver securities sold, or meet margin calls, and therefore lead to increased delinquencies, charge-offs, and allowances for loan and interest receivables, which could have an adverse effect on our net income. Fluctuations in interest rates could adversely impact our borrowers’ general spending levels and ability and willingness to invest and spend through our platform.</w:t>
      </w:r>
    </w:p>
    <w:p>
      <w:pPr>
        <w:spacing w:after="0" w:line="130"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could be adversely affected by the financial markets, digital asset markets, fiscal, monetary, and regulatory policies, and economic conditions generally.</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business, financial condition, and results of operations are directly affected by elements beyond our control, including general economic, political, social and health conditions in the United States and in countries abroad. These elements can arise suddenly, and the full impact can remain unknown or result in adverse effects, including, but not limited to, extreme volatility in credit, equity, foreign currency and digital asset markets, changes to buying patterns of our customers and prospective customers or reductions in the credit quality of our customers.</w:t>
      </w:r>
    </w:p>
    <w:p>
      <w:pPr>
        <w:spacing w:after="0" w:line="1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particular, markets in the United States or abroad have been and may in the future be affected by the level and volatility of interest rates, availability and market conditions of financing, recessionary pressures, inflation, supply chain disruptions, consumer spending, employment levels, labor shortages, federal government shutdowns, developments related to the U.S. federal debt ceiling, energy prices, home prices, commercial property values, bankruptcies, a default by a significant market participant or class of counterparties, market volatility, liquidity of the global financial markets, the growth of global trade and commerce, exchange rates, trade policies, the availability and cost of capital and credit, disruption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communication, transportation, or energy infrastructure, and investor sentiment and confidence. Additionally, global markets have been and may in the future be adversely affected by the current or anticipated impact of climate change, extreme weather events or natural disasters, the emergence or continuation of widespread health emergencies or pandemics, cyberattacks or campaigns, military conflict, terrorism, or other geopolitical events which may affect our results of operations. For example, although we do not have operations in Ukraine, Russia, Israel, or Iran, the ongoing wars in Ukraine and Israel have led and could in the future lead to macroeconomic effects, including volatility in commodity prices and the supply of energy resources, instability in financial markets, supply chain interruptions, political and social instability, as well as an increase in cyberattacks and espionage. Also, any sudden or prolonged market downturn in the United States or abroad, as a result of the above factors or otherwise, could adversely affect our business, financial condition, and results of operations, including our capital and liquidity levels.</w:t>
      </w:r>
    </w:p>
    <w:p>
      <w:pPr>
        <w:spacing w:after="0" w:line="12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Significant downturns in the securities markets or in general economic and political conditions may also impair customers’ ability to refinance or sell their residential properties, which may contribute to higher delinquency and default rates. Customers seeking to avoid increased monthly payments by refinancing may no longer be able to find available replacement loans if prevailing underwriting standards are more stringent. Despite recent home price appreciation in certain markets, home price depreciation experienced to date, and any further price depreciation, may also leave customers with insufficient equity in their homes to permit them to refinance. These events could cause customers to default on their mortgage loans and other debts, including HELOCs and other loans we offer. In addition, such significant downturns may cause funding and liquidity concerns for our current and prospective partners, reducing their adoption and use of our Partner-branded products. Conversely, significant upturns in the securities markets or in general economic and political conditions may cause individuals to be less proactive in seeking ways to improve the returns on their trading or investment decisions and, thus, decrease the demand for our products and services. Any of these changes could cause our future performance to be uncertain or unpredictable, and could adversely affect our business, financial condition, and results of operations. In addition, a prolonged weakness in the U.S. equity markets or a general extended economic downturn could cause our customers or partners to incur losses, which in turn could cause our brand and reputation to suffer. If our reputation is harmed, the willingness of our existing customers or partners and potential new customers or partners to do business with us could be negatively impacted, which would adversely affect our business, financial condition, and results of operations.</w:t>
      </w:r>
    </w:p>
    <w:p>
      <w:pPr>
        <w:spacing w:after="0" w:line="1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Evolving laws, regulatory policies, and political priorities at the federal and state levels, both domestically and internationally, present ongoing risks to economic activity, our customers and partners, our counterparties and our earnings and operations. Evolving areas include, but are not limited to, financial and digital asset regulation, taxation, international trade, fiscal policy, climate change, health care, and data privacy. For example, changes, or proposed changes, to certain U.S. trade and international investment policies, particularly with important trading partners (including China and the European Union) have in recent years negatively impacted financial markets and could have negative implications in the future. Geopolitical instability, including actions taken by other countries, particularly China and Russia, to restrict the activities of businesses, or engage in acts of aggression, could also negatively affect financial markets. An escalation of these or other tensions could lead to further measures that adversely affect financial markets, disrupt world trade and commerce, and lead to trade retaliation, including through the use of duties and tariffs, foreign exchange measures or the large-scale sale of U.S. Treasury securities.</w:t>
      </w:r>
    </w:p>
    <w:p>
      <w:pPr>
        <w:spacing w:after="0" w:line="12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Any of these developments could adversely affect our business, financial condition, and results of operations, as well as our customers and partners, the value of our loan portfolios, our level of charge-offs and provision for credit losses, our capital levels, and our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Figure Exchange’s results of operations have and will fluctuate, including due to the highly volatile nature of digital assets.</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Figure Exchange’s results of operations are dependent on digital assets and the broader digital asset economy. Due to the highly volatile nature of the digital asset economy and the prices of digital assets, which have experienced and continue to experience significant volatility, our results of operations could fluctuate significantly from quarter to quarter in accordance with market sentiments and movements in the broader digital asset economy. Our results of operations may fluctuate as a result of a variety of factors, many of which are unpredictable and in certain instances are outside of our control, including:</w:t>
      </w:r>
    </w:p>
    <w:p>
      <w:pPr>
        <w:spacing w:after="0" w:line="125" w:lineRule="exact"/>
        <w:rPr>
          <w:sz w:val="20"/>
          <w:szCs w:val="20"/>
          <w:color w:val="auto"/>
        </w:rPr>
      </w:pPr>
    </w:p>
    <w:p>
      <w:pPr>
        <w:ind w:left="66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dependence on offerings that are dependent on digital asset trading activity, including trading volume and the prevailing trading prices for digital assets, whose trading prices and volume can be highly volatile;</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attract, maintain, and grow our customer base and engage our customers;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or actions by U.S. or foreign governments or regulators, including fines, orders, or consent decrees;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changes or scrutiny that impact our ability to offer certain products or services;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regulatory certainty, which could lead to greater competition from traditional financial services firms and other competitors with broader access to financial resources;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continue to diversify and grow our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pricing for or temporary suspensions of our products and services;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investments we make in the development of products and services as well as technology offered to our developers, international expansion, and sales and marketing;</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adding digital assets to, or removing digital assets from,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establish and maintain partnerships, collaborations, joint ventures, or strategic alliances with third parties;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conditions of, and overall sentiment towards, the digital asset economy;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macroeconomic conditions, including interest rates, inflation and instability in the global banking system;</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legal proceedings or regulatory enforcement actions, judgments, settlements, or other legal proceeding and enforcement-related costs;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development and introduction of new products and services by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 incurred to grow and expand our operations and to remain competitive;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system failure, outages or interruptions, including with respect to Figure Exchange and third-party digital asset networks;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lack of control over decentralized or third-party blockchains and networks that may experience downtime, cyberattacks, critical failures, errors, bugs, corrupted files, data losses, or other similar software failures, outages, breaches, and losses;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real or perceived improper unauthorized use of, disclosure of, or access to confidential, proprietary, personal, or sensitive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39"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breaches of security or privacy;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attract and retain talent.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these factors, it is difficult for us to forecast growth trends accurately and our business and future prospects are difficult to evaluate, particularly in the short term. In view of the rapidly evolving nature of our business and the digital asset economy, period-to-period comparisons of our results of operations may not be meaningful, and you should not rely upon them as an indication of future performance. Quarterly and annual expenses reflected in our financial statements may be significantly different from historical or projected rates. Our results of operations in one or more future quarters may fall below the expectations of securities analysts and investors.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financing and selling strategy exposes us to interest rate volatility risk.</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Borrowings under our warehouse credit facilities are at variable rates of interest, which exposes us to interest rate risk. Interest rates may fluctuate significantly during the period between loan origination and the securitization or sale of such loans, which can increase or decrease the spread between the rate at which we originated loans and the current market price for such loans. For the three months ended March 31, 2025, the weighted average time between the date of origination to the date of sale on our loan originations was approximately 24 business days. The weighted average number of days from origination to securitization was approximately 53 business days for the same period. Volatile interest rate environments can lead to volatility in our results of operations. As interest rates increase, we may need to sell our loans at a loss, and our debt service obligations on certain of our variable-rate indebtedness will also increase, which could adversely affect our business, financial condition, and results of operations.</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have implemented and maintain an interest rate hedging program designed to reduce our exposure to changes in prevailing interest rates. However, there can be no assurance that the program will be successful in eliminating all or some interest rate risks described above. If we fail to effectively manage this risk amidst competitive pressures and changing economic conditions, our business, financial condition, and results of operations could be adversely affected.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and Data Risks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Technology disruptions or failures in, and cyberattacks or other breaches or incidents relating to, our operational, security or fraud-detection systems or infrastructure, or those of third parties with whom we do business, could disrupt our business, cause legal or reputational harm, and adversely affect our business, financial condition, and results of operations.</w:t>
      </w:r>
    </w:p>
    <w:p>
      <w:pPr>
        <w:spacing w:after="0" w:line="104"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We are dependent on the secure, efficient, and uninterrupted operation of our technology infrastructure, including computer systems, related software applications, data centers, and Provenance Blockchain, as well as those of certain third parties.</w:t>
      </w:r>
    </w:p>
    <w:p>
      <w:pPr>
        <w:spacing w:after="0" w:line="9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websites and computer/telecommunication networks must accommodate a high volume of traffic and deliver frequently updated information, the accuracy and timeliness of which is critical to our business. Our technology must provide a loan application experience and product offerings that equal or exceed the experience provided by our competitors. We have in the past and may in the future experience service disruptions and failures caused by system, network or software failures, fire, power loss, telecommunications failures, including those of internet service providers, team member misconduct or other malfeasance, human error, denial of service or information, security breaches or incidents, cyberattacks, including computer hackers, ransomware, computer viruses and disabling devices, malicious or destructive code, acts of terrorism or war, physical or electronic break-ins, or other events, disruptions, or intrusions, as well as natural disasters, health pandemics, and other similar events.</w:t>
      </w:r>
    </w:p>
    <w:p>
      <w:pPr>
        <w:spacing w:after="0" w:line="1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particular, cybersecurity risks for lenders have significantly increased in recent years. We, our clients, loan applicants, third-party service providers, regulators, and other third parties have been subject to, and are likely to continue to be the target of, cyberattacks and other means of perpetuating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breaches and incidents that threaten the confidentiality, integrity and availability of our IT systems and Confidential Information (as defined below). These cyberattacks and other means could include computer viruses, malicious or destructive code, phishing and other social engineering attacks, credential stuffing and other brute force attacks, ransomware, denial of service or information, and improper access by team members or third-party vendors or other security breaches that could result in the loss, unavailability, destruction or unauthorized release, access to, gathering, monitoring, use, or other processing of our or our customers’ data, our intellectual property, or confidential, proprietary, or sensitive business information (collectively, “Confidential Information”), or otherwise materially disrupt our or our clients’ and loan applicants’ or other third parties’ network or systems access or use, or other business operations. We and our third-party service providers have experienced certain security breaches and incidents, and have previously experienced service disruptions, and we cannot be sure that we will not experience interruptions or delays in our service, or cyberattacks or other security breaches or incidents, in the future. Although we have developed systems and processes that are designed to protect our data and user data, to prevent data loss, and to prevent or detect security breaches and incidents, we cannot assure you that such measures will be successful, that we will be able to anticipate or detect all cyberattacks or compromises, breaches, or incidents, that we will be able to react to cyberattacks or compromises, breaches, or incidents in a timely manner, or that our remediation efforts will be successful. While we generally perform cybersecurity due diligence on our key third-party service providers, we do not control our service providers and our ability to monitor their cybersecurity practices is limited. We face evolving cybersecurity risks that threaten the confidentiality, integrity, and availability of our IT systems and Confidential Information, including from diverse threat actors, such as state-sponsored organizations, opportunistic hackers and hacktivists, as well as through diverse attack vectors, such as social engineering/phishing, malware (including ransomware), malfeasance by insiders, human or technological error, and as a result of bugs, misconfigurations or exploited vulnerabilities in software or hardware. Cyberattacks are expected to evolve and accelerate on a global basis in frequency and magnitude as threat actors are becoming increasingly sophisticated in using techniques and tools—including artificial intelligence—that circumvent security controls, evade detection and remove forensic evidence. As a result, we may be unable to detect, investigate, remediate or recover from future attacks or incidents, or to avoid a material adverse impact to our systems, confidential information or business. Additionally, geopolitical tensions and events such as the wars in Ukraine and Israel may increase the risk of cyberattacks. Any failure to prevent or mitigate security breaches and incidents and unauthorized access to or disclosure or other processing of data, including personal information, content, or payment information from our customers, could result in the loss, destruction, unavailability, modification, disclosure, or other unauthorized use or other processing of such data. There can also be no assurance that our cybersecurity risk management program and processes, including our policies, controls or procedures, will be fully implemented, complied with or effective in protecting our systems and confidential information. Furthermore, given the nature of complex systems, software and services like ours, and the scanning tools that we deploy across our networks and products, we regularly identify and track security vulnerabilities. We are unable to comprehensively apply patches or confirm that measures are in place to mitigate all such vulnerabilities, or that patches will be applied before vulnerabilities are exploited by a threat actor. We may incur significant costs in connection with remediation efforts and other actions in connection with actual or suspected compromises, breaches, or incidents, including the costs of notifying applicable regulators and affected users, offering credit monitoring services, or upgrading or replacing our cybersecurity systems, frameworks, and protocols. We may also incur negative publicity or significant legal and financial exposure, including regulatory investigations and other proceedings, private claims, demands, litigation, and other proceedings, higher transaction fees, and damages, fines, penalties, and other liabilities as a result of any actual or perceived cyberattack, compromise or breach of, or incident impacting, our systems or cybersecurity, or the systems and cybersecurity of our third-party providers. Any of the foregoing could adversely affect our business, financial condition, and results of operations.</w:t>
      </w:r>
    </w:p>
    <w:p>
      <w:pPr>
        <w:spacing w:after="0" w:line="14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Although we may have contractual protections with our third-party service providers that process personal information or other confidential information on our behalf, these provisions may not be sufficient to adequately protect us from any liabilities and losses relating to any cyberattack, compromise,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security breach or incident these service providers may suffer, and we may be unable to enforce any such contractual protections. Further, with respect to any security breach suffered by a third-party service provider, we may not receive timely notice of or sufficient information about the breach or be able to exert any meaningful control or influence over how and when the breach is addressed.</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While our insurance policies include liability coverage for certain of these matters, subject to retention amounts that could be substantial, if we experience a significant security breach or incident, we could be subject to liability or other damages that exceed our insurance coverage, and we cannot be certain that such insurance policies will continue to be available to us on economically reasonable and acceptable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business, financial condition, and results of operations.</w:t>
      </w:r>
    </w:p>
    <w:p>
      <w:pPr>
        <w:spacing w:after="0" w:line="12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may also incur significant costs for using alternative equipment or taking other actions in preparation for, or in reaction to, events that damage, interrupt, or otherwise disrupt the third-party resources or services we use. Any prolonged service degradation or disruption affecting our platform could damage our reputation with current and potential customers, expose us to liability, cause us to lose customers, or otherwise adversely affect our business, financial condition, and results of operations.</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platform is accessed by many customers and prospective customers, often at the same time. As our customer base and range of product offerings continue to expand, we may not be able to scale our technology to accommodate the increased capacity requirements, which may result in interruptions or delays in service. In addition, the failure of third-party service providers to meet our capacity requirements could result in interruptions or delays in access to our platform or impede our ability to grow our business and scale our operations. If our third-party service agreements are terminated, or there is a lapse of service, interruption of internet service provider connectivity, or damage to data centers, we could experience interruptions in access to our platform as well as delays and additional expense in arranging new facilities and services. Any service disruption affecting our platform could damage our reputation with current and potential customers, expose us to liability, cause us to lose customers, or otherwise adversely affect our business, financial condition, and results of operations.</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Additionally, the technology and other controls and processes we have created to help us identify misrepresented information in our loan production operations were designed to obtain reasonable, not absolute, assurance that such information is identified and addressed appropriately. Accordingly, such controls may not have detected, and may fail in the future to detect, all misrepresented information in our operations.</w:t>
      </w:r>
    </w:p>
    <w:p>
      <w:pPr>
        <w:spacing w:after="0" w:line="12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If our operations are disrupted or otherwise negatively affected by a technology disruption or failure, this could result in customer dissatisfaction and damage to our reputation and brand, and adversely affect our business, financial condition, and results of operations. We do not carry business interruption insurance sufficient to compensate us for all losses that may result from interruptions in our service as a result of systems disruptions, failures, or similar events.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collection, processing, use, storage, sharing, disclosure, and transmission of personal information could give rise to liabilities as a result of federal, state and international laws and regulations, as well as our failure to adhere to the privacy and data security practices that we articulate to our customers.</w:t>
      </w:r>
    </w:p>
    <w:p>
      <w:pPr>
        <w:spacing w:after="0" w:line="10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collect, store, use, share, disclose, transmit, and otherwise process a large volume of personal and other non-public data, including from and about current, past, and prospective customers, as well as our employees and business contacts. We also depend on a number of third-party vendors in relation to the operation of our business, a number of which process such personal information and other non-public data on our behalf. There are federal, state, and foreign laws, rules and regulations regarding privacy,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data security and the collection, use, storage, protection, sharing, disclosure, transmission, and other processing of personal information and non-public data, many of which currently and may in the future apply to our business. These requirements, and their application, interpretation and amendment are constantly evolving. It is also possible that new laws, regulations and other requirements, or amendments to or changes in interpretations of existing laws, regulations and other requirements, may require us to incur significant costs, implement new processes, or change our handling of information and business operations, which could ultimately hinder our ability to grow our business by extracting value from our data assets. Additionally, many states continue to enact legislation on matters of data privacy, information security, cybersecurity, security breaches, and security breach notification requirements.</w:t>
      </w:r>
    </w:p>
    <w:p>
      <w:pPr>
        <w:spacing w:after="0" w:line="1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example, the California Consumer Privacy Act, as amended by the California Privacy Rights Act (as amended, the “CCPA”), grants comprehensive rights to consumers with respect to data privacy in California. The CCPA, among other things, entitles California residents to several rights, including the right to know how their personal information is being collected, used, disclosed, sold or shared, to access or request the deletion or correction of their personal information, to opt out of the sharing or sale of their personal information, and to limit the use of their sensitive personal information. The CCPA also established the California Privacy Protection Agency to oversee and enforce these requirements. Most of the personal information collected, processed, and disclosed by us is subject to the Gramm-Leach-Bliley Act (the “GLBA”) (and certain state analogs in California, Vermont, and North Dakota) and thus is exempt from the CCPA, except for consumers’ private right of action in the event of a data breach. However, personal information that falls outside the purview of the GLBA, such as business-to-business data, employee information, and web analytics, is subject to the CCPA and its regulations.</w:t>
      </w:r>
    </w:p>
    <w:p>
      <w:pPr>
        <w:spacing w:after="0" w:line="1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CCPA has prompted several proposals for new federal and state-level privacy legislation. Numerous states have enacted privacy laws similar to but distinct from the CCPA that have gone or are going into effect, which creates a patchwork of overlapping but different state laws. For example, Virginia, Colorado, Utah, and Connecticut each passed laws similar to but different from the CCPA that took effect in 2023; Florida, Montana, Oregon, and Texas enacted similar laws that went into effect in 2024; Tennessee, Delaware, New Jersey, Iowa, Maryland, Minnesota, Nebraska and New Hampshire have enacted similar laws that have gone or are anticipated to go into effect in 2025; and Indiana, Kentucky, and Rhode Island have enacted similar laws that are anticipated to go into effect in 2026. In addition, all 50 states have laws that require the provision of notification for security breaches of personal information to affected individuals, state officers or others. We cannot predict the full impact of the CCPA and other evolving legislation relating to privacy or cybersecurity on our business, financial condition, and results of operations, but such impact is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Moreover, we are subject to certain U.S. State laws regarding the processing of biometric identifiers, including the Illinois Biometric Information Privacy Act (“BIPA”), which applies to the collection and use of “biometric identifiers” and “biometric information” which include finger and face prints. A business required to comply with BIPA is not permitted to sell, lease, trade or otherwise profit from biometric identifiers or biometric information it collects, and is also under obligations to have a written policy with respect to the retention and destruction of all biometric identifiers and biometric information; ensure that it informs the subject of the collection and the purpose of the collection and obtains consent for such collection; and obtain consent for any disclosure of biometric identifiers or biometric information. Individuals are afforded a private right of action under BIPA and may recover statutory damages and reasonable attorneys’ fees and costs. Several class action lawsuits have been brought under BIPA, as the statute is broad and still being interpreted by the courts.</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the United States, at the federal level, we are subject to various rules and regulations with respect to privacy, data protection and cybersecurity, including the GLBA, the FCRA (as defined below), the GLBA Safeguards Rule, and those promulgated under the authority of the Federal Trade Commission (the “FTC”), which regulates unfair or deceptive acts or practices, and the CFPB, which enforces federal consumer financial laws. The GLBA, together with related regulations issued by the CFPB, restrict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collection, storage, use, disclosure, and other processing of certain personal information by financial services providers. Such regulations also require lenders and other financial institutions to provide notice to individuals of privacy practices and provide individuals with certain rights to prevent the use and disclosure of certain non-public or otherwise legally protected information. Among other obligations, the FCRA, along with its implementing regulations, limit the use and disclosure of consumer report information, which is broadly defined. CFPB guidance also imposes requirements for the safeguarding and proper destruction of personal information through the issuance of data security expectations. Pursuant to its rulemaking authority under the GLBA, in 2023, the FTC updated its Standards for Safeguarding Customer Information, setting new, minimum standards for certain financial institutions’ information security programs. These rules impose prescriptive requirements on lenders and other financial institutions relating to such programs, including in relation to accountability and oversight, performing risk assessments, encryption standards, and access controls. Additionally, in October 2024, the CFPB finalized a new rule relating to the use and storage of data by lenders and other financial service providers, including regarding data portability, which became effective in January 2025, but which may be subject to reconsideration by the CFPB under the current administration. The U.S. Congress also has considered, and may in the future consider, various proposals for privacy, data protection, and cybersecurity legislation. Additionally, in July 2023, the SEC adopted new cybersecurity disclosure rules for public companies that require the disclosure of certain information about cybersecurity risk management (including the corporate board’s role in overseeing cybersecurity risks, management’s role and expertise in assessing and managing cybersecurity risks, and processes for assessing, identifying and managing cybersecurity risks) in annual reports. These cybersecurity disclosure rules also require the disclosure of material cybersecurity incidents in a Current Report on Form 8-K, generally within four days of determining an incident is material. We will be subject to such annual report disclosure requirements starting with our Annual Report on Form 10-K for the fiscal year ended December 31, 2025, and we will be subject to such Form 8-K after the consummation of this offering.</w:t>
      </w:r>
    </w:p>
    <w:p>
      <w:pPr>
        <w:spacing w:after="0" w:line="13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Additionally, we are considered a “user” of consumer reports provided by consumer reporting agencies (“CRAs”) under the Fair Credit Reporting Act, as amended by the Fair and Accurate Credit Transactions Act (as amended, the “FCRA”). The FCRA regulates the use and sharing of consumer information collected by CRAs that bear on a consumer's credit worthiness, credit standing, credit capacity, character, general reputation, personal characteristics, or mode of living which is used or expected to be used or collected in whole or in part for the purpose of serving as a factor in establishing the consumer's eligibility for certain benefits (e.g., credit, employment, etc.), and imposes specific obligations on CRAs, “furnishers” of information to CRAs, and “users” of consumer reports. Such obligations may include restricting the sharing of information contained in a consumer report, providing consumers with an adverse action notice when such reports (or information therein) are used to make an adverse decision or take an adverse action against a consumer, and, in the context of completing employee background checks, providing a notice containing certain disclosures to the consumer and obtaining their consent. As a “user,” we must have a permissible purpose to access a consumer report, such as for credit evaluation or employment background checks. The FCRA also grants consumers specific rights, including the right to know what is in their file, request a credit score (linked to certain types of consumer reports), dispute incomplete or inaccurate information, limit prescreened offers of credit and insurance, place a fraud alert, and obtain a security freeze. Noncompliance with the FCRA can lead to civil and criminal penalties, and the FCRA permits consumers to bring a private right of action for certain violations of the FCRA.</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Laws, regulations, and standards covering marketing, advertising, and other activities conducted by telephone, email, mobile devices, and the internet may be or become applicable to our business, such as the Federal Communications Act, the Federal Wiretap Act, the Electronic Communications Privacy Act, the Telephone Consumer Protection Act (the “TCPA”), the Controlling the Assault of Non-Solicited Pornography and Marketing Act of 2003 (the “CAN-SPAM Act”), and similar state consumer protection and communication privacy laws, such as California’s Invasion of Privacy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send short message service, or SMS, text messages to customers. The actual or perceived improper sending of text messages may subject us to potential risks, including liabilities or claims relating to consumer protection laws such as the TCPA, which imposes significant restrictions on the ability to make telephone calls or send text messages to mobile telephone numbers without the prior consent of the person being contacted. Federal or state regulatory authorities or private litigants may claim that the notices and disclosures we provide, form of consents we obtain, or our SMS texting practices are not adequate or violate applicable law. This may in the future result in civil claims against us, which could be costly to litigate, whether or not they have merit, and could expose us to substantial statutory damages, costly settlements, or reputational risk.</w:t>
      </w:r>
    </w:p>
    <w:p>
      <w:pPr>
        <w:spacing w:after="0" w:line="12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also send marketing messages via email and are subject to the CAN-SPAM Act. The CAN-SPAM Act imposes certain obligations regarding the content of emails and providing opt-outs (with the corresponding requirement to honor such opt-outs promptly). While we strive to ensure that all of our marketing communications comply with the requirements set forth in the CAN-SPAM Act, any violations could result in the FTC and/or state regulators/attorneys general seeking civil penalties against us.</w:t>
      </w:r>
    </w:p>
    <w:p>
      <w:pPr>
        <w:spacing w:after="0" w:line="12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Outside of the United States, certain foreign jurisdictions, including the European Union, have adopted onerous laws and regulations relating to data protection and cybersecurity, including the General Data Protection Regulation (”GDPR”), which may apply to our collection, use, transfer and other processing of personal information and impose significant security related obligations. The GDPR is wide-ranging in scope and imposes numerous obligations on companies that process personal data regarding individuals who are located in the European Economic Area (“EEA”) or conduct certain other processing activities connected to the EEA, including requiring that data controllers and processors maintain a record of their data processing and policies and requiring that certain measures (including contractual requirements) are put in place when engaging third-party processors. The GDPR also grants certain individuals various rights in respect of their personal data, including rights of access, erasure, portability, rectification, restriction, and objection. In addition, following the withdrawal of the United Kingdom from the European Union, the U.K. Data Protection Act 2018 (“UK GDPR”) applies to the processing of personal data that takes place in the United Kingdom and includes broadly parallel obligations to those set forth in the GDPR. Any violation of data or security laws, including the GDPR and UK GDPR, or other legal obligations could have an adverse effect on our business and result in substantial fines and penalties. Actual or perceived contraventions may also lead to civil claims including representative actions and other class action type litigation, potentially amounting to significant compensation or damages liabilities, as well as associated costs and reputational harm.</w:t>
      </w:r>
    </w:p>
    <w:p>
      <w:pPr>
        <w:spacing w:after="0" w:line="1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may also be subject to complex and evolving requirements with respect to cross-border transfers of personal data out of foreign jurisdictions. The GDPR and UK GDPR place restrictions on the transfer of personal data from the European Union and the United Kingdom, as applicable, to certain third countries (including the United States), and the mechanisms to comply with such obligations are also in considerable flux and may lead to greater operational burdens, costs and compliance risks. Certain legal developments in Europe have created complexity and uncertainty regarding transfers of personal data from the EEA to the United States, which will affect us if we begin to transfer personal data from the EEA to other jurisdictions. In July 2023, the European Commission adopted an adequacy decision in relation to the new EU-U.S. Data Privacy Framework (“EU-U.S. DPF”), rendering the EU-U.S. DPF effective as a GDPR transfer mechanism for personal data transferred from the EEA to the United States by participating United States entities. However, the EU-U.S. DPF adequacy decisions do not foreclose future legal challenges and the ongoing legal uncertainty with respect to international data transfers may increase our costs and our ability to efficiently process personal data from the EEA. Other data transfer mechanisms such as the standard contractual clauses approved by the European Commission have faced challenges in European courts, may require additional risk analysis and supplemental measures to be used, and may be challenged, suspended or invalidated. Additionally, in October 2023, a UK-U.S. Data Bridge came into force to facilitate transfers of personal data from the United Kingdom to the United States; however, this too may in the future be challenged, suspended or invalidated. Loss of our ability to lawfully transfer personal data out of the EEA and United Kingdom to the United States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jurisdictions may require us to increase our data processing capabilities in the EEA and/or United Kingdom at significant expense. If we are otherwise unable to transfer personal data between and among countries and regions in which we operate, it could affect the manner in which we perform our operations or provide our services, the geographical location or segregation of our relevant systems and operations and adversely affect our financial results. These international laws, rules and regulations may apply not only to us, but also to our partners, vendors or other third-party service providers that store or otherwise process personal data on our behalf, such as information technology vendors, and any of the foregoing limitations could impact our ability to work with such partners, vendors or other third-party service providers in certain jurisdictions. The regulatory framework for privacy and data protection, both in the United States and worldwide, is rapidly evolving and, as a result, implementation standards and enforcement practices are likely to continue to evolve for the foreseeable future. We anticipate additional states and foreign jurisdictions continuing to propose, and in certain cases, to enact, laws relating to privacy, information security, and cybersecurity. The U.S. federal government also has proposed federal privacy legislation. Such proposed legislation or U.S. federal privacy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we may be bound by contractual requirements applicable to our collection, use, storage, sharing, disclosure, transmission, and other processing of various types of data, including personal information, and may be bound or asserted to be bound by, or voluntarily comply with, self-regulatory or other industry standards relating to these matters. Furthermore, we make and have made statements, including in our online privacy policy and website, regarding our privacy, information security, and data security practices, which must accurately describe our privacy and cybersecurity practices and procedures.</w:t>
      </w:r>
    </w:p>
    <w:p>
      <w:pPr>
        <w:spacing w:after="0" w:line="1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failure or perceived failure by us or any third parties we engage or do business with to comply with laws, rules, regulations, industry standards, contractual requirements, our public or other statements, or other actual or asserted obligations to which we or such third parties are or may become subject, relating to privacy, information security and cybersecurity, may result in significant liability, adverse publicity, inability to process data and investigations, proceedings and other legal actions against us by governmental entities, and private claims, demands, and litigation. Any such action or other matter could be expensive to defend, may require the expenditure of substantial legal and other costs and substantial time and resources, may result in fines, penalties, or other liabilities, and likely would damage our reputation and adversely affect our business, financial condition, and results of operations. If either we, or the third-party service providers with which we share customer data or that otherwise process personal information on our behalf, are unable to address privacy concerns, even if unfounded, or to comply with applicable laws and regulations, such conditions could result in additional costs and liability, harm our reputation, and adversely affect our business, financial condition, and results of operations.</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 in view of new or modified laws or regulations, as well as industry standards, contractual obligations or other obligations, or any changes in their interpretation, we may find it necessary or desirable to fundamentally change our business activities and practices or to expend significant resources to modify our services, and otherwise adapt to these changes. We may be unable to make such changes and modifications in a commercially reasonable manner or at all, and our ability to develop new features could be limited. Privacy and cybersecurity concerns, whether valid or invalid, may inhibit the use and growth of our platform.</w:t>
      </w:r>
    </w:p>
    <w:p>
      <w:pPr>
        <w:spacing w:after="0" w:line="1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Any significant system interruption or delays could result in a potential loss of customers and adversely affect us and our ability to provide services, which could adversely affect our business, financial condition, and results of operations.</w:t>
      </w:r>
    </w:p>
    <w:p>
      <w:pPr>
        <w:spacing w:after="0" w:line="8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rely on affiliate and third-party computer systems, broadband, and other communications systems and service providers in connection with the provision of services generally. In addition, we also rely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third-party service providers, including credit bureaus, to obtain the data used by our platform to verify the creditworthiness of potential customers. Any failures, interruptions, outages, or delays in our or our affiliates’ systems and infrastructures, or the systems and infrastructures of the third-party service providers we use, or deterioration in the performance of these systems and infrastructures, including as a result of inadequate or failed technology or processes, unplanned or unsuccessful updates to technology, sudden increases in transaction volume, human errors, fraud or other misconduct, energy or similar infrastructure outages, disruptions in communications networks or systems, natural disasters, catastrophic events, pandemics, acts of terrorism, political or social unrest, external or internal security breaches, acts of vandalism, cyberattacks such as computer viruses and malware, misplaced or lost data or breakdowns in business continuity plans, could impair our ability to provide services and process transactions. We may in the future experience system interruptions caused by outages or other deterioration in service that make some or all systems or data unavailable or prevent us from efficiently providing services.</w:t>
      </w:r>
    </w:p>
    <w:p>
      <w:pPr>
        <w:spacing w:after="0" w:line="13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outsource our cloud infrastructure to GCP, which hosts our products and software, and therefore are vulnerable to service interruptions at GCP, which could impact the ability of customers to access our services at any time, without interruption or degradation of performance. We do not have control over the operations of the facilities of GCP that we use. GCP may terminate its service agreements with us at its convenience at any time. In the event that the GCP service agreements are terminated, or there is a lapse of service, interruption of internet service provider connectivity or damage to such facilities, we could experience interruptions in access or lose access to our facilities and services, as well as delays and additional expense in arranging new facilities and services. Further, to the extent that the systems or infrastructure of third-party service providers are involved, we may have little or no knowledge, control or influence over how and when failures or delays are addressed, if at all. We may also incur significant costs for using an alternative cloud infrastructure provider or taking other actions in preparation for, or in reaction to, events that damage the GCP services it uses. We primarily rely on GCP for cloud infrastructure, and any disruption of or interference with our use of GCP could adversely affect our business, financial condition, and results of operations. Additionally, if we fail to comply with our obligations under the GCP service agreements or other agreements with our third-party service providers or if we are unable to renew such agreements on reasonable terms (or at all), our operations could be disrupted, which could adversely affect our business, financial condition, and results of operations. Any negative publicity arising from these disruptions could harm our reputation and brand and adversely affect our business, financial condition, and results of operations.</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our technology suffers from errors or attacks, our business operations could be negatively affected, which may have an adverse effect on our business, financial condition, and results of operations.</w:t>
      </w:r>
    </w:p>
    <w:p>
      <w:pPr>
        <w:spacing w:after="0" w:line="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rely on software that is highly complex; and it may contain undetected errors or vulnerabilities and may not function properly. The software underlying the services offered by our platform may contain undetected errors or vulnerabilities, some of which may only be discovered after the code has been used in a production environment to deliver products and services. This technology may malfunction because of internal problems, cyberattacks or security breaches or incidents, or our inability to successfully develop the technology. Any real or perceived errors, failures, bugs, or other vulnerabilities discovered in the relevant computer code could adversely affect our business, financial condition, and results of operations.</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Any significant system interruption or delays could result in a potential loss of customers and adversely impact our ability to provide our products and services to customers. We rely on affiliate and third-party computer systems, broadband, and other communications systems and service providers in connection with the provision of services generally. Any interruptions, outages, or delays in any of these systems and infrastructure and third-party systems that we use, or deterioration in the performance of these systems and infrastructure, could impair our ability to provide services and process transactions. We may in the future experience system interruptions caused by outages that make some or all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or data unavailable or prevent us from efficiently providing services. Any of these events could adversely affect our business, financial condition, and results of operations.</w:t>
      </w:r>
    </w:p>
    <w:p>
      <w:pPr>
        <w:spacing w:after="0" w:line="101"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Our use of blockchain technology, artificial intelligence, machine learning and other similar tools could adversely affect our products and services, harm our reputation, or cause us to incur liability resulting from harm to individuals or violation of laws and regulations or contracts to which we are a party.</w:t>
      </w:r>
    </w:p>
    <w:p>
      <w:pPr>
        <w:spacing w:after="0" w:line="1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use blockchain technology, machine learning, and artificial intelligence throughout our business. For example, we use machine learning to help us with data analysis, marketing, and customer support. The use of such tools may enhance legal, operational, regulatory, technological, and related contractual risks as the technologies underlying such tools and their use cases are subject to a variety of laws and regulations, and in recent years, use of these technologies has come under increased regulatory scrutiny. These include intellectual property, privacy, data protection and cybersecurity, consumer protection, competition and equal opportunity laws, with significant uncertainty regarding many of these laws’ and regulations’ interpretation and enforcement. For example, our use of machine learning and artificial intelligence in decision-making processes, such as credit assessments, could pose risks of non-compliance with fair lending laws at both the federal and state levels. At the federal level, this includes the Equal Credit Opportunity Act (the “ECOA”) and the Fair Housing Act, which prohibit creditors and other persons from engaging in lending practices that discriminate against individuals based on certain prohibited bases. Additionally, there is an increasing movement toward states regulating artificial intelligence, which may create a patchwork of potentially conflicting compliance obligations that can be difficult to manage for companies that operate on a nationwide basis. Any failure to comply with laws such as these could result in significant legal and financial consequences.</w:t>
      </w:r>
    </w:p>
    <w:p>
      <w:pPr>
        <w:spacing w:after="0" w:line="13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 In particular, if we do not have sufficient rights to use the data or intellectual property on which our blockchain technology, machine learning, and artificial intelligence tools rely, or if such technologies are trained or reliant on inaccurate, incomplete, biased or otherwise poor quality data, we may incur liability through the violation of applicable laws or third-party privacy, intellectual property or other rights or the breach of contracts to which we are a party, or the performance of our products and services could suffer. Additionally, our reliance on machine learning and artificial intelligence tools could pose ethical concerns, which could have negative implications for our organization and could harm our reputation. Moreover, any content created by us using generative artificial intelligence tools, including software, may not be subject to copyright protection, which may adversely affect our intellectual property rights in, or ability to commercialize or use, any such content. We also may voluntarily comply with, or have it asserted that we must comply with, industry standards, codes of conduct, or other actual or asserted obligations relating to these tools and their use cases. Any failure or perceived failure by us to comply with laws, rules, regulations, industry standards, contractual requirements, or other actual or asserted obligations to which we are or may become subject, may result in significant liability, adverse publicity, inability to process data, investigations, proceedings and other legal actions against us by governmental entities, and private claims, demands, and litigation. Any such action or other matter could be expensive to defend, may require the expenditure of substantial legal and other costs and substantial time and resources, may result in fines, penalties, or other liabilities, and could damage our reputation and adversely affect our business, financial condition, and results of operations.</w:t>
      </w:r>
    </w:p>
    <w:p>
      <w:pPr>
        <w:spacing w:after="0" w:line="13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the regulatory framework for blockchain technology, machine learning technology, artificial intelligence and online platforms evolves, our business, financial condition, and results of operations may be adversely affected. The regulatory framework for blockchain technology, machine learning technology, artificial intelligence, and automated decision-making is evolving, including with respect to the financial services sector. It is possible that new laws and regulations will be adopted in the United States or applicable non-U.S. jurisdictions, or that existing laws and regulations may be interpreted in ways that would affect the operation of our platform and the way in which we use blockchain technology, artificial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intelligence, and machine learning technology. For example, the European Union has passed laws and regulations regulating digital services such as certain online platforms and marketplaces, and similarly, the European Union’s Artificial Intelligence Act, which establishes broad obligations for the development and use of AI-based technologies made available in the European Union based on their potential risks and level of impact, came into force on August 1, 2024. In addition, in the United States, the Trump administration rescinded an executive order relating to the safe and secure development of AI technologies that was previously implemented by the Biden administration. The Trump administration then issued a new executive order that, among other things, requires certain agencies to develop and submit to the president action plans to “sustain and enhance America’s global AI dominance,” and to specifically review and, if possible, rescind rulemaking taken pursuant to the rescinded Biden executive order. Thus, the Trump administration may continue to rescind other existing federal orders and/or administrative policies relating to AI technologies, or may implement new executive orders and/or other rule-making relating to AI technologies in the future. Any such changes at the federal level, together with state-level laws regulating AI technologies that entered into force or are expected to enter into force in 2025, could require us to expend significant resources to modify our products, services, or operations to ensure compliance or remain competitive. Further, the cost to comply with such laws or regulations could be significant and would increase our operating expenses, which could adversely affect our business, financial condition,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could be adversely affected if we fail to adequately maintain, protect and enforce our intellectual property and proprietary rights or face allegations that our product offerings or conduct infringes on the intellectual property rights of third parties.</w:t>
      </w:r>
    </w:p>
    <w:p>
      <w:pPr>
        <w:spacing w:after="0" w:line="1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Trademarks, trade secrets, and other intellectual property and proprietary rights are important to our success and our competitive position. We rely on, or may rely on in the future, a combination of trademark, trade secret, patent, and other intellectual property laws, as well as confidentiality procedures and contractual provisions, to establish and protect our intellectual property and proprietary rights. Such means may afford only limited protection of our intellectual property and may not prevent our competitors or other third parties from independently developing products, services, and technology similar to or duplicative of our products and services. These measures may also not prevent misappropriation, infringement, reverse engineering or other violation of intellectual property or proprietary rights owned or licensed by us, particularly in foreign countries where laws or enforcement practices may not protect our proprietary rights as fully as in the United States. In addition, current or departing employees may attempt to misappropriate trade secrets or other proprietary or confidential information in a manner that may be difficult to detect, or to prove in a court action undertaken to remedy the misappropriation. Furthermore, confidentiality procedures and contractual provisions can be difficult or costly to enforce and, even if successfully enforced, may not be entirely effective. In addition, we cannot guarantee that we have entered into confidentiality agreements or intellectual property assignment agreements with all employees, partners, independent contractors, consultants, or other third parties that have or may have had access to our trade secrets or other proprietary or confidential information, or developed intellectual property on our behalf. Additionally, such agreements may be breached or adequate remedies may not be available in the event of an unauthorized access, use or disclosure of our trade secrets, other proprietary or confidential information, or other intellectual property.</w:t>
      </w:r>
    </w:p>
    <w:p>
      <w:pPr>
        <w:spacing w:after="0" w:line="1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success depends in large part on the strength of our brands. We rely on our trademarks, service marks, domain names, and logos to protect and market our brands, to build and maintain brand loyalty and recognition, and to generate goodwill. In addition to relying on common law protections, we have registered or applied to register many of these trademarks. While we have registered our material trademarks in many of our significant markets, we have not registered all of our trademarks in all of the jurisdictions in which we currently conduct or intend to conduct business. Further, if we seek to register these trademarks, we cannot be sure that our attempts will be successful, and any applications for trademark registration could be challenged or opposed by third parties. In the event that our trademarks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are successfully challenged and we fail to register or lose the rights to use those trademarks, our ability to protect such trademarks may be diminished and we could be forced to rebrand our products and services, requiring us to devote resources to advertising and marketing new brands.</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order to protect our intellectual property rights, we may be required to spend significant resources. Monitoring for unauthorized use of our intellectual property rights is difficult and costly. Even in cases where we seek patent protection, there is no assurance that our patent application(s) will be successful, or that any resulting patents will effectively protect every significant feature of our technology. In addition, any patents issued to us may be challenged, invalidated, held unenforceable or circumvented in litigation or other proceedings, including re-examination, inter partes review, post-grant review, covered business method review, interference and derivation proceedings and equivalent proceedings in foreign jurisdictions, and such intellectual property rights may be lost or no longer provide us meaningful competitive advantages. Further, we may not be able to timely or successfully apply for a patent or otherwise secure our intellectual property. Any litigation brought to protect and enforce our intellectual property rights could be costly and time consuming, result in the diversion of time and attention of our management team, and may not be successful or could result in the impairment or loss of portions of our intellectual property. Furthermore, attempts to enforce our intellectual property rights against third parties could also provoke these third parties to assert their own intellectual property or other rights against us, or result in a holding that invalidates, or narrows the scope of, our rights, in whole or in part. Our failure to secure, maintain, protect, and/or enforce our intellectual property rights could adversely affect our business, financial condition, and results of operations.</w:t>
      </w:r>
    </w:p>
    <w:p>
      <w:pPr>
        <w:spacing w:after="0" w:line="1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success and ability to compete also depends in part on our ability to operate without infringing, misappropriating, or otherwise violating the intellectual property or proprietary rights of third parties. We may, in the future, encounter disputes from time to time concerning intellectual property rights of others, including our competitors, and we may not prevail in these disputes. Third parties may raise claims against us alleging infringement, misappropriation, or other violations of their intellectual property rights, including trademarks, copyrights, patents, or trade secrets. We may not be aware of whether our products or services, or products and services we license from third parties, infringe or will infringe existing or future patents or other intellectual property rights of others. In addition, there can be no assurance that one or more of our competitors who have developed competing technologies or our other competitors will not be granted patents for their technology and allege that we have infringed such patents. Some third-party intellectual property rights may be broad, and it may not be possible for us to conduct our operations in such a way as to avoid all alleged infringements, misappropriations, or other violations of such intellectual property rights. In addition, former employers of our current, former, or future employees or contractors may assert claims that such employees or contractors have improperly disclosed to us or misappropriated the confidential or proprietary information of these former employers. Litigation may be necessary to defend against alleged infringement or misappropriation of proprietary rights, or determine the validity and scope of proprietary rights claimed by others. Such disputes or litigation could be costly, time consuming and could result in the diversion of time and attention of our management team, and the resolution of any such disputes or litigation is difficult to predict.</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Future litigation may also involve non-practicing entities or other intellectual property owners who have no relevant product offerings or revenue and against whom our ownership of intellectual property may therefore provide little or no deterrence or protection. An assertion of an intellectual property infringement, misappropriation or other claim against us, regardless of the merit or resolution of such claim, may be costly, result in adverse judgments, result in settlement on unfavorable terms or cause us to spend significant amounts of time and attention of our management team and technical personnel to defend, even if we ultimately prevail, and we may have to pay significant monetary damages, lose significant revenues, be prohibited from using the relevant systems, processes, technologies or other intellectual property (temporarily or permanently), cease providing certain product offerings or incur significant license, royalty or technology development expense, or suffer harm to our brand, any of which could adversely affect our business, financial condition, and results of operations. In addition, although in some cases a third party may have agreed to indemnify us for such infringement, misappropriation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violation, such indemnifying party may refuse or be unable to uphold its contractual obligations, or such indemnification may not sufficiently cover the potential claims, which may be significant. In other cases, our insurance may not cover potential claims of this type adequately or at all.</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An adverse determination in any intellectual property claim could require us to pay damages (compensatory or punitive) and/or temporarily or permanently stop using our technologies, trademarks, copyrighted works and other material found to be in violation of another party’s rights and could prevent us from licensing our technologies to others unless we enter into royalty or licensing arrangements with the prevailing party or are able to redesign our product offerings and processes to avoid infringement. Any such license may not be available on reasonable terms, if at all, and there can be no assurance that we would be able to redesign our product offerings in a way that would avoid any such limitation. In addition, such claims, or resulting damages or injunctions, may result in negative publicity about us, which could adversely affect our reputation.</w:t>
      </w:r>
    </w:p>
    <w:p>
      <w:pPr>
        <w:spacing w:after="0" w:line="1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Any successful infringement or other intellectual property claim made against us or our failure to develop non-infringing technology or obtain a license to the rights to the intellectual property of others on commercially reasonable terms could adversely affect our reputation and business, financial condition, and results of operations.</w:t>
      </w:r>
    </w:p>
    <w:p>
      <w:pPr>
        <w:spacing w:after="0" w:line="119"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One or more of our competitors, or other third parties, may obtain patents or other protections covering technology competitive with or critical to the operation of our products, services, and technology.</w:t>
      </w:r>
    </w:p>
    <w:p>
      <w:pPr>
        <w:spacing w:after="0" w:line="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number of organizations are or may be working to develop systems using technologies that may be competitive with our technology, including blockchain-related technologies. Some or all of these organizations, including organizations that may have technology similar to ours, may have greater technological expertise, experience with blockchain technologies and financial resources than we have, and many of them may have been or may be attempting to patent technologies that may be competitive with or similar to our technology, or attempting to reverse engineer our technology. For example, various applications of blockchain technologies may individually or in combination be the subject of a U.S. or foreign patent application.</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ultimately compete with other companies or organizations, which could negatively impact our products and technology, including our loan servicing and information management software, and may prevent the further development of our products and technology entirely. For example, if one or more other persons, companies or organizations has or obtains a valid patent covering technology critical to our products or technology, we may be unwilling or unable to license the patent on commercially reasonable terms or at all. As a result, it could become difficult for our products or technology to operate, which could adversely affect our business, financial condition, and results of operations.</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software contains third-party open source software components, which could subject our proprietary software to general release, restrict our ability to sell our products and subject us to possible litigation, claims or proceedings.</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software contains software modules licensed to us by third-party authors under “open source” licenses, including in connection with Provenance Blockchain. Open source software, such as Apache Kafka (event store and stream-processing) and Google Protocol Buffers (structured data serialization), is critical to the operation of our system and is foundational to our system’s code base. Some open source licenses contain requirements that users who distribute proprietary software containing or linked to open source software publicly make available all or part of the source code for such proprietary software (or modifications or derivative works it creates of the open source code) under the same open source license, which could include proprietary source code. In such cases, the open source software license may also restrict us from charging fees to licensees for their use of our software. If we combine our proprietary software with such open source software in a certain manner or if the license terms for the open source software that we incorporate change, we could, under certain open source licenses,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release the source code of our proprietary software to the public. This would allow our competitors to create similar products with lower development effort and time and ultimately could result in a loss of product sales for our business. In addition, failure to comply with our company policies on information technology and intellectual property may create a risk of public disclosure of our confidential, proprietary, or sensitive information, such as source code or business plans, when using certain publicly available or open source software programs that train their models with information provided by users, such as generative artificial intelligence or other software utilizing learning models. In addition to risks related to license requirements, the use of open source software can lead to greater technical and legal risks than the use of third-party commercial software, as open source licensors generally do not provide warranties or contractual protections regarding infringement or controls on the origin of the software or quality of the code, including the existence of security vulnerabilities. Many of the risks associated with the use of open source software cannot be eliminated and could adversely affect our business.</w:t>
      </w:r>
    </w:p>
    <w:p>
      <w:pPr>
        <w:spacing w:after="0" w:line="12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Although we monitor our use of open source software to avoid subjecting our software to conditions we do not intend, such use could inadvertently occur, or could be claimed to have occurred, in part because open source license terms are often ambiguous. The terms of many open source licenses have not been interpreted by U.S. courts or foreign courts, and there is a risk that these licenses could be construed in a way that could impose unanticipated conditions or restrictions on our ability to commercialize our products. Moreover, we cannot assure you that our processes for controlling our use of open source software in our products will be effective. Additionally, we could face claims from third parties claiming ownership of, or demanding release of, any open source software or derivative works that we have developed using such software, which could include proprietary source code, or otherwise seeking to enforce the terms of the applicable open source license. These claims could result in litigation and, if we are found to have breached the terms of an open source software license, we could be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Tax and Other Legal Risks</w:t>
      </w:r>
    </w:p>
    <w:p>
      <w:pPr>
        <w:spacing w:after="0" w:line="173"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are subject to or facilitate compliance with a variety of federal, state, and local laws, including those related to lending and mortgages, money transmission, consumer protection and loan financings.</w:t>
      </w:r>
    </w:p>
    <w:p>
      <w:pPr>
        <w:spacing w:after="0" w:line="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must comply with regulatory regimes or facilitate compliance with regulatory regimes on our own behalf and on behalf of our partners, which are independently subject to federal and/or state oversight by financial services regulators. These regimes include, but are not limited to, those applicable to the marketing of services, consumer credit transactions, mortgage lending, loan servicing and collection activities, money transmission and virtual currency transactions, the purchase and sale of whole loans and other related transactions, and data privacy. It is possible that regulators or governmental authorities could promulgate rulemakings and bring enforcement actions that adversely affect our business and the business of our partners. These regulators and governmental authorities may augment requirements that apply to lending or other transactions facilitated by our platform, or impose new programs and restrictions, or otherwise revise or create new regulatory requirements that apply to us or our partners, impacting our business, financial condition, and results of operations. The evolving regulatory landscape around financial services and financial technology providers, including the use of artificial intelligence in financial services, also presents potential challenges.</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federal level, there remains considerable uncertainty as to the current status and future plans for regulations and enforcement activities that may apply to us or our partners. In particular, the status of the CFPB, and the areas of focus or priorities of the CFPB under current or future leadership, are uncertain. On February 7, 2025, the Acting Director of the CFPB instructed all CFPB staff to pause new rulemaking, enforcement investigations, public communications, litigation efforts, and other work, unless such activities are expressly approved by the Acting Director or required by law. However, there is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guarantee that the activities of the CFPB, in whole or in part, will remain suspended, for example because several cases have been brought to challenge various aspects of the suspension and the administration has nominated a new Director whose appointment is subject to Senate confirmation. In addition, even if the activities of the CFPB remain suspended or significantly restrained, some or all state and local regulators or other agencies with authority to administer and enforce laws that apply to us may increase or enhance their regulation, supervision, and enforcement activities with respect to us and other providers of financial services.</w:t>
      </w:r>
    </w:p>
    <w:p>
      <w:pPr>
        <w:spacing w:after="0" w:line="1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Certain federal and state laws generally regulate interest rates and other charges on loans, including mortgage loans, and require specific disclosures. In addition, other federal and state laws may apply to the origination, servicing and collection of loans originated on our platform, money transmission and virtual currency transactions, and the purchase and sale of whole loans or asset-backed securitizations. In particular, certain laws, regulations, and rules that may be applicable to us and/or our partners include:</w:t>
      </w:r>
    </w:p>
    <w:p>
      <w:pPr>
        <w:spacing w:after="0" w:line="122" w:lineRule="exact"/>
        <w:rPr>
          <w:sz w:val="20"/>
          <w:szCs w:val="20"/>
          <w:color w:val="auto"/>
        </w:rPr>
      </w:pPr>
    </w:p>
    <w:p>
      <w:pPr>
        <w:jc w:val="both"/>
        <w:ind w:left="660" w:hanging="328"/>
        <w:spacing w:after="0" w:line="259"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state lending laws and regulations that require certain parties to hold licenses or other government approvals or make filings regarding the loans we originate or service, or impose requirements related to loan disclosures and terms, fees and interest rates, credit discrimination, credit reporting, servicemember relief, debt collection, repossession, unfair or deceptive business practices and consumer protection, as well as other state laws relating to privacy, information security, and conduct in connection with data breaches;</w:t>
      </w:r>
    </w:p>
    <w:p>
      <w:pPr>
        <w:spacing w:after="0" w:line="125"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TILA, including the Home Equity and Ownership Protection Act, and Regulation Z promulgated thereunder and similar state laws, which require certain disclosures to borrowers regarding the terms and conditions of their loans and credit transactions, require creditors to comply with certain lending practice restrictions, and may limit the ability of a creditor to impose certain loan terms, take certain actions, or change the terms of a HELOC or other loans we make after origination;</w:t>
      </w:r>
    </w:p>
    <w:p>
      <w:pPr>
        <w:spacing w:after="0" w:line="12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RESPA and Regulation X promulgated thereunder, which require certain disclosures to be made to the borrower at application and closing, prohibit giving or accepting any fee, kickback, or other thing of value for the referral of real estate settlement services or accepting a portion or split of a settlement fee other than as fair market value for services actually provided, place limitations on affiliated business arrangements, and require mortgage servicers to comply with certain servicing practice obligations, including with respect to escrow account administration and maintenance;</w:t>
      </w:r>
    </w:p>
    <w:p>
      <w:pPr>
        <w:spacing w:after="0" w:line="12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Fair Housing Act (the “FHA”), the ECOA and Regulation B promulgated thereunder, and similar state fair lending laws, which prohibit creditors from discouraging or discriminating against credit applicants on a prohibited basis, including race, color, sex, age, religion, national origin, family status, disability, and marital status, the fact that all or part of the applicant’s income derives from any public assistance program or the fact that the applicant has in good faith exercised any right under the federal Consumer Credit Protection Act;</w:t>
      </w:r>
    </w:p>
    <w:p>
      <w:pPr>
        <w:spacing w:after="0" w:line="12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Home Mortgage Disclosure Act (the “HMDA”) and Regulation C promulgated thereunder, which require financial institutions to maintain, report, and publicly disclose loan-level information about their mortgage lending activity in order to help determine whether financial institutions are serving the housing needs of their communities, assist public officials in distributing public-sector investment so as to attract private investment to areas where it is needed, and assist in the enforcement of fair lending and anti-discrimination laws;</w:t>
      </w:r>
    </w:p>
    <w:p>
      <w:pPr>
        <w:spacing w:after="0" w:line="125"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Fair Credit Reporting Act (the “FCRA”) and Regulation V promulgated thereunder, which impose certain obligations on users of consumer reports and those that furnish information to consumer reporting agencies, including obligations relating to obtaining consumer reports, marketing using consumer reports, taking adverse action based on consumer report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39" w:lineRule="exact"/>
        <w:rPr>
          <w:sz w:val="20"/>
          <w:szCs w:val="20"/>
          <w:color w:val="auto"/>
        </w:rPr>
      </w:pPr>
    </w:p>
    <w:p>
      <w:pPr>
        <w:ind w:left="328"/>
        <w:spacing w:after="0" w:line="287" w:lineRule="auto"/>
        <w:rPr>
          <w:sz w:val="20"/>
          <w:szCs w:val="20"/>
          <w:color w:val="auto"/>
        </w:rPr>
      </w:pPr>
      <w:r>
        <w:rPr>
          <w:rFonts w:ascii="Arial" w:cs="Arial" w:eastAsia="Arial" w:hAnsi="Arial"/>
          <w:sz w:val="18"/>
          <w:szCs w:val="18"/>
          <w:color w:val="auto"/>
        </w:rPr>
        <w:t>addressing risks of identity theft and fraud and protecting the privacy and security of consumer reports and consumer report information;</w:t>
      </w:r>
    </w:p>
    <w:p>
      <w:pPr>
        <w:spacing w:after="0" w:line="99" w:lineRule="exact"/>
        <w:rPr>
          <w:sz w:val="20"/>
          <w:szCs w:val="20"/>
          <w:color w:val="auto"/>
        </w:rPr>
      </w:pPr>
    </w:p>
    <w:p>
      <w:pPr>
        <w:jc w:val="both"/>
        <w:ind w:left="328" w:hanging="328"/>
        <w:spacing w:after="0" w:line="262" w:lineRule="auto"/>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Fair Debt Collection Practices Act (the “FDCPA”), which provides guidelines and limitations on the conduct of certain debt collectors in connection with the collection of consumer debts, including limits on certain communications with third parties, notice and debt validation requirements, and prohibitions on threatening, harassing, or abusive conduct in the course of debt collection, as well as similar state laws that may apply more broadly to both third-party debt collectors and creditors who collect their own debts;</w:t>
      </w:r>
    </w:p>
    <w:p>
      <w:pPr>
        <w:spacing w:after="0" w:line="122" w:lineRule="exact"/>
        <w:rPr>
          <w:rFonts w:ascii="Arial" w:cs="Arial" w:eastAsia="Arial" w:hAnsi="Arial"/>
          <w:sz w:val="18"/>
          <w:szCs w:val="18"/>
          <w:color w:val="auto"/>
        </w:rPr>
      </w:pPr>
    </w:p>
    <w:p>
      <w:pPr>
        <w:jc w:val="both"/>
        <w:ind w:left="328" w:hanging="328"/>
        <w:spacing w:after="0" w:line="262" w:lineRule="auto"/>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Consumer Financial Protection Act, enacted as part of the Dodd-Frank Wall Street Reform and Consumer Protection Act, which (among other things) created the CFPB and gave it broad rulemaking authority over certain enumerated consumer financial laws and supervisory and enforcement jurisdiction over mortgage originators and servicers, and prohibits any unfair, deceptive or abusive acts or practices in connection with any consumer financial product or service;</w:t>
      </w:r>
    </w:p>
    <w:p>
      <w:pPr>
        <w:spacing w:after="0" w:line="122" w:lineRule="exact"/>
        <w:rPr>
          <w:rFonts w:ascii="Arial" w:cs="Arial" w:eastAsia="Arial" w:hAnsi="Arial"/>
          <w:sz w:val="18"/>
          <w:szCs w:val="18"/>
          <w:color w:val="auto"/>
        </w:rPr>
      </w:pPr>
    </w:p>
    <w:p>
      <w:pPr>
        <w:jc w:val="both"/>
        <w:ind w:left="328" w:right="20" w:hanging="328"/>
        <w:spacing w:after="0" w:line="291" w:lineRule="auto"/>
        <w:tabs>
          <w:tab w:leader="none" w:pos="323" w:val="left"/>
        </w:tabs>
        <w:numPr>
          <w:ilvl w:val="0"/>
          <w:numId w:val="32"/>
        </w:numPr>
        <w:rPr>
          <w:rFonts w:ascii="Arial" w:cs="Arial" w:eastAsia="Arial" w:hAnsi="Arial"/>
          <w:sz w:val="17"/>
          <w:szCs w:val="17"/>
          <w:color w:val="auto"/>
        </w:rPr>
      </w:pPr>
      <w:r>
        <w:rPr>
          <w:rFonts w:ascii="Arial" w:cs="Arial" w:eastAsia="Arial" w:hAnsi="Arial"/>
          <w:sz w:val="17"/>
          <w:szCs w:val="17"/>
          <w:color w:val="auto"/>
        </w:rPr>
        <w:t>Section 5 of the Federal Trade Commission Act (the “FTC Act”), which prohibits unfair and deceptive acts or practices in or affecting commerce, and Section 1031 of the Dodd-Frank Act, which prohibits unfair, deceptive, or abusive acts or practices in connection with any consumer financial product or service, as well as analogous state laws prohibiting unfair, deceptive, or abusive acts or practices;</w:t>
      </w:r>
    </w:p>
    <w:p>
      <w:pPr>
        <w:spacing w:after="0" w:line="98" w:lineRule="exact"/>
        <w:rPr>
          <w:rFonts w:ascii="Arial" w:cs="Arial" w:eastAsia="Arial" w:hAnsi="Arial"/>
          <w:sz w:val="17"/>
          <w:szCs w:val="17"/>
          <w:color w:val="auto"/>
        </w:rPr>
      </w:pPr>
    </w:p>
    <w:p>
      <w:pPr>
        <w:jc w:val="both"/>
        <w:ind w:left="328" w:hanging="328"/>
        <w:spacing w:after="0" w:line="268" w:lineRule="auto"/>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state and federal laws and regulations relating to privacy and cybersecurity, including the GLBA and Regulation P promulgated thereunder, which limit financial institutions’ disclosure of non-public personal information, require certain privacy notices, and mandate safeguarding personal borrower information;</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Secure and Fair Enforcement for Mortgage Licensing Act, which imposes state licensing requirements on mortgage loan originators.</w:t>
      </w:r>
    </w:p>
    <w:p>
      <w:pPr>
        <w:spacing w:after="0" w:line="171"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bankruptcy code, which limits the extent to which creditors may seek to enforce debts against parties who have filed for bankruptcy protection;</w:t>
      </w:r>
    </w:p>
    <w:p>
      <w:pPr>
        <w:spacing w:after="0" w:line="98" w:lineRule="exact"/>
        <w:rPr>
          <w:rFonts w:ascii="Arial" w:cs="Arial" w:eastAsia="Arial" w:hAnsi="Arial"/>
          <w:sz w:val="18"/>
          <w:szCs w:val="18"/>
          <w:color w:val="auto"/>
        </w:rPr>
      </w:pPr>
    </w:p>
    <w:p>
      <w:pPr>
        <w:jc w:val="both"/>
        <w:ind w:left="328" w:hanging="328"/>
        <w:spacing w:after="0" w:line="262" w:lineRule="auto"/>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Servicemembers Civil Relief Act (the “SCRA”), which allows military members to suspend or postpone certain civil obligations, requires creditors to reduce the interest rate to 6.0% on loans incurred before a servicemember entered active duty, and imposes certain obligations and restrictions on the enforcement of loans to servicemembers, including limitations on foreclosure or repossession of property securing certain loans, so that military members can focus on their duties;</w:t>
      </w:r>
    </w:p>
    <w:p>
      <w:pPr>
        <w:spacing w:after="0" w:line="122" w:lineRule="exact"/>
        <w:rPr>
          <w:rFonts w:ascii="Arial" w:cs="Arial" w:eastAsia="Arial" w:hAnsi="Arial"/>
          <w:sz w:val="18"/>
          <w:szCs w:val="18"/>
          <w:color w:val="auto"/>
        </w:rPr>
      </w:pPr>
    </w:p>
    <w:p>
      <w:pPr>
        <w:jc w:val="both"/>
        <w:ind w:left="328" w:hanging="328"/>
        <w:spacing w:after="0" w:line="268" w:lineRule="auto"/>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Military Lending Act (the “MLA”), which provides disclosure requirements, limits the rate of interest and non-interest charges, imposes substantive conduct obligations and prohibitions on certain behavior and contractual terms relating to loans made to covered borrowers, which include both servicemembers and their dependents;</w:t>
      </w:r>
    </w:p>
    <w:p>
      <w:pPr>
        <w:spacing w:after="0" w:line="116" w:lineRule="exact"/>
        <w:rPr>
          <w:rFonts w:ascii="Arial" w:cs="Arial" w:eastAsia="Arial" w:hAnsi="Arial"/>
          <w:sz w:val="18"/>
          <w:szCs w:val="18"/>
          <w:color w:val="auto"/>
        </w:rPr>
      </w:pPr>
    </w:p>
    <w:p>
      <w:pPr>
        <w:jc w:val="both"/>
        <w:ind w:left="328" w:hanging="328"/>
        <w:spacing w:after="0" w:line="268" w:lineRule="auto"/>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Electronic Fund Transfer Act and Regulation E promulgated thereunder, which provide guidelines and restrictions on the electronic transfer of funds from consumers’ bank accounts, including disclosure and authorization requirements in connection with preauthorized (recurring) electronic fund transfers for loan payments;</w:t>
      </w:r>
    </w:p>
    <w:p>
      <w:pPr>
        <w:spacing w:after="0" w:line="116"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Controlling the Assault of Non-Solicited Pornography and Marketing Act, the Telemarketing Sales Rule and analogous state laws, which impose various restrictions on marketing conducted through the use of email, telephone, fax, or text message;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08"/>
          </w:cols>
          <w:pgMar w:left="652" w:top="1440" w:right="339" w:bottom="1440" w:gutter="0" w:footer="0" w:header="0"/>
        </w:sectPr>
      </w:pPr>
    </w:p>
    <w:bookmarkStart w:id="96" w:name="page97"/>
    <w:bookmarkEnd w:id="96"/>
    <w:p>
      <w:pPr>
        <w:spacing w:after="0" w:line="139" w:lineRule="exact"/>
        <w:rPr>
          <w:sz w:val="20"/>
          <w:szCs w:val="20"/>
          <w:color w:val="auto"/>
        </w:rPr>
      </w:pPr>
    </w:p>
    <w:p>
      <w:pPr>
        <w:jc w:val="both"/>
        <w:ind w:left="660" w:hanging="328"/>
        <w:spacing w:after="0" w:line="255"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Bank Secrecy Act (the “BSA”), as amended by the USA PATRIOT Act, and the regulations promulgated thereunder, relate to compliance with anti-money laundering and counter-terrorist financing laws. They require us, as a money services business, broker-dealer, loan or finance company, and/or other regulated entity, to, among other things, develop, implement and maintain an anti-money laundering program, report suspicious activities and transactions to the Financial Crimes Enforcement Network (the “FinCEN”), comply with certain reporting and recordkeeping requirements, and collect and maintain information about customers. Additionally, state laws and regulations govern money transmission, money services, and virtual currency activity, some of which require certain parties to hold licenses or other government approvals and may otherwise place restrictions or obligations on the operation of our business;</w:t>
      </w:r>
    </w:p>
    <w:p>
      <w:pPr>
        <w:spacing w:after="0" w:line="13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regulations promulgated by the Office of Foreign Assets Control (the “OFAC”) under the U.S. Department of the U.S. Treasury related to the administration and enforcement of sanctions against foreign jurisdictions and persons that threaten U.S. foreign policy and national security goals, primarily to prevent targeted jurisdictions and persons from accessing the U.S. financial system;</w:t>
      </w:r>
    </w:p>
    <w:p>
      <w:pPr>
        <w:spacing w:after="0" w:line="116"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state, and self-regulatory organization securities rules and laws, including, among others, the Securities Act, the Securities Exchange Act of 1934, as amended (the “Exchange Act”), the Investment Advisers Act of 1940, as amended (the “Advisers Act”), and the Investment Company Act, the rules and regulations adopted under those laws, including those adopted by FINRA, and similar state laws and regulations, which govern how we offer, sell, and transact in our loan financing products;</w:t>
      </w:r>
    </w:p>
    <w:p>
      <w:pPr>
        <w:spacing w:after="0" w:line="12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federal, state and local laws and regulations covering areas similar to the laws and regulations discussed above, including many state and local laws and regulations that cover similar areas as the federal laws discussed above; and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other laws and regulatory regimes described in the section titled “Business—Government Regulation.”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various federal, state, and local laws have been enacted to discourage predatory lending practices. The federal Home Ownership and Equity Protection Act amends TILA to prohibit certain provisions in mortgage loans with rates or origination costs exceeding prescribed levels, and requires certain disclosures prior to origination. Some states have enacted similar laws or regulations, which in some cases impose restrictions and requirements greater than those in HOEPA. Failure to comply with these laws, to the extent applicable to any of the HELOCs, could subject us to monetary penalties and could result in the voiding or rescission of the affected HELOCs.</w:t>
      </w:r>
    </w:p>
    <w:p>
      <w:pPr>
        <w:spacing w:after="0" w:line="1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may not always have been, and may not always be, in compliance with these and other applicable laws, regulations, and rules. Compliance with these requirements is costly, time consuming and limits our operational flexibility. Additionally, the U.S. Congress, states, regulatory agencies, and local municipalities, could further regulate the consumer financial services industry (and other financial services, including services provided to small businesses) in ways that make it more difficult or costly for us to offer our platform and related services or facilitate the origination of loans for our partners. The laws and regulations applicable to our activities are often subject to changes that could severely limit the operations of our business model. Further, changes in the regulatory application or judicial interpretation of the laws and regulations applicable to financial institutions or financial services providers could impact the manner in which we conduct our business. The regulatory environment in which financial institutions and financial services providers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 and annual percentage rates (the “APR”) on loans similar to those made on our platform. For example, in late 2020, California created a “mini-CFPB,” which could increase its oversight over consumer financial services providers and strengthen the consumer protection authority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regulators to enforce laws related to debt collection and unfair, deceptive, or abusive acts and practices. Voter referendums on restrictions on interest rates and/or APRs also have been introduced and, in some cases, passed. If such legislation or bills were to be propagated, or state or federal regulators seek to restrict regulated financial institutions such as our partners from engaging in business with us in certain ways, our partners’ ability to originate loans in certain states could be greatly reduced, and as a result, our business, financial condition, and results of operations could be adversely affected.</w:t>
      </w:r>
    </w:p>
    <w:p>
      <w:pPr>
        <w:spacing w:after="0" w:line="1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Where applicable, we seek to comply with state mortgage originator, loan broker, credit service organization, small loan, finance lender, servicing, collection, money transmission, money services, virtual currency, and similar laws and regulations. Nevertheless, if we are found not to comply with applicable laws, we could lose one or more of our licenses or authorizations, become subject to greater scrutiny by state regulatory agencies, face other sanctions or be required to obtain a license, which may adversely affect our ability to continue to facilitate loans, perform our servicing obligations, or make our platform available to customers in particular states, potentially harming our business. Further, failure to comply with the laws and regulatory requirements applicable to our business and operations may, among other things, limit our ability to collect all or part of the principal of or interest on loans originated by us or our partners using our platform that we purchase, and may limit our ability to foreclose on properties securing such loans or otherwise limit our recovery. In addition, non-compliance could subject us to, for example, loan repurchase obligations, rescission rights held either by customers or by investors in securities offerings, litigation (including class action lawsuits, civil and criminal liability, and damages), and investigation, enforcement and other regulatory and legal action and penalties, such as revocation of required licenses, administrative enforcement actions, and regulatory sanctions, all of which could adversely affect our business, financial condition, and results of operations.</w:t>
      </w:r>
    </w:p>
    <w:p>
      <w:pPr>
        <w:spacing w:after="0" w:line="13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generally represent to our partners that our platform for these purposes, including documents, calculations, and disclosures generated therein, and our partners’ use of the platform, complies with applicable law and regulations, including, but not limited to, TILA, RESPA, and the regulations promulgated thereunder. However, these laws and regulations are subject to interpretation by various regulators and courts and interpretations may change or evolve over time. If a regulator or court determines that some significant aspect of our platform does not comply with applicable law, our partners may cease use of our platform, which would adversely affect our business. For example, if a regulator determines that compensation paid to a wholesale broker that brokers loans to us via our Partner-branded solutions is not reasonably related to the value of the goods or services actually provided by the wholesale broker, as required by RESPA, or if a court determines that a loan sale by a partner to us is not a bona fide secondary market transaction under RESPA, partners may perceive use of our platform as noncompliant with applicable law and discontinue such use, or we could be required to cease offering or change the nature of our Partner-branded offerings. We charge partners an implementation fee, which we may delay charging or which we may waive if the partner originates a minimum number of loans through our platform. If a court or regulator determines that waiving or delaying charging the implementation fee does not represent the fair market value of using the platform, as required by RESPA, we could be required to cease offering or change the nature of our Partner-branded offerings. Further, we could be required to repurchase non-compliant loans or indemnify partners for losses related to regulatory compliance, or be required to pay regulatory fines or be subject to litigation (including damages), investigation, enforcement and other regulatory and legal action and penalties, all of which could adversely affect our business, financial condition, and results of operations.</w:t>
      </w:r>
    </w:p>
    <w:p>
      <w:pPr>
        <w:spacing w:after="0" w:line="1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SEC oversees the activities of Figure Investment Advisors, LLC (“FIA”), as a registered investment adviser under the Advisers Act, and FCC, as a registered investment company under the Investment Company Act. FCC received an exemptive order from the SEC pursuant to Section 28(c) of the Investment Company Act that allows FCC to custody reserves maintained with respect to the face-amount certificates that FCC issues with one or more banks as defined in Section 2(a)(5) of the Investment Company Act, subject to various conditions, including among others that any such custodian will maintain such reserves in compliance with Section 17(f) of the Investment Company Act and is authorized to cure any default by FCC with respect to the face-amount certificates by liquidating all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portion of such reserves. In addition, private funds managed by FIA rely on one or more exemptions from registration under the Investment Company Act and are subject to various requirements under such exemptions. Failure to comply with the SEC’s exemptive order or the Investment Company Act could expose FCC, any other fund managed by FIA and/or FIA to various legal and regulatory consequences, including investigations, fines or other regulatory sanctions, any of which could have a material adverse effect on our business and harm our reputation. In particular, non-compliance with the conditions of the SEC’s exemptive order could negate the ability of FCC to continue to rely thereon, rendering FCC to be out of compliance with Section 28(c) of the Investment Company Act, which could materially limit or effectively terminate FCC’s ability to conduct its business operations. Furthermore, non-compliance with the SEC’s exemptive order could result in the SEC bringing an enforcement action against FCC or FIA and/or expose FCC or FIA to claims, proceedings or actions for failure to comply with applicable federal securities laws.</w:t>
      </w:r>
    </w:p>
    <w:p>
      <w:pPr>
        <w:spacing w:after="0" w:line="12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Moreover, each of the regulatory bodies with jurisdiction over us has regulatory powers dealing with many aspects of financial services, including the authority to grant, and in specific circumstances to cancel or restrict, permissions to carry on particular activities. A failure to comply with the obligations imposed by the Advisers Act could result in investigations, sanctions, restrictions on our activities or the activities of our personnel and in reputational damage. We are involved regularly in trading activities that implicate a broad number of U.S. and foreign securities and tax law regimes, including laws governing trading on inside information, market manipulation and a broad number of technical trading requirements that implicate fundamental market regulation policies. Violation of these laws could result in severe restrictions on our activities and damage to our reputation and as a result, impact our funds and our funds’ investments. There can be no assurance that any form of regulation or market constraints would prevent certain other market actors from engaging in fraud, market manipulation, market abuse or improper influence in the future. In these situations, any such fraud, market manipulation, market abuse or improper influence by such market actors could have a material adverse effect on our funds and their investments. Moreover, there can be no assurance that any redress would be available to, or would be practical for, the funds to pursue with respect to any such fraud, market manipulation, market abuse or improper influence.</w:t>
      </w:r>
    </w:p>
    <w:p>
      <w:pPr>
        <w:spacing w:after="0" w:line="13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Compliance with existing and new regulations subjects us to significant costs, and our failure to comply with applicable laws or regulations, including labor and employment laws, could result in fines, censure, suspensions of personnel or other sanctions, including revocation of the registration of our relevant subsidiaries under applicable regulatory regimes. Most of the regulations to which our businesses are subject are designed primarily to protect investors in our funds and their investments and to ensure the integrity of the financial markets. They are not designed to protect our stockholders. If a sanction is imposed against us, one of our subsidiaries or our personnel by a regulator, even for a small monetary amount, the costs incurred in responding to such matters could be material, and adverse publicity related to the sanction could harm our reputation, which in turn could have a material adverse effect on our businesses in a number of ways and which could make it harder for us to raise new funds and could discourage others from doing business with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marketing practices involving relationships with third parties may expose us to risks of alleged RESPA violations.</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Because our business relies on strategic relationships with third parties, it is particularly important that we comply with RESPA. RESPA prohibits the giving or accepting of any “thing of value” in exchange for referrals of settlement service business related to federally related mortgage loans. Historically, the CFPB has interpreted “thing of value” broadly, including payments, commissions, gifts, and other benefits, though the current administration has issued no RESPA interpretations or guidance to date.</w:t>
      </w:r>
    </w:p>
    <w:p>
      <w:pPr>
        <w:spacing w:after="0" w:line="1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marketing practices involving relationships with third parties have the potential to expose us to risks of non-compliance with RESPA and its implementing Regulation X, which could result in significant legal and financial consequences. For example, placing signage or advertising in third parties’ retail locations, or having e-mails sent to third parties’ customers, to promote our HELOC offerings, depending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the circumstances, could generate scrutiny. A regulator or private litigant potentially could assert that these activities involve the third parties referring settlement service business (HELOC business) to us and, if referrals are determined to exist and we are determined to pay any “thing of value” in exchange for such referrals, a RESPA violation could be found. Failure to comply with RESPA could result in substantial penalties, including fines and reputational damage, which could adversely affect our business, financial condition, and results of operations.</w:t>
      </w:r>
    </w:p>
    <w:p>
      <w:pPr>
        <w:spacing w:after="0" w:line="1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acceptance of various payment methods exposes us to evolving rules, regulations, and compliance requirements. Non-compliance may adversely affect our business, financial condition and results of operations.</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accept payments using a variety of methods, including debit cards, ACH, wires, PayPal, Apple Pay, Google Pay, Cubix, Plaid Direct Payments, bank transfers, and FAST transfers. Acceptance of these payment options subjects us to rules, regulations, contractual obligations, and compliance requirements, including payment card association operating rules, certification requirements and operations guidelines, data security standards, and rules governing electronic funds transfers. These requirements may change over time or be reinterpreted, making compliance more difficult or costly. Although no system can completely prevent theft, we have security countermeasures in place to reduce the potential for fraud and theft by criminals. If we fail to comply with applicable rules and regulations, we may be subject to fines or higher transaction fees and may lose our ability to accept online payments or other payment card transactions. If any of these events were to occur, our business, financial condition, and results of operations could be adversely affected.</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failure to comply with financial services regulatory obligations could damage our reputation, result in regulatory action against us, and adversely affect our business.</w:t>
      </w:r>
    </w:p>
    <w:p>
      <w:pPr>
        <w:spacing w:after="0" w:line="8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securities industry is heavily regulated. Our subsidiary FIA is registered with the SEC as an investment adviser and is subject to the requirements and regulations of the Advisers Act. FIA in turn manages FCC, which is registered as an investment company under the Investment Company Act. Our subsidiary Figure Securities is registered with the SEC and 53 U.S. states and jurisdictions as a broker-dealer, is a member of FINRA and operates an ATS under the brand “Figure ATS,” which is subject to the requirements and regulations of the Exchange Act and FINRA rules. Our subsidiary Figure Equity Solutions, Inc. is registered with the SEC as a transfer agent and is subject to the requirements and regulations of the Exchange Act. The regulations to which broker-dealers, ATSs, transfer agents, and registered investment advisers are subject are extensive and evolving over time and subject us to periodic examination by such regulators. The level of financial regulation by the SEC, FINRA, and state securities commissions has generally increased in recent years. In light of this, we expect increased compliance costs and to be subject to additional potential liabilities. Failure to comply with the obligations imposed by the Advisers Act, Investment Company Act, Exchange Act, FINRA, or state rules, including recordkeeping, advertising and operating requirements, disclosure obligations and prohibitions on fraudulent activities, could result in examinations, investigations, sanctions, and reputational damage, and could have a material adverse effect on our business, financial condition, and results of operations. Our ability to comply with all applicable laws and rules is largely dependent on our internal systems to ensure compliance, as well as our ability to attract and retain qualified compliance personnel. Further, each of the regulatory bodies with jurisdiction over us has regulatory powers dealing with many aspects of the services we provide, including the authority to grant, and in specific circumstances to cancel or restrict, permissions to carry on such activities. The termination or material limitation of any such permit would likely have a material adverse effect on our ability to carry out our business operations. In addition, some of the restrictions and rules applicable to our subsidiaries could adversely affect and limit some of our business plans of other parts of our business.</w:t>
      </w:r>
    </w:p>
    <w:p>
      <w:pPr>
        <w:spacing w:after="0" w:line="13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addition, many other aspects of our businesses involve financial services that are heavily regulated. Among other entities in our structure, our subsidiary Figure Payments Corporation (which offers a stored value product and facilitates transactions involving digital assets) is a registered money services business at the federal level and licensed money transmitter and virtual currency business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various states and other jurisdictions, our subsidiary Figure Lending LLC (“FL LLC”) is licensed to engage in lending (including mortgages and personal loans), servicing, brokering, debt collection, and other related activities in various states and other jurisdictions, our subsidiary Figure Markets Credit, Inc. (which offers digital asset-backed personal loans and facilitates digital asset trading) is licensed to engage in lending and other related activities in various states and other jurisdictions, and each is subject to significant regulatory and legal requirements in connection therewith. These requirements include, among others, compliance with anti-money laundering laws, consumer protection laws, and data privacy regulations. As such, we expect increased compliance costs and to be subject to additional potential liabilities. Failure to comply with the obligations imposed by the foregoing regulatory regimes, including licensing, recordkeeping, advertising, disclosure, and operating requirements (including interest and fee limitations), could result in examinations, investigations, litigation, enforcement actions, sanctions, and reputational damage, and could have a material adverse effect on our business, financial condition, and results of operations. The legal and regulatory landscape for our products is particularly complex, and our ability to comply with all applicable laws and rules is largely dependent on our internal systems to ensure compliance, as well as our ability to attract and retain qualified compliance personnel with specialized knowledge. Furthermore, evolving regulations and increased scrutiny from regulators may require us to adapt our practices continuously. In addition, some of the restrictions and rules applicable to our subsidiaries could adversely affect and limit some of our business plans of other parts of our business.</w:t>
      </w:r>
    </w:p>
    <w:p>
      <w:pPr>
        <w:spacing w:after="0" w:line="133"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If we were deemed to be an “investment company” under the Investment Company Act, applicable restrictions could make it impractical for us to continue our businesses as contemplated and could have a material adverse effect on our businesses.</w:t>
      </w:r>
    </w:p>
    <w:p>
      <w:pPr>
        <w:spacing w:after="0" w:line="85"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An issuer will generally be deemed to be an “investment company” for purposes of the Investment Company Act if, absent an applicable exception or exemption:</w:t>
      </w:r>
    </w:p>
    <w:p>
      <w:pPr>
        <w:spacing w:after="0" w:line="99" w:lineRule="exact"/>
        <w:rPr>
          <w:sz w:val="20"/>
          <w:szCs w:val="20"/>
          <w:color w:val="auto"/>
        </w:rPr>
      </w:pPr>
    </w:p>
    <w:p>
      <w:pPr>
        <w:ind w:left="660" w:right="20" w:hanging="328"/>
        <w:spacing w:after="0" w:line="28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is or holds itself out as being engaged primarily, or proposes to engage primarily, in the business of investing, reinvesting or trading in securities;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is engaged or proposes to engage in the business of issuing face-amount certificates of the installment type, or has been engaged in such business and has any such certificate outstanding; or</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owns or proposes to acquire investment securities having a value exceeding 40% of the value of its total assets (exclusive of U.S. government securities and cash items) on an unconsolidated basis.</w:t>
      </w:r>
    </w:p>
    <w:p>
      <w:pPr>
        <w:spacing w:after="0" w:line="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believe that we are engaged primarily in the business of building and operating a technology platform that applies blockchain technology to support vertically-integrated marketplaces across the consumer credit and cryptocurrency and digital asset markets and not primarily in the business of investing, reinvesting or trading in securities. We hold ourselves out as a firm that is building and operating a technology platform that applies blockchain technology to support vertically-integrated marketplaces across the consumer credit and cryptocurrency and digital asset markets and do not propose to engage primarily in the business of investing, reinvesting or trading in securities. Accordingly, we do not believe that we are an “orthodox” investment company as defined in Section 3(a)(1)(A) of the Investment Company Act and described in the first bullet point above. Further, although our managed investment company, FCC, engages in the business of issuing face-amount certificates of the installment type, we do not ourselves engage in such activities or have any such certificates outstanding. However, our subsidiaries could acquire a significant number of investment securities, and we expect to make investments in other investment securities from time to time. We monitor these holdings regularly to confirm our continued compliance with the 40% test described in the third bullet point above. The need to comply with this 40% test may cause us to (i) restrict our business and subsidiaries with respect to the assets in which we can invest and/or the types of securities we may issue, (ii) sell investment securities, including on unfavorable terms, (iii) acquire assets or businesses that could change the nature of our business, or (iv) potentially take other actions that may be viewed as adverse by the holders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common stock, in order to ensure conformity with exceptions provided by, and rules and regulations promulgated under, the Investment Company Act.</w:t>
      </w:r>
    </w:p>
    <w:p>
      <w:pPr>
        <w:spacing w:after="0" w:line="9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own, indirectly through wholly-owned subsidiaries, general partner or similar interests (collectively, “general partner interests”) in our funds which entitle us to receive performance fees in the form of incentive allocations. In addition, FIA is entitled to receive management fees pursuant to investment management agreements with our funds. We believe that these general partner interests and investment management agreement receivables are neither securities nor investment securities. Accordingly, we do not believe that we are an inadvertent investment company by virtue of the 40% test in Section 3(a)(1)(C) of the Investment Company Act as described in the third bullet point above. In addition, we believe we are not an investment company under Section 3(b)(1) of the Investment Company Act because we are primarily engaged in a non-investment company business.</w:t>
      </w:r>
    </w:p>
    <w:p>
      <w:pPr>
        <w:spacing w:after="0" w:line="1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Investment Company Act and the rules thereunder contain detailed parameters for the organization and operation of investment companies. Among other things, the Investment Company Act and the rules thereunder limit or prohibit transactions with affiliates, impose limitations on the issuance of debt and equity securities, generally prohibit the issuance of options and impose certain governance requirements. We intend to conduct our operations so that we will not be deemed to be an investment company under the Investment Company Act. If anything were to happen that would cause us to be deemed to be an investment company under the Investment Company Act, requirements imposed by the Investment Company Act, including limitations on capital structure, the ability to transact business with affiliates and the ability to compensate senior employees, could make it impractical for us to continue our businesses as currently conducted, impair the agreements and arrangements between and among us, our affiliates and subsidiaries, our funds and our senior managers, or any combination thereof, and have a material adverse effect on our businesses, financial condition and results of operations. In addition, we may be required to limit the amount of investments that we make as a principal, potentially divest of our investments or otherwise conduct our businesses in a manner that does not subject us to the registration and other requirements of the Investment Company Act.</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 model and structure give rise to certain conflicts of interest, which if not appropriately addressed, could result in violations of fiduciary duties to our clients.</w:t>
      </w:r>
    </w:p>
    <w:p>
      <w:pPr>
        <w:spacing w:after="0" w:line="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adopted policies, processes and practices reasonably designed to address and manage conflicts of interest relating to the operation of our business, such as our compliance manual and code of ethics that we have adopted pursuant to the Advisers Act, which include our policies and guidelines relating to allocation of investments and expenses. Many of our policies and guidelines are set forth and/or summarized in our Form ADV, which is available to our investors. If we determine in good faith judgment that a matter constitutes an actual conflict of interest, these policies, practices and processes guide us to take such actions as we determine in good faith may be necessary or appropriate to ameliorate the conflict. These procedures may include, by way of example: obtaining written client consent for effecting principal transactions, specific procedures for handling cross transactions among advisory clients, including disclosures required to be made to such clients, and procedures for handling conflicts of interest arising in connection with proxy voting. Furthermore, the Investment Company Act, and the rules thereunder and the interpretations of such provisions, by the SEC and its staff place significant limitations on joint transactions between a registered investment company and certain affiliates of the adviser. FIA and FCC have adopted policies and procedures to address such conflicts of interest.</w:t>
      </w:r>
    </w:p>
    <w:p>
      <w:pPr>
        <w:spacing w:after="0" w:line="13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The digital asset economy is novel. As a result, policymakers are just beginning to consider what a regulatory regime for digital assets would look like and the elements that would serve as the foundation for such a regime. This less developed consideration of digital assets may harm our ability to effectively react to proposed legislation and regulation of digital assets or digital asset platforms adverse to our business.</w:t>
      </w:r>
    </w:p>
    <w:p>
      <w:pPr>
        <w:spacing w:after="0" w:line="11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As digital assets have grown in both popularity and market size, various U.S. federal, state, and local and foreign governmental organizations, consumer agencies, and public advocacy groups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examining the operations of digital asset networks, users, and platforms, with a focus on how digital assets can be used to launder the proceeds of illegal activities, fund criminal or terrorist enterprises, and the safety and soundness of platforms and other service providers that hold digital assets for users. Many of these entities have called for heightened regulatory oversight and have issued consumer advisories describing the risks posed by digital assets to users and investors. For instance, in September 2022, the White House published a fact sheet described as the first-ever “Comprehensive Framework for Responsible Development of Digital Assets,” which encouraged “agencies to issue guidance and rules to address current and emergent risks in the digital asset ecosystem.”</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More recently, in January 2025, President Trump issued an executive order on “Strengthening American Leadership in Digital Financial Technology.” Among other things, this executive order establishes a President’s Working Group on Digital Asset Markets, which is required to propose a federal regulatory framework governing the issuance and operation of digital assets in the United States. In addition, there are various legislative proposals under consideration by the U.S. Congress, including digital asset market structure bills and bills with respect to stablecoin issuance. For example, the Guiding and Establishing National Innovation for U.S. Stablecoins Act (or “GENIUS Act”). We cannot predict whether or in what form such legislative or regulatory proposals will be enacted, nor can we fully assess or predict in advance the ultimate impact of any proposed legislation, implementing regulations, or regulatory actions on our business, financial condition, and results of operations.</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Competitors, including traditional financial services industry members, have spent years cultivating professional relationships with relevant policymakers on behalf of their industry so that those policymakers may understand that industry, the current legal landscape affecting that industry, and the specific policy proposals that could be implemented in order to responsibly develop that industry. The lobbyists working for these competitors have similarly spent years developing and working to implement strategies to advance these industries. Members of the digital asset economy have started to engage policymakers directly and with the help of external advisors and lobbyists. However, this work is in a relatively nascent stage. As a result, new laws and regulations may be proposed and adopted in the United States and internationally, or existing laws and regulations may be interpreted in new ways, that harm the digital asset economy or digital asset platforms, which could adversely impact our business.</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failure to comply with trade compliance and economic sanctions laws and regulations of the United States and applicable international jurisdictions could materially adversely affect our reputation and results of operations.</w:t>
      </w:r>
    </w:p>
    <w:p>
      <w:pPr>
        <w:spacing w:after="0" w:line="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business must be conducted in compliance with applicable economic and trade sanctions laws and regulations, such as those administered and enforced by the U.S. Department of Treasury’s Office of Foreign Assets Control, the U.S. Department of State, the U.S. Department of Commerce, the United Nations Security Council and other relevant sanctions authorities. Our global operations expose us to the risk of violating, or being accused of violating, economic and trade sanctions laws and regulations.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 Our interactions with the digital assets and the blockchain may expose us to entities on OFAC’s Specially Designated Nationals and Blocked Persons (“SDN”) list. However, because of the pseudonymous nature of blockchain transactions, we may inadvertently and without our knowledge engage in transactions with persons named on OFAC’s SDN list. We also may not be adequately capable of determining the ultimate identity of the persons with whom we transact.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we do not obtain and maintain the appropriate state licenses, we will not be allowed to produce or service loans or provide other services in some states, which could materially and adversely affect our business, financial condition, results of operations, and prospects.</w:t>
      </w:r>
    </w:p>
    <w:p>
      <w:pPr>
        <w:spacing w:after="0" w:line="1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operations are subject to regulation, supervision and licensing under various U.S. federal, state and local statutes, ordinances and regulations. In most states in which we operate, a regulatory agency regulates and enforces laws relating to companies, such as us, engaged in loan origination and servicing, money transmission, virtual currency activities, and other related activities. These rules and regulations, which vary from state-to-state, generally provide for entity-level licensing, including as a mortgage or consumer lender, loan or mortgage broker, loan or mortgage servicer, debt collector or collection agency, third-party default specialist, money transmitter, or virtual currency business, as applicable, as well as licensure for certain individuals involved in the foregoing businesses. They also may include requirements as to the form and content of contracts and other documentation, team member hiring and background checks requirements, restrictions on origination, brokering and collection practices, limitations on fees and charges, disclosure and record-keeping requirements, and requirements related to protection of borrowers’ or customers’ rights. The existing regulations to which we are subject may be challenging and costly to comply with, and future legislation and changes in existing regulation may significantly increase our compliance costs or reduce the amount of fees we may charge. The rapidly evolving legal and regulatory environment for digital assets poses additional challenges, as new legislation and regulations or changes in enforcement priorities could impact our operations and business model. Our failure to obtain and maintain required regulatory licenses and our failure to comply with such licenses and related regulations could materially and adversely affect our business. Changes in law or regulatory or enforcement frameworks could make our business cost-prohibitive in the affected state or states and could materially and adversely affect our business.</w:t>
      </w:r>
    </w:p>
    <w:p>
      <w:pPr>
        <w:spacing w:after="0" w:line="1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must comply with requirements to report to the state regulators certain changes to our business; for instance, the maintenance of certain state licenses requires the submission of information regarding and the approval of control persons of the licensed entity which, depending on applicable state law, may include, for example, persons with a direct or indirect ownership interest of 10% or more of the outstanding interests or voting power of our company or a particular entity within our structure. A failure to provide timely notice of, and obtain prior approval for, certain business changes (such as changes in control) can raise significant risks in certain states, such as suspension or revocation of licenses in such states, prevention from engaging in the applicable regulated activity covered by such licenses (including, for example, originating and servicing loans) in such states, imposition of administrative fines, penalties, or enforcement actions or civil and/or criminal penalties, and negative impact to our operations and growth prospects. Any of the foregoing consequences could adversely impact our business in such state, be reportable to other regulatory authorities or contract counterparties, and negatively impact our business, relationship, eligibility, or standing with such other regulatory authorities or counterparties. While we endeavor at all times to maintain all licenses and registrations applicable to the activities in which we engage, there is a risk that the state licensing agencies may require advance notifications or approvals for business changes that we cannot provide or satisfy, or that they may interpret the licensing requirements in a manner that differs from the published statutes, regulations, or guidance or our interpretation of such.</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enter new markets or engage in new business activities, we may be required to comply with new laws, regulations and licensing requirements. As part of licensing requirements, we are typically required to designate individual licensees of record. We cannot ensure that we are, and will always remain, in full compliance with all relevant licensing laws and regulations, including because interpretation of those laws and regulations may change over time, and we may be subject to fines or penalties, including license suspension or revocation, for any non-compliance. If in the future a state agency were to determine that we are required to obtain additional licenses in that state in order to transact business, or if we lose an existing license or are otherwise found to be in violation of a law or regulation, our business operations in that state may be suspended, enjoined, or restricted until we obtain the license or otherwise remedy the compliance issue. Such findings also could subject us to reputational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hold state licenses that result in substantial costs, including licensing fees and compliance costs, and our business, financial condition, and results of operations would be adversely affected if our licenses were impaired as a result of noncompliance with those requirements.</w:t>
      </w:r>
    </w:p>
    <w:p>
      <w:pPr>
        <w:spacing w:after="0" w:line="1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currently hold state licenses in connection with our lending and servicing, money transmission, virtual currency, and other related activities. For as long as we engage in such regulated activities, we must comply with certain state licensing requirements, pay applicable licensing fees, and comply with varying compliance obligations that may be applicable in all the states and territories in which we operate, as well as the District of Columbia. Changes in licensing laws may result in increased disclosure requirements, higher fees, or the imposition of other conditions to licensing that we may be unable to meet. In most, if not all, of the states in which we operate, regulatory agencies regulate and enforce laws relating to loan originators, brokers, servicers, collection agencies, money transmitters, virtual currency businesses, and similar financial services activities. We are subject to periodic examinations by state and other regulators in the jurisdictions in which we conduct business, which can result in increased administrative costs, obligations to issue refunds to customers for certain fees collected by us, substantial penalties due to compliance errors, revocations of licenses, or other impairments in our ability to do business. Fines and penalties incurred in one jurisdiction may trigger investigations or other actions by regulators in other jurisdictions.</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result of the Recombination, we are required to re-apply for our required licenses. While we are in the process of seeking these approvals, we cannot guarantee that we will be able to obtain or maintain all required licenses and permits. Based on the timelines indicated by the various state regulators, we expect to receive the license approvals needed with respect to the Recombination over a period of 30 to 120 days from the dates on which we re-applied for our licenses, which occurred in June 2025. If we change or expand our business activities, we may be required to obtain additional licenses before engaging in those activities. If we apply for a new license, a regulator may determine that we were required to do so at an earlier point in time, and as a result, may impose penalties or refuse to issue the license, which could require us to modify or limit our activities in the relevant state. In addition, obtaining the required new license will subject us to additional licensing fees, which may be substantial.</w:t>
      </w:r>
    </w:p>
    <w:p>
      <w:pPr>
        <w:spacing w:after="0" w:line="1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States may also expand or otherwise modify their current laws or regulations, and we may not be able to comply with such updated laws or regulations or maintain all requisite licenses and permits in such states or our costs of compliance with and maintenance of such licenses or permits may materially increase.</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addition, states that currently do not extensively regulate our business may later choose to do so in the future and, if such states so act, we may not be able to obtain or maintain all requisite licenses and permits, which could require us to modify or limit our activities in the relevant state or states.</w:t>
      </w:r>
    </w:p>
    <w:p>
      <w:pPr>
        <w:spacing w:after="0" w:line="11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Failure to satisfy these and other regulatory requirements could result in a default under our warehouse credit facilities, other financial arrangements and/or servicing agreements and, thereby, adversely affect our business, financial condition, and results of operations.</w:t>
      </w:r>
    </w:p>
    <w:p>
      <w:pPr>
        <w:spacing w:after="0" w:line="10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Litigation, regulatory actions, and compliance issues could subject us to significant fines, penalties, judgments, remediation costs, negative publicity, changes to our business model, and requirements resulting in increased expenses.</w:t>
      </w:r>
    </w:p>
    <w:p>
      <w:pPr>
        <w:spacing w:after="0" w:line="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business is subject to increased risks of litigation and regulatory actions due to several factors and from various sources, including the highly regulated nature of the financial services industry and the focus of state and federal enforcement agencies on this sector. The evolving regulatory landscape, with heightened scrutiny and enforcement, further exacerbates these risks.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From time to time, we are involved in, or the subject of, reviews, requests for information, investigations and proceedings (both formal and informal) by state and federal governmental agencies and other self-regulatory organizations, regarding our business activities and our qualifications to conduct our business in certain jurisdictions, which could subject us to significant fines, penalties, obligations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change our business practices and other requirements resulting in increased expenses and diminished earnings, in the event of negative findings arising from these reviews. Our involvement in any such matter also could cause significant harm to our reputation and divert management attention from the operation of our business, even if the matters are ultimately determined in our favor. Moreover, any settlement, or any consent order or adverse judgment in connection with any formal or informal proceeding or investigation by a government agency, may prompt litigation or additional investigations or proceedings as other litigants or other government agencies begin independent reviews of the same activities.</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a number of participants in the financial services industry have been the subject of: (i) putative class action lawsuits; (ii) state attorney general actions and other state regulatory actions; (iii) federal regulatory enforcement actions, including, among others, actions relating to alleged unfair, deceptive or abusive acts or practices; (iv) violations of state licensing, money transmission, and lending laws, including, for example, state laws limiting interest rates and fees; (v) actions alleging discrimination on the basis of race, ethnicity, gender or other prohibited bases; and (vi) allegations of noncompliance with various state and federal laws and regulations relating to originating and servicing mortgage and other consumer loans, money transmission, money services and virtual currency, and other similar financial services. In addition, as a financial services company, errors in performing settlement functions, including clerical, technological, and other errors related to the handling of funds could lead to censures, fines, or other sanctions imposed by applicable regulatory authorities as well as losses and liabilities in related lawsuits and proceedings brought by transaction counterparties and others.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regulatory environment, increased regulatory compliance efforts, and enhanced regulatory enforcement result in significant operational and compliance costs and may prevent us from providing certain products and services. There can be no assurance that these regulatory matters or other factors will not, in the future, affect how we conduct our business and, in turn, may have a material adverse effect on our business. In particular, legal proceedings brought under state consumer protection statutes or under federal consumer financial services statutes may result in a separate fine for each violation of the statute, which, particularly in the case of class action lawsuits, could result in damages substantially in excess of the amounts we earned from the underlying activities. Even if certain regulatory requirements are reduced or eliminated, there can be no assurance that the uncertainty created by such changes will not affect how we conduct our business and, in turn, have a material adverse effect on our business.</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from time to time, through our operational and compliance controls, we identify compliance and other issues that require us to make operational changes and, depending on the nature of the issue, may result in financial remediation to impacted customers. These self-identified issues and voluntary remediation payments could be significant, depending on the issue and the number of customers impacted, and could generate litigation or regulatory investigations that subject us to additional risk. For additional information, see the section titled “Business—Legal Proceedings.”</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compliance and risk management policies, procedures and techniques may not be sufficient to identify all of the financial, legal, regulatory, and other risks to which we are exposed, and failure to identify and address such risks could adversely affect our business, financial condition, and results of operations.</w:t>
      </w:r>
    </w:p>
    <w:p>
      <w:pPr>
        <w:spacing w:after="0" w:line="1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exposed to a wide range of financial, legal, regulatory, and other risks, and our compliance and risk management policies, procedures, and techniques may be insufficient to identify and address all such risks. For example, the majority of our revenues are generated from the recognition of gain on sale from our HELOC product sold into the secondary market, which involves financial risk. If we are unable to effectively identify, manage, monitor, and mitigate financial risks, such as credit risk, interest rate risk, prepayment risk, liquidity risk, and other market-related risks, as well as, through our compliance management system, operational, legal, and regulatory risks related to our business, assets, and liabilities, we could incur substantial losses and our business operations could be materially disrupted. We are also subject to repurchase liabilities for loans sold into the secondary market to the extent the loans are non-compliant, which require us to remediate the loans once repurchased and incur additional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through remediation. These repurchase liabilities can create more risk on our balance sheet and increase our exposure to losses.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also are subject to various laws, regulations, and rules that are not industry-specific, including employment laws, health and safety laws, environmental laws and other federal, state, and local laws, regulations, and rules in the jurisdictions in which we operate. Our risk management policies, procedures, and techniques may not be sufficient to identify all of the risks to which we are exposed, mitigate the risks we have identified or identify additional risks to which we may become subject in the future. Development of our business operations may also result in exposure to risks to which we have not previously been exposed or may increase our exposure to certain types of risks, and we may not effectively identify, manage, monitor, and mitigate these risks as our business activities change or increase.</w:t>
      </w:r>
    </w:p>
    <w:p>
      <w:pPr>
        <w:spacing w:after="0" w:line="13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Changes in applicable laws and regulations, as well as changes in government enforcement policies and priorities, could materially increase our operating costs and negatively impact our ability to offer certain products or the terms and conditions upon which they are offered, and ability to compete, which could have a material adverse effect on our business, financial condition, and results of operations.</w:t>
      </w:r>
    </w:p>
    <w:p>
      <w:pPr>
        <w:spacing w:after="0" w:line="1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Financial services regulation is constantly evolving, and changes in laws, regulations, their interpretations and regulator’s enforcement priorities may have a materially adverse impact on our ability to operate as currently planned, and cause us to incur significant expense in order to ensure compliance. Federal and state financial services regulators actively enforce existing laws, regulations, and rules and are increasing their scrutiny of legal and regulatory compliance risk management. This dynamic regulatory environment complicates business planning and may require adjustments to our business model, potentially adversely impacting our business, financial condition, and results of operations.</w:t>
      </w:r>
    </w:p>
    <w:p>
      <w:pPr>
        <w:spacing w:after="0" w:line="1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Legislative proposals impacting financial services companies are frequently introduced in the U.S. Congress and state legislatures. Enactment of such proposals could substantially and unpredictably alter our operating environment. In addition, federal and state regulators have the authority to promulgate or change regulations with comparable effects. We cannot predict whether any such legislative or regulatory proposals will be enacted , nor can we fully assess the ultimate impact of any enacted legislation, implementing regulations, or regulatory actions on our business, financial condition, and results of operations.</w:t>
      </w:r>
    </w:p>
    <w:p>
      <w:pPr>
        <w:spacing w:after="0" w:line="1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recent periods, there have been a number of enforcement actions within the financial services industry. In addition, the current U.S. administration has enacted, and is expected to continue seeking to enact, changes to numerous areas of law and regulations currently in effect. Any such changes could significantly impact our business. Specific legislative and regulatory proposals discussed during election campaigns and recent public statements that might have a material impact include, without limitation, changes to trade agreements, immigration policy, import and export regulations, tariffs and customs duties, energy regulations, income tax regulations and the federal tax code, public company reporting requirements, and antitrust enforcement. Changes in federal policy are subject to further uncertainty, as changes may be implemented at regulatory agencies over time through policy and personnel changes, which lead to changes involving the level of oversight and focus on the financial services industry or the tax rates paid by corporate entities. The nature, timing and economic effects of potential changes to the current legal and regulatory framework affecting financial institutions under the current presidential administration remain highly uncertain.</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New laws, regulations, policy changes, shifts in enforcement priorities, or reassessments of existing practices applicable to our business could adversely impact our profitability, limit our ability to continue existing or pursuit of new business activities, necessitate changes to our business practices, affect retention of key personnel, or expose us to additional costs (including increased compliance costs and/or customer remediation expenses). Adapting to these changes may require us to invest significant resources and devote significant management attention to make any necessary changes, and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CFPB historically has been active in its monitoring of the loan production and servicing sectors. New or revised rules and regulations and more stringent enforcement of existing rules and regulations by the CFPB could result in increased compliance costs, enforcement actions, fines, penalties, and the inherent reputational harm that results from such actions. Additionally, a pause in CFPB rulemaking and enforcement activity also could result in uncertainty regarding the risk of certain business activities and the potential for future liability arising out of such activities, along with the potential for heightened state-level activity.</w:t>
      </w:r>
    </w:p>
    <w:p>
      <w:pPr>
        <w:spacing w:after="0" w:line="1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CFPB, which commenced operations in July 2011, has broad authority to create and modify regulations under certain enumerated federal consumer financial protection laws and regulations, such as the TILA and Regulation Z, the RESPA and Regulation X, the ECOA and Regulation B, the FCRA and Regulation V, the Electronic Funds Transfer Act and Regulation E, among other laws and regulations, and to enforce compliance with those laws. The CFPB supervises non-depository mortgage brokers, mortgage originators, and mortgage servicers, as well as banks, thrifts, and credit unions with assets over $10 billion, and it supervises and examines certain of our partners. Further, the CFPB is charged with the examination and supervision of certain participants in the consumer financial services market, including non-depository mortgage originators and servicers, and larger participants in other areas of financial services. The fact that we are subject to the CFPB’s supervisory authority as a non-depository mortgage originator and servicer generally increases the level of regulatory scrutiny over our business practices. The CFPB is also authorized to prohibit unfair, deceptive, or abusive acts or practices through its rulemaking, supervisory and enforcement authority. To assist in its enforcement, the CFPB has maintained an online complaint system that allows consumers to log complaints with respect to various consumer finance products, including our loan products.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through its complaint system, that we were engaging in activities that pose risks to our customers.</w:t>
      </w:r>
    </w:p>
    <w:p>
      <w:pPr>
        <w:spacing w:after="0" w:line="13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There has been uncertainty about the future of the CFPB and how its strategies and priorities, including in both its examination and enforcement processes, would impact our business, financial condition, and our results of operations going forward. In recent years, this uncertainty has included the examination and enforcement priorities of the previous director of the CFPB under the Biden administration, which included safeguarding against algorithmic bias. In addition, evolving views regarding the use of alternative variables and machine learning in assessing credit risk, which the CFPB identified previously as a regulatory focus, could result in the CFPB taking actions that result in requirements to alter or cease offering affected financial products and services, making them less attractive and restricting our ability to offer them. The CFPB could also implement rules that restrict our effectiveness in servicing our financial products.</w:t>
      </w:r>
    </w:p>
    <w:p>
      <w:pPr>
        <w:spacing w:after="0" w:line="1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With the current administration, the CFPB’s influence is continuing to evolve, with uncertainty regarding the agency’s role going forward. Current CFPB leadership recently indicated that the agency will not draw additional funds from the Federal Reserve, instructed CFPB employees to cease all enforcement, investigations, supervision, rulemaking, and other activities that are not either expressly approved by the Acting Director or are expressly required by law, and proposed significant workforce reductions. While some executive branch staff and lawmakers have called for the complete elimination of the CFPB, the leadership slated to head the CFPB (subject to Senate confirmation) suggests the possibility of the agency continuing to exist with, perhaps, reduced or modified supervision and enforcement priorities. While there is the potential for a reduction in CFPB enforcement over the term of the current administration, this is not certain, and the laws and regulations the agency is charged with implementing will not be eliminated absent legislative or agency action, and in many cases have long limitations periods, meaning that the risks associated with non-compliance or alleged non-compliance may continue to exist after the current administration’s term has ended.</w:t>
      </w:r>
    </w:p>
    <w:p>
      <w:pPr>
        <w:spacing w:after="0" w:line="13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current administration also has appointed or is expected to nominate or appoint leadership at other federal agencies such as the FTC, the OCC, and the Federal Deposit Insurance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(“FDIC”). It is possible that these regulators could promulgate rulemakings and bring enforcement actions that adversely affect our business and/or the business of our partners. An actual or perceived reduction in federal oversight has the potential to lead to a more fragmented regulatory environment, with state financial regulators and attorneys general—particularly in “blue” states (e.g., California with its Department of Financial Protection and Innovation), but likely also in at least some “red” states—potentially becoming more strident in response to retrenchment at the federal level. Federal retrenchment also carries the risk of the various states interpreting federal consumer financial protection laws differently, while also enforcing their unique state law regimes (including, in some cases, state laws that deem federal law violations to be state law violations, as well), further complicating the compliance burden for regulated entities. Additionally, the long statutes of limitation contained in some federal laws and regulations mean that past conduct may still be subject to enforcement by governmental agencies or litigation involving private plaintiffs in the future, particularly to the extent existing laws and regulations continue to be in effect, notwithstanding any pauses or reduction in federal enforcement that may occur during the Trump administration. Although we have committed resources to enhancing our compliance programs, future actions by the CFPB or other regulators against us, our partners or our competitors could discourage the use of our services or those of our partners, which could result in reputational harm, a loss of customers, or loan purchasers in our loan funding programs, or discourage the use of our or their services and adversely affect our business, financial condition, and results of operations.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or we may be unable to offer our products in their current form without significant changes to our underwriting, loan origination, or other practices. This is particularly true with respect to the application of the Equal Credit Opportunity Act and Regulation B to credit risk models that rely upon alternative variables and machine learning, an area of law where regulatory guidance is currently uncertain and still evolving, and for which there are not well-established regulatory norms for establishing compliance.</w:t>
      </w:r>
    </w:p>
    <w:p>
      <w:pPr>
        <w:spacing w:after="0" w:line="1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compliance and operational costs and litigation exposure could increase if and when the CFPB or another federal or state agency amends or finalizes any proposed regulations, or if the CFPB or other federal or state regulators enact new regulations, change regulations that were previously adopted, modify, through supervision or enforcement, past regulatory guidance, or interpret existing regulations in a manner that is different or stricter than previous interpretations. Further, if future federal or state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Our business, financial condition, and results of operations could also be affected if the CFPB, or another regulator, were to issue a consent decree or other similar order against us.</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origination and servicing policies and procedures, as well as other policies and procedures covering certain aspects of our business, are subject to examination by our regulators, and the results of these examinations may require substantial financial resources to remediate or make changes to our business practices.</w:t>
      </w:r>
    </w:p>
    <w:p>
      <w:pPr>
        <w:spacing w:after="0" w:line="1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examined by numerous regulatory agencies, including in connection with our activities as a non-depository loan originator and servicer, money transmitter, broker-dealer and ATS, investment adviser, and transfer agent, for compliance with federal, state and local laws, rules, and guidelines. It is possible that any of these regulators will inquire about our practices, policies, or procedures relating to our regulated activities and require us to revise them in the future. The occurrence of one or more of the foregoing events or a determination by any court or regulatory agency that our practices, policies and procedures do not comply with applicable law could lead to downgrades by one or more rating agencies of the bonds issued by our securitization trusts, a transfer of our servicing responsibilities, increased delinquencies on the loans we service, other adverse impacts, or any combination of these events.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determination could also require us to modify our servicing standards or our practices, policies, or procedures relating to our regulated activities.</w:t>
      </w:r>
    </w:p>
    <w:p>
      <w:pPr>
        <w:spacing w:after="0" w:line="9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also supervised by regulatory agencies under state law. State attorneys general, state licensing regulators, and state and local consumer protection offices have authority to investigate consumer complaints and commence investigations and other formal and informal proceedings regarding our operations and activities. In addition, we are subject to periodic reviews and audits by state financial regulators, various investors, non-agency securitization trustees, repurchase warehouse facility providers, and others. A determination of our failure to comply with applicable law or other relevant requirements could lead to enforcement action, administrative fines and penalties, or other administrative action, which may adversely affect our business, financial condition, and results of operations.</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regulatory regime governing blockchain technologies is uncertain, and new regulations or policies may alter our business practices with respect to blockchain or could adversely impact our business.</w:t>
      </w:r>
    </w:p>
    <w:p>
      <w:pPr>
        <w:spacing w:after="0" w:line="8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use of blockchain technology, including in the primary and secondary loan markets, is still in relatively early stages of growth. Regulation of blockchain-related activities remains uncertain and will continue to evolve. As blockchain technology has grown in popularity, federal and state agencies are increasingly taking an interest in, and in certain cases regulating or commencing litigation or enforcement actions based on, its use and operation, and our activities with respect to blockchain may be restricted or curtailed.</w:t>
      </w:r>
    </w:p>
    <w:p>
      <w:pPr>
        <w:spacing w:after="0" w:line="1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laws and regulations to which we are subject, including those pertaining to blockchain-related activities, are rapidly evolving and increasing in scope. There has been guidance, reports, and public statements issued by federal and state financial regulators regarding the legal permissibility of, and supervisory considerations relating to, financial institutions engaging in blockchain-related activities. We continue to monitor these developments closely and seek to ensure that our blockchain-related activities conform with applicable requirements. However, if we are found to not comply with such requirements, we could be subject to administrative enforcement actions, lawsuits, civil and criminal penalties, and other legal and reputational harm, which could adversely affect our business, financial condition, and results of operations.</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characterization of HASH as a security may subject us to operational changes, litigation, and significant liability under applicable securities laws, which could have a material adverse effect on our business, financial condition, and results of operations.</w:t>
      </w:r>
    </w:p>
    <w:p>
      <w:pPr>
        <w:spacing w:after="0" w:line="1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May 2021, FT launched Provenance Blockchain 2.0 and concurrently created and sold HASH to facilitate the creation of the blockchain. Because we operate our business and use Provenance Blockchain on the basis that HASH is not characterized as a “security” for purposes of U.S. federal or state securities laws, the classification of HASH as a security would have wide-ranging implications for the regulatory obligations that flow from the offer, sale and trading of HASH. A digital asset that is deemed to be a security in the United States may only be offered or sold pursuant to a registration statement filed with the SEC or in an offering that qualifies for an exemption from registration under the Securities Act, and persons that effect transactions in, that record or match transactions, or provide a trading venue for, digital assets that are securities in the United States may be subject to registration with the SEC as a “broker,” “dealer,” “exchange,” “transfer agent” or “clearing agency,” as applicable.</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utilize Provenance Blockchain as a recordkeeping source, and Provenance Blockchain relies on HASH to function. Participants incur certain “gas” fees in connection with their use of Provenance Blockchain, which are paid in the form of HASH. If HASH were characterized as a security, Provenance Blockchain in its current form would be inoperable or impracticable for our purposes. As a result, the characterization of HASH as a security would likely require us to move our blockchain-related activities to a new blockchain or continue to rely entirely on traditional documentary processes to record asset originations and transfers of ownership, as complying with applicable securities regulations may render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Provenance Blockchain in its current form inoperable or impracticable for the purposes for which we use it. While we currently maintain traditional documentary processes to record asset originations and transfers, the additional recording of such originations and transfers on Provenance Blockchain is expected to present significant operational advantages in the future that we believe will contribute to our growth and improve our results of operations over time. If HASH were to be deemed a security and Provenance Blockchain were to become inoperable or impractical for our purposes, we may be required to move our blockchain-related activities to a new blockchain, which would require additional resources and costs.</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result of the failure to comply with applicable securities law requirements if HASH were deemed a security, FT could also face regulatory fines, enforcement actions and litigation. FLC, as an affiliate of FT at the time HASH was created and sold, could become a party to such litigation and enforcement actions and may be subject to liability as a successor to FT. FT may also be subject to claims that it violated U.S. federal or state securities laws, including but not limited to Section 5 of the Securities Act, and may be obligated to pay rescissionary payments or damages in connection with such claims (including to holders of HASH). As an entity that was formerly affiliated with the founder and promoter of Provenance Blockchain, FLC could also become subject to claims of aiding and abetting violations of U.S. federal or state securities laws in furtherance of the blockchain-related activities conducted by FT. Any such operational changes, litigation, enforcement actions, or securities law liability could have a material adverse effect on our business, financial condition, and results of operations.</w:t>
      </w:r>
    </w:p>
    <w:p>
      <w:pPr>
        <w:spacing w:after="0" w:line="12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use of Provenance Blockchain subjects us to reputational risk that could adversely affect our business, and the failure to maintain blockchain-related activities in our operations could have a significant adverse effect on our growth, the operational and cost efficiencies anticipated from the use of our platform, and the marketability of our platform.</w:t>
      </w:r>
    </w:p>
    <w:p>
      <w:pPr>
        <w:spacing w:after="0" w:line="1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Provenance Blockchain is associated with any illicit activity, our reputation, as a prominent user of the blockchain, could be adversely affected, which could adversely affect our business, financial condition, and results of operations. Because Provenance Blockchain is a public and permissionless blockchain, users can interact directly with a market-making smart contract or on-chain trading mechanism to exchange one type of asset for another without any centralized intermediary. Due to this lack of centralized control or governing bodies, and considering other factors, including the speed with which transactions can be conducted on a blockchain, the ability to engage in transactions across multiple jurisdictions, the irreversible nature of certain transactions, the encryption technology that anonymizes these transactions, and the fact that blockchain-based assets have no physical form, blockchain-based assets are potentially susceptible to use in illegal activity such as fraud, money laundering, tax evasion, and other types of cybercrime. Digital asset platforms have been shut down or experienced losses of assets placed on the platform as a result of cybercrime, and any such event is likely to result in the complete loss of assets placed on such a platform. Any negative news or regulatory events associated with Provenance Blockchain could raise questions from our investors and cause reputational harm to us.</w:t>
      </w:r>
    </w:p>
    <w:p>
      <w:pPr>
        <w:spacing w:after="0" w:line="12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we are unable to use the Provenance Blockchain or if we believe that reputational harm may result from our use of Provenance Blockchain, we may also be required to move our blockchain-related activities to a new blockchain. While Figure Connect, DART, Figure Exchange, YLDS, and Democratized Prime rely on the use of blockchain technology, our LOS does not rely on the use of blockchain technology, and all asset originations and transfers of ownership in our LOS are recorded through traditional documentary processes in accordance with state and local requirements. In addition to such processes, the information associated with the origination of an asset and any subsequent transfers of such asset are recorded with a unique hash value on Provenance Blockchain, which is generated by using a cryptographic algorithm and provides a secure, immutable record of data provenance, as any alteration in the data would result in a different hash, signaling tampering. While we maintain traditional documentation to record asset ownership and transfer, we believe that the additional recording of assets using blockchain technology presents significant operational advantages that will contribute to our growth and the improvement of our results of operations over time. If we experience reputational issues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3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Provenance Blockchain and are unable to move our blockchain-related activities to a new blockchain, the failure to implement such activities on a new blockchain could have a significant adverse effect on our growth, the operational and cost efficiencies anticipated from the use of our platform, and the marketability of our platform.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Challenges to DART could materially and adversely affect our business, financial condition, and results of operations.</w:t>
      </w:r>
    </w:p>
    <w:p>
      <w:pPr>
        <w:spacing w:after="0" w:line="1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DART, which we developed, is an electronic registry that tracks servicing rights and ownership of loans in the United States. We have used in the past, and currently use, DART as a lien and eNote registry system. As of March 31, 2025, 71 entities have executed agreements to participate in DART as an originator, secured party/financier, loan buyer, servicer, and/or custodian. In March 2024, we began making DART available for use by select partners, and, as of March 31, 2025, there were 11,801 loans that relied on DART as a registry. DART is part of a dual registry for real property records. DART Collateral Manager LLC acts as the trustee for platform-originated loans. DART Portfolio Manager LLC facilitates and documents subsequent transfers. DART monitors all DART Portfolio Manager LLC transactions and automatically updates the DART registry with real-time control changes. All DART records are stored on-chain and security interests reflected on the DART registry are recognized by Figure Connect participants via their assent to uniform DART Participation Rules. Although we have conducted analyses and surveys of applicable state and federal statutory law, case law, regulations, and regulatory guidance to determine that DART, in conjunction with the dual registry process explained above, constitutes a valid and effective lien and electronic note registry, if the use of DART were found not valid or effective, we could be obligated, or choose, to take remedial actions and may be subject to additional costs or losses. If this were to occur, as well as any failures to apply prudent and effective process controls in our use of DART and to comply with legal and other requirements in the foreclosure process, it could pose operational, reputational, and legal risks that could materially and adversely affect our business, financial condition, and results of operations.</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Regulatory agencies and consumer advocacy groups have been aggressive in asserting claims that the practices of lenders and loan servicers result in a disparate impact on or unfair treatment of protected classes. We could suffer reputational damage and could be fined or otherwise penalized if our practices are found to have a discriminatory effect or to be unfair.</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Anti-discrimination statutes, such as the Fair Housing Act and the Equal Credit Opportunity Act, prohibit creditors from discriminating against loan applicants and borrowers based on certain characteristics, such as race, religion, and national origin. Various U.S. federal regulatory agencies and departments, including the U.S. Department of Justice and the CFPB, have previously taken the position that these laws apply not only to intentional discrimination, but also to neutral practices that have a disparate impact on a group that shares a characteristic that a creditor is not permitted to consider in making credit decisions (i.e., creditor or servicing practices that have a disproportionate negative effect on a protected class of individuals).</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These regulatory agencies, as well as consumer advocacy groups and plaintiffs’ attorneys have focused on “disparate impact” claims, and the U.S. Supreme Court confirmed that the “disparate impact” theory applies to cases brought under the Fair Housing Act. Although it is still unclear whether the “disparate impact” theory applies under the Equal Credit Opportunity Act, some regulatory agencies and private plaintiffs may continue to apply it to both the Fair Housing Act and the Equal Credit Opportunity Act in the context of mortgage lending and servicing. To the extent that the “disparate impact” theory continues to apply, we may be faced with significant administrative burdens in attempting to comply and potential liability for failures to comply.</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Additionally, in March 2022, the CFPB announced that, in the course of examining companies’ compliance with consumer protection rules, the CFPB will scrutinize discriminatory conduct that violates the federal prohibition against unfair practices, indicating that certain discriminatory practices may trigger liability under the Consumer Financial Protection Act, which prohibits unfair, deceptive and abusive 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practices, regardless of whether liability is triggered under the Equal Credit Opportunity Act. The CFPB stated that discrimination may meet the standard for “unfairness” regardless of whether it was intentional. Although a federal court subsequently vacated the CFPB’s updates to its examination manual that directed examiners to cite discriminatory conduct as a potential unfair practice, the CFPB appealed this ruling under the previous administration. On April 30, 2025, the CFPB and the plaintiffs in the litigation regarding the CFPB’s updates to its examination manual filed a joint stipulation to dismiss the appeal with the United States Court of Appeals for the Fifth Circuit.</w:t>
      </w:r>
    </w:p>
    <w:p>
      <w:pPr>
        <w:spacing w:after="0" w:line="1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Under the current administration, the CFPB’s and other federal agencies’ influence and emphasis on fair lending matters can be expected to evolve. Nevertheless, to the extent the Equal Credit Opportunity Act and the Fair Housing Act remain law, even if there is reduced rulemaking and enforcement of these laws, we will continue to be subject to their limitations, meaning that the risks associated with non-compliance or alleged non-compliance will continue to exist.</w:t>
      </w:r>
    </w:p>
    <w:p>
      <w:pPr>
        <w:spacing w:after="0" w:line="12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addition to reputational harm, violations of the Equal Credit Opportunity Act and the Fair Housing Act can result in actual damages, punitive damages, injunctive or equitable relief, attorneys’ fees, and civil money penalties. The CFPB can seek several remedies under the Consumer Financial Protection Act including, but not limited to, rescission or reformation of contracts, refunds of money, restitution, disgorgement, payment of damages, and civil money penalties.</w:t>
      </w:r>
    </w:p>
    <w:p>
      <w:pPr>
        <w:spacing w:after="0" w:line="12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Further, the previous administration was focused on preventing discrimination in the residential home valuation process. For example, in February 2022, the CFPB and seven other federal agencies sent a joint letter to The Appraisal Foundation (“TAF”) emphasizing that discrimination prohibitions under the Fair Housing Act and the Equal Credit Opportunity Act extend to appraisals, and the CFPB released an outline of possible options for future rulemaking to prevent algorithmic bias in automated home valuation models. In March 2022, HUD delivered to President Biden an Interagency Task Force on Property Appraisal and Valuation Equity Action Plan (“PAVE”), which, among other things, describes efforts the task force—which includes 13 federal agencies—plans to take to reduce racial bias in home appraisals. In February 2023, the CFPB, HUD, and other federal regulators submitted a joint letter to TAF urging TAF to further revise its draft Ethics Rule for appraisers to include a detailed statement of federal prohibitions against discrimination under the Fair Housing Act and the Equal Credit Opportunity Act. In March 2023, the U.S. Department of Justice and the CFPB filed a statement of interest in a federal court appraisal bias case, asserting that a lender violates both the Fair Housing Act and the Equal Credit Opportunity Act “if it relies on an appraisal that it knows or should know to be discriminatory.” However, with the current administration, the PAVE task force’s website recently was taken down, apparently in connection with the administration’s efforts to end government Diversity, Equity, and Inclusion (“DEI”) initiatives, which may signal, but does not confirm, the potential for reduced or differing focus on preventing discrimination in the residential home valuation process. However, even if the federal agency emphasis on these issues changes, state regulatory authorities could become more strident in response to the federal-level retrenchment, potentially by implementing new legislation, regulations, or guidance, or initiating enforcement aimed at preventing discrimination in the residential home valuation process. Changes to home valuation rules and expectations could obligate us to modify our valuation-related processes and practices. If we are unable to make the necessary adjustments, our reputation could be harmed, our business could be adversely affected, and we could be subject to liability under various laws, such as the Fair Housing Act, Equal Credit Opportunity Act, the Consumer Financial Protection Act, and similar state laws.</w:t>
      </w:r>
    </w:p>
    <w:p>
      <w:pPr>
        <w:spacing w:after="0" w:line="13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Certain transactions in digital assets may constitute “retail commodity transactions” subject to regulation by the CFTC as futures contracts. If digital asset transactions we facilitate are deemed to be such retail commodity transactions, we would be subject to additional regulatory requirements, licenses and approvals, and potentially face regulatory enforcement, civil liability, and significant increased compliance and operational costs.</w:t>
      </w:r>
    </w:p>
    <w:p>
      <w:pPr>
        <w:spacing w:after="0" w:line="11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Any transaction in a commodity, including a digital asset commodity, entered into with or offered to retail investors using leverage, margin, or other financing arrangements (a “retail commodity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is subject to CFTC regulation as a futures contract unless such transaction results in actual delivery within 28 days. For these purposes, a retail investor means a person who is not an “eligible contract participant” for CFTC regulatory purposes. The meaning of “actual delivery” has been the subject of commentary and litigation, and in 2020, the CFTC adopted interpretive guidance addressing the “actual delivery” of a digital asset. In addition to trading in existing digital assets such as Bitcoin or Ether on a leveraged or financed basis, based on recent CFTC enforcement actions, these retail commodity transaction rules may also be implicated by certain digital assets, such as “leverage tokens,” that feature or are designed to offer inherent leveraged exposure to some other digital asset.</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currently and have previously offered leveraged or margined trading in digital assets as part of our Figure Markets business, but such offering is limited to (i) U.S. customers who are “eligible contract participants” and (ii) international customers. However, there is no guarantee that the steps we take to verify U.S. customer “eligible contract participant” status and exclude U.S. retail customers from accessing this offering will be effective. In the event such steps are not effective, or other digital asset transactions that we facilitate or facilitated are deemed retail commodity transactions, including pursuant to current or subsequent rulemaking or guidance by the CFTC, we may be subject to additional regulatory requirements and oversight, and we could be subject to judicial or administrative sanctions if we do not or did not at a relevant time possess appropriate registrations. The CFTC has previously brought enforcement actions against entities engaged in retail commodity transactions without appropriate registrations, as well as recent enforcement settled orders against developers of decentralized platforms.</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Particular digital assets or transactions therein could be deemed “commodity interests” (e.g., futures, options, swaps) or security-based swaps subject to regulation by the CFTC or SEC, respectively. If a digital asset that we facilitate trading in is deemed a commodity interest or a security-based swap, we would be subject to additional regulatory requirements, registrations and approvals, and potentially face regulatory enforcement, civil liability, and significant increased compliance and operational costs.</w:t>
      </w:r>
    </w:p>
    <w:p>
      <w:pPr>
        <w:spacing w:after="0" w:line="11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noted above, commodity interests transactions, as such term is defined by CFTC rules and regulations, include futures, options, swaps, and other derivatives on an underlying commodity, are subject to plenary regulation and supervisory oversight by the CFTC, including rules requiring the registration of entities engaged in, and platforms offering, certain exchange and intermediary functions in respect of commodity interest transactions. This CFTC regulatory and supervisory authority extends to commodity interest transactions involving any digital asset commodity, such as digital asset futures contracts and swaps and other transactions that are based on current and future prices of digital assets and indices of digital assets. To the extent that a digital asset in which we facilitate or facilitated trading or transactions in a digital asset which we facilitate or facilitated are deemed to fall within the definition of a commodity interest, including pursuant to subsequent rulemaking or guidance by the CFTC, we may be subject to additional regulatory requirements and oversight and could be subject to judicial or administrative sanctions if we do not or did not at a relevant time possess appropriate registrations as an exchange (for example, as a designated contract market for trading futures or options on futures, or as a swaps execution facility for trading swaps) or as a registered intermediary (for example, as a futures commission merchant or introducing broker). Such actions could result in injunctions, cease and desist orders, civil monetary penalties, fines, disgorgement, and reputational harm. The CFTC has previously brought enforcement actions against entities engaged in digital asset activities for failure to obtain appropriate exchange, execution facility and intermediary registrations.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Furthermore, the CFTC and the SEC have jointly adopted regulations defining “swaps” and “security-based swaps.” Security-based swaps include swaps based on single securities and narrow-based indices of securities. If a digital asset is deemed to be a security, certain transactions referencing that digital asset could constitute a security-based swap. A digital asset or transaction therein that is based on or references a security or index of securities, whether or not such securities are themselves digital assets, could also constitute a security-based swap. To the extent that a digital asset in which we facilitate or have facilitated trading or transactions in a digital asset which we facilitate or have facilitated are deemed to fall within the definition of a security-based swap, including pursuant to subsequent rulemaking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guidance by the CFTC or SEC, we may be subject to additional regulatory requirements and oversight by the SEC and could be subject to judicial or administrative sanctions if we do not or did not a relevant time possess appropriate registrations as an exchange (for example, as a security-based swaps execution facility) or as a registered intermediary (for example, as a security-based swap dealer or broker-dealer). This could result in injunctions, cease and desist orders, civil monetary penalties, fines, disgorgement, and reputational harm.</w:t>
      </w:r>
    </w:p>
    <w:p>
      <w:pPr>
        <w:spacing w:after="0" w:line="12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public company, we will be subject to the reporting requirements of the Exchange Act, the Sarbanes-Oxley Act of 2002 (the</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“Sarbanes-Oxley Act”), the Dodd-Frank Act, the listing requirements of and other applicable securities rules and regulations. Compliance with these rules and regulations will increase our legal and financial compliance costs, make some activities more difficult, time consuming, or costly, and increase demand on our systems and resources, especially once we are no longer an “emerging growth company,” as defined in the JOBS Act. For additional information, see the section titled “—Risks Related to Ownership of Our Securities —We are an ‘emerging growth company,’ and we cannot be certain if the reduced disclosure requirements applicable to emerging growth companies will make our Class A common stock less attractive to investors.” The Exchange Act requires, among other things, that we file annual, quarterly, and current reports with respect to our business and results of operations. In addition, we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3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executive officers have limited experience in dealing with the increasingly complex laws pertaining to public companies, which may increase the amount of their time devoted to these activities and result in less time being devoted to the management and growth of the business. We continue to evaluate whether we have adequate personnel with the appropriate level of knowledge, experience and training in the accounting policies, practices or internal control over financial reporting required of public companies. We may expand our employee base and hire additional employees to support our operations as a public company, which may in the future cause our operating costs to increase. For additional information, see the section titled “—Regulatory, Tax and Other Legal Risks—If we fail to establish and maintain proper and effective internal control over financial reporting, our ability to produce accurate and timely financial statements could be impaired, investors may lose confidence in our financial reporting and the trading price of our Class A common stock may decline.”</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Being a public company will also make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particularly to serve on our audit committee and compensation committee.</w:t>
      </w:r>
    </w:p>
    <w:p>
      <w:pPr>
        <w:spacing w:after="0" w:line="12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Evolving laws, regulations, and standards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initiate legal proceedings against us, and our business, financial condition, and results of operations could be adversely affected.</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fail to remedy these material weaknesses, experience additional material weaknesses in the future or otherwise fail to continue to design, implement and maintain effective internal control over financial reporting, we may not be able to accurately report our financial condition or results of operations which may adversely affect investor confidence in us and, as a result, the value of our Class A common stock.</w:t>
      </w:r>
    </w:p>
    <w:p>
      <w:pPr>
        <w:spacing w:after="0" w:line="1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becoming a public company, we will be required, under the rules and regulations of the SEC regarding compliance with Section 404 of the Sarbanes-Oxley Act (“Section 404”), to furnish a report by management on, among other things, the effectiveness of our internal control over financial reporting beginning with our second Annual Report on Form 10-K. This assessment will need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 comply with the requirements of being a reporting company under the Exchange Act, including performing the evaluation needed to comply with Section 404, we will need to implement additional internal control over financial reporting, including but not limited to controls over relevant information systems, and hire additional accounting and finance staff. This will require that we incur substantial additional professional fees and internal costs to expand our accounting and finance functions and that we expend significant management efforts. We have spent and expect to continue to spend significant time and resources designing, evaluating and testing our accounting procedures and internal controls. Prior to this offering, we have never been required to test our internal control over financial reporting within a specified period.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2024, the following material weaknesses existed:</w:t>
      </w:r>
    </w:p>
    <w:p>
      <w:pPr>
        <w:spacing w:after="0" w:line="171" w:lineRule="exact"/>
        <w:rPr>
          <w:sz w:val="20"/>
          <w:szCs w:val="20"/>
          <w:color w:val="auto"/>
        </w:rPr>
      </w:pPr>
    </w:p>
    <w:p>
      <w:pPr>
        <w:jc w:val="both"/>
        <w:ind w:left="660" w:hanging="328"/>
        <w:spacing w:after="0" w:line="268"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did not design or maintain an effective control environment commensurate with our financial reporting requirements; specifically, we did not maintain adequate resources in the accounting and finance functions with requisite knowledge, skills, and experience to accurately apply GAAP; and</w:t>
      </w:r>
    </w:p>
    <w:p>
      <w:pPr>
        <w:spacing w:after="0" w:line="116"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did not design and maintain effective risk assessment and monitoring; specifically, we did not maintain adequate accounting function personnel to perform appropriate identification of risk points, and to design, implement, and monitor the effectiveness of internal controls addressing the risk points identified.</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These material weaknesses contributed to several additional material weaknesses. Specifically, we did not (i) design and maintain controls over technical accounting transactions to achieve adequate and timely analysis, (ii) effectively review manual aspects of recording loan assets to ensure that they were properly reflected on our balance sheet, or (iii) adequately review deliverables from management’s valuation specialists.</w:t>
      </w:r>
    </w:p>
    <w:p>
      <w:pPr>
        <w:spacing w:after="0" w:line="12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have not identified a material misstatement to our financial statements resulting from the material weaknesses described above. Nevertheless, we recognize that each of the material weaknesses described above could result in misstatements to substantially all financial statement accounts and disclosures that would result in a material misstatement to the annual or interim consolidated financial statements that would not be prevented or detected on a timely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3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in the process of implementing a plan to remediate the material weaknesses described above. Our remediation plan includes the hiring of additional accounting and financial reporting personnel and implementing additional policies, procedures and controls, all of which have and will continue to cause us to incur additional costs. When we are satisfied the internal control over financial reporting associated with the material weaknesses has been effectively designed and operated within our Company for a sufficient period of time, we will determine if we have remediated our material weaknesses. We have not been required to provide a management assessment of internal control over financial reporting under the rules and regulations of the SEC regarding compliance with Section 404(a) of the Sarbanes-Oxley Act (“Section 404(a)”). It is possible that if we had a Section 404(a) assessment, additional material weaknesses may have been identified. Additionally, our registered independent public accounting firm has not been engaged to perform an audit of our internal control over financial reporting.</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future, it is possible that additional material weaknesses may be identified that we may be unable to remedy before the requisite deadline for those reports. Our ability to comply with the annual internal control over financial reporting requirements will depend on the effectiveness of our financial reporting and relevant information systems and controls across our Company. Any weaknesses or deficiencies or any failure to implement required new or improved controls, or difficulties encountered in the implementation or operation of these controls, could harm our results of operations and cause us to fail to meet our financial reporting obligations or result in material misstatements in our consolidated financial statements, which could adversely affect our business and reduce our stock price.</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Changes in tax laws and examinations by tax authorities could have a material adverse effect on our business, financial condition, and results of operations.</w:t>
      </w:r>
    </w:p>
    <w:p>
      <w:pPr>
        <w:spacing w:after="0" w:line="8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are subject to taxes in the United States under federal, state, and local jurisdictions in which we operate. The governing tax laws and applicable tax rates vary by jurisdiction and are subject to change and interpretation.</w:t>
      </w:r>
    </w:p>
    <w:p>
      <w:pPr>
        <w:spacing w:after="0" w:line="9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be subject to examination in the future, by U.S. federal, state and local, and non-U.S.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 material adverse effect on our business, financial condition, and results of operations. Various tax authorities may disagree with tax positions we take, and if any such tax authorities were to successfully challenge one or more of our tax positions, the results could materially adversely affect our business, financial condition, and results of operations. Further, the ultimate amount of tax payable in a given financial statement period may be impacted by sudden or unforeseen changes in tax laws, changes in the mix and level of earnings by taxing jurisdictions, or changes to existing accounting rules or regulations. 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materially adversely affect our business, financial condition, and results of operations in the periods for which such determination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41"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Our ability to use our deferred tax assets to offset future taxable income may be subject to certain limitations, which could adversely affect our result of operations.</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2024, a full valuation allowance has been recorded against our deferred tax assets to reflect the amount of such assets that is not more likely than not to be realized. Our net deferred tax assets are primarily related to net operating loss carryforwards (“NOLs”). We assess the available positive and negative evidence to estimate if sufficient future taxable income will be generated to utilize the existing deferred tax assets. Certain of our deferred tax assets may expire unutilized or underutilized, which could prevent us from offsetting future taxable income.</w:t>
      </w:r>
    </w:p>
    <w:p>
      <w:pPr>
        <w:spacing w:after="0" w:line="1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also be limited in the portion of NOLs that we can use in the future to offset taxable income for U.S. federal and state income tax purposes. For the year ended December 31, 2024, we had accumulated NOLs for U.S. federal and state tax purposes of approximately $60 million. Under current law, U.S. federal NOLs arising in tax years beginning after December 31, 2017 can be carried forward indefinitely, but the deductibility of such NOLs is limited to 80.0% of current year taxable income beginning after December 31, 2020. Therefore, a lack or insufficiency of future taxable income would adversely affect our ability to utilize NOLs. In addition, under Section 382 of the U.S. Internal Revenue Code of 1986, as amended (the “Code”), a corporation that undergoes an “ownership change” is generally subject to limitations on its ability to utilize its pre-change NOLs and certain credit and capital loss carryforwards to offset future taxable income. A Section 382 ownership change generally occurs if one or more stockholders or groups of stockholders who own at least 5.0% of our capital stock increase their ownership by more than 50 percentage points over their lowest ownership percentage within a rolling three-year period. Future changes in our stock ownership, including changes as a result of this offering and future offerings, as well as other changes that may be outside of our control, could result in additional ownership changes under Section 382 of the Code.</w:t>
      </w:r>
    </w:p>
    <w:p>
      <w:pPr>
        <w:spacing w:after="0" w:line="12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will continue to assess the realizability of our deferred tax assets in the future. Future adjustments in our valuation allowance may be required, which may have a material impact on our quarterly and annual results of operations.</w:t>
      </w:r>
    </w:p>
    <w:p>
      <w:pPr>
        <w:spacing w:after="0" w:line="10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Tax authorities may successfully assert that we should have collected or in the future should collect sales and use, gross receipts, value added, digital services or similar taxes and may successfully impose additional obligations on us, and any such assessments or obligations could adversely affect our business, financial condition, and results of operations.</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application of indirect taxes, such as sales and use tax, value-added tax, goods and services tax, digital services tax, business tax, gross receipts tax, and other similar taxes, to businesses such as ours is a complex and evolving issue. Many of the fundamental statutes and regulations that impose these taxes were established before the adoption and growth of the internet and e-commerce. Significant judgment is required on an ongoing basis to evaluate applicable tax obligations. In many cases, the ultimate tax determination is uncertain because it is not clear how new and existing statutes might apply to our business.</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face various indirect tax audits in various U.S. jurisdictions, and tax authorities may raise questions about or challenge or disagree with our calculation, reporting, or collection of taxes and may require us to collect taxes in jurisdictions in which we do not currently do so or to remit taxes and interest, and could impose associated penalties and fees. For example, following the U.S. Supreme Court decision in South Dakota v. Wayfair Inc., certain states have adopted, or begun to enforce, laws that may require the calculation, collection and remittance of taxes on sales in their jurisdictions, even if we do not have a physical presence in such jurisdictions. A successful assertion by one or more tax authorities requiring us to collect taxes in jurisdictions in which we do not currently do so could result in substantial tax liabilities, including taxes on past sales, as well as penalties and interest, and could harm our business, financial condition, and results of operations. If these liabilities exceed such reserves, our financial condition will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3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a result of these and other factors, the ultimate amount of tax obligations owed may differ from the amounts recorded in our financial statements, and any such difference may adversely impact our results of operations in future periods in which we change our estimates of our tax obligations or in which the ultimate tax outcome is determined.</w:t>
      </w:r>
    </w:p>
    <w:p>
      <w:pPr>
        <w:spacing w:after="0" w:line="119"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Significant changes or developments in U.S. laws or policies, including changes in U.S. trade policies and tariffs and the reaction of other countries thereto, may have a material adverse effect on our business, financial condition, and results of operations.</w:t>
      </w:r>
    </w:p>
    <w:p>
      <w:pPr>
        <w:spacing w:after="0" w:line="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Significant changes or developments in U.S. laws and policies, such as laws and policies surrounding international trade, foreign affairs, manufacturing and development and investment in the territories and countries where we or our customers operate, can materially adversely affect our business, financial condition, and results of operations. The Trump administration has stated its intention to impose new or increased tariff rates on goods imported into the United States, which could lead to corresponding punitive actions by the countries with which the U.S. trades. Any changes or potential changes in trade policies in the United States and the potential corresponding actions by other countries in which we do business could adversely and materially affect our business, financial condition, and results of operations.</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business, financial condition, and results of operations could be adversely affected.</w:t>
      </w:r>
    </w:p>
    <w:p>
      <w:pPr>
        <w:spacing w:after="0" w:line="8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Our business, financial condition, and results of operations could be adversely affected if our assumptions change or if actual circumstances differ from those in our assumptions. Significant assumptions and estimates used in preparing our consolidated financial statements include those related to the determination of the prepayment rates, discount rates, default rates, and servicing rates (as applicable) used in determining the fair value adjustments for loans held for sale, held for investment and servicing assets, to the valuation allowance for deferred tax assets, fair value of warrants, and stock-based compensation, including the fair value of the related common stock and employee awards determined by dividend rate, interest rate, market volatility, and expected term of the respective awards, employee-related costs and other inputs for capitalized internal use software and the related useful life for amortization, and whether or not to consolidate a variable interest entity.</w:t>
      </w:r>
    </w:p>
    <w:p>
      <w:pPr>
        <w:spacing w:after="0" w:line="12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Changes in accounting principles generally accepted in the United States may cause financial reporting fluctuations and could adversely affect our results of operations.</w:t>
      </w:r>
    </w:p>
    <w:p>
      <w:pPr>
        <w:spacing w:after="0" w:line="8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impact on our reported results of operations. Additionally, the adoption of new or revised accounting principles may require that we make significant changes to our systems, processes, and controls, which could negatively affect our results of operations.</w:t>
      </w:r>
    </w:p>
    <w:p>
      <w:pPr>
        <w:spacing w:after="0" w:line="124"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Failure to comply with anti-bribery, anti-corruption and other similar laws could subject us to penalties and other adverse consequences.</w:t>
      </w:r>
    </w:p>
    <w:p>
      <w:pPr>
        <w:spacing w:after="0" w:line="8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are subject to the Foreign Corrupt Practices Act (the “FCPA”), the U.S. domestic bribery statute contained in 18 U.S.C. § 201 and other anti-bribery and anti-corruption laws in the United States, and in the future, countries outside of the United States where we may conduct our activities. Anti-corruption and anti-bribery laws prohibit companies, their employees, agents, representatives, business partners, and third-party intermediaries from authorizing, offering, or providing, directly or indirectly, improper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or benefits to foreign government officials, political parties, and private-sector recipients for the purpose of obtaining or retaining business, directing business to any person, or securing any advantage.</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We cannot assure you that all of our employees, agents, representatives, business partners or third-party intermediaries will not take actions in violation of applicable law for which we may be ultimately held responsible.</w:t>
      </w:r>
    </w:p>
    <w:p>
      <w:pPr>
        <w:spacing w:after="0" w:line="1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allegations or violations of the FCPA or other applicable anti-bribery and anti-corruption laws could result in whistleblower complaints, sanctions, settlements, prosecution, enforcement actions, fines, damages, adverse media coverage, investigations, severe criminal or civil sanctions, or suspension or debarment from government contracts, all of which may have an adverse effect on our reputation, business, and results of operations. Responding to any investigation or action will likely result in a material diversion of management’s attention and resources and significant defense costs and other professional fees.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Figure is required to comply with laws related to anti-money laundering and counter-terrorist financing.</w:t>
      </w:r>
    </w:p>
    <w:p>
      <w:pPr>
        <w:spacing w:after="0" w:line="1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subject to various anti-money laundering and counter-terrorist financing laws, including the BSA in the United States, and similar laws and regulations abroad, which can vary greatly. In the United States, the BSA requires us to, among other things, develop, implement, and maintain a risk-based anti-money laundering program, provide an anti-money laundering-related training program, report suspicious activities and transactions to FinCEN, comply with certain reporting and recordkeeping requirements, and collect and maintain information about our customers. In addition, the BSA requires us to comply with certain customer due diligence requirements as part of our anti-money laundering obligations, including developing risk-based policies, procedures, and internal controls reasonably designed to verify a customer’s identity. Many states and other countries impose similar and, in some cases, more stringent requirements related to anti-money laundering and counter-terrorist financing. Anti-money laundering regulations are constantly evolving and vary from jurisdiction-to-jurisdiction. We strive to continuously monitor our compliance with anti-money laundering and counter-terrorist financing regulations and industry standards and implement policies, procedures, and controls in light of the most current legal requirements. Any violation of applicable anti-money laundering or counter-terrorist financing laws could result in whistleblower complaints, adverse media coverage, investigations, and severe criminal or civil sanctions, any of which could have a materially adverse effect on our reputation, business, financial performance, and results of operations. In addition, responding to any enforcement action may result in a significant diversion of management’s attention and resources and significant defense costs and other professional fees.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Recombination</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Federal and state fraudulent transfer laws and Nevada corporate law may permit a court to void the Recombination, which would adversely affect our financial condition and our results of operations.</w:t>
      </w:r>
    </w:p>
    <w:p>
      <w:pPr>
        <w:spacing w:after="0" w:line="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connection with the Recombination, we are undertaking several restructuring transactions, which may be subject to challenge under federal and state fraudulent conveyance and transfer laws as well as under Nevada corporate law, even after the Recombination has been completed. Under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any transaction, contribution, or distribution contemplated as part of the Recombination could be voided as a fraudulent transfer or conveyance if, among other things, the transferor received less than reasonably equivalent value or fair consideration in return for, and was insolvent or rendered insolvent by reason of, the transfer.</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cannot be certain as to the standards a court would use to determine whether any entity involved in the Recombination was insolvent at the relevant time. In general, however, a court would look at various facts and circumstances related to the entity in question, including evaluation of whether:</w:t>
      </w:r>
    </w:p>
    <w:p>
      <w:pPr>
        <w:spacing w:after="0" w:line="11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sum of its debts, including contingent and unliquidated liabilities, was greater than the fair market value of all of its assets;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present fair market value of its assets was less than the amount that would be required to pay its probable liability on its existing debts, including contingent liabilities, as they become absolute and mature; or</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could pay its debts as they become due in the usual course of business.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If a court were to find that any transaction, contribution, or distribution involved in the Recombination was a fraudulent transfer or conveyance, the court could void the transaction, contribution, or distribution. In addition, the distribution could also be voided if a court were to find that it is not a lawful distribution under Nevada corporate law. The resulting complications, costs, and expenses of either finding would materially adversely affect our business, financial condition, and results of operations.</w:t>
      </w:r>
    </w:p>
    <w:p>
      <w:pPr>
        <w:spacing w:after="0" w:line="12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experience difficulties in reintegrating the operations of FMH back into our business or we may experience challenges in realizing expected benefits of the Recombination.</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 2025, we recombined with FMH through a series of transactions and FMH became a wholly-owned subsidiary of FTI. The success of the Recombination will depend in part on our ability to realize the anticipated business opportunities from recombining the operations of FMH with our business in an efficient and effective manner. The reintegration process could take longer than anticipated and could result in the loss of key employees, the disruption of each company’s ongoing businesses, tax costs or inefficiencies or inconsistencies in standards, controls, IT systems, procedures and policies, any of which could adversely affect our ability to maintain relationships with customers, employees or other third parties, or our ability to achieve the anticipated benefits of the Recombination, and could harm our financial performance. If we are unable to successfully or timely reintegrate the operations of FMH with our business, we may incur unanticipated liabilities and be unable to realize the revenue growth, synergies and other anticipated benefits resulting from the Recombination, and our business, results of operations and financial condition could be materially and adversely affected.</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Furthermore, the reintegration of FMH may divert management’s time and resources from our core business and disrupt our operations. We may incur significant costs in the reintegration of FMH and may not achieve cost synergies and other benefits sufficient to offset the costs of the Recombination. Moreover, even if we were successful in reintegrating FMH, expected synergies or cost savings may not materialize, resulting in lower-than-expected benefits to us from the Recombination. We may spend time and money on projects that do not increase our revenue. All of the above risks could have a material adverse effect on our business, prospects, liquidity, financial condition, and results of operations.</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be subject to notice and approval requirements that are implicated by the Recombination and with which we may not be able to comply with.</w:t>
      </w:r>
    </w:p>
    <w:p>
      <w:pPr>
        <w:spacing w:after="0" w:line="8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must comply with requirements to report to, and in some circumstances obtain advance approval from, our regulators for certain changes to our business; for instance, the maintenance of certain state licenses requires the submission of information regarding and the approval of direct or indirect owners, or other control persons, of the licensed entity which, depending on applicable state law, may include, for example, persons with a direct or indirect ownership interest of 10% or more of the outstanding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or voting power of our company or a particular entity within our structure. Undergoing a qualifying change in control also may, in certain circumstances, require one or more of our licensed entities to re-apply for a license from a state regulator. Moreover, our subsidiary Figure Securities is a member of FINRA and is subject to change in ownership or control regulations as a result. FINRA’s Rule 1017 generally requires that any member of FINRA file a continuing membership application (“CMA”) for approval of any change in ownership that would result in one person or entity directly or indirectly owning or controlling 25% or more of member firm’s equity capital. Such a CMA must be filed at least 30 days prior to effecting a change and the full approval process under Rule 1017 can take six months or more to complete. In the event FINRA requires a CMA in connection with the Recombination, there can be no assurance that FINRA will ultimately approve the CMA. A denial of the CMA could prevent or delay the completion of the Recombination or result in an unwinding of the Recombination or Figure Securities withdrawing its broker-dealer registration.</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Recombination may implicate such requirements, adding another layer of complexity and potential delay to the Recombination, and there is a risk that some of our regulators may require advance notifications or approvals in connection with the Recombination that we cannot provide or satisfy. A failure to provide timely notice of, or obtain prior approval for, certain business changes (such as the Recombination) can raise significant risks in certain jurisdictions, such as suspension or revocation of licenses in such jurisdictions, prevention from engaging in the applicable regulated activity covered by such licenses (including, for example, originating and servicing loans) in such jurisdictions, imposition of administrative fines, penalties, or enforcement actions or civil and/or criminal penalties, and negative impact to our operations and growth prospects. Any of the foregoing consequences could adversely impact our business in such jurisdiction, be reportable to other regulatory authorities or contract counterparties, and negatively impact our business, relationship, eligibility, or standing with such other regulatory authorities or counterparties.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dual-class structure of our common stock will have the effect of concentrating voting control with those stockholders who held our common stock prior to the completion of this offering, which will limit your ability to affect the outcome of key transactions, including a change in control, and it may depress the trading price of our Class A common stock.</w:t>
      </w:r>
    </w:p>
    <w:p>
      <w:pPr>
        <w:spacing w:after="0" w:line="1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Immediately prior to the completion of this offering, we will effect the Capital Stock Conversion, the Reclassification, and the Class B Stock Exchange. As a result, our Class B common stock will have ten votes per share and our Class A common stock, which is the stock we are offering by means of this prospectus, will have one vote per share, and shares of our Class A common stock held by Mr. Cagney and his permitted transferees will be exchanged for an equivalent number of shares of our Class B common stock. Immediately following the completion of this offering, Michael Cagney, our co-founder and member of our board of directors, and his permitted transferees, will hold</w:t>
      </w:r>
    </w:p>
    <w:p>
      <w:pPr>
        <w:spacing w:after="0" w:line="3" w:lineRule="exact"/>
        <w:rPr>
          <w:sz w:val="20"/>
          <w:szCs w:val="20"/>
          <w:color w:val="auto"/>
        </w:rPr>
      </w:pPr>
    </w:p>
    <w:p>
      <w:pPr>
        <w:jc w:val="both"/>
        <w:ind w:firstLine="992"/>
        <w:spacing w:after="0" w:line="252" w:lineRule="auto"/>
        <w:rPr>
          <w:sz w:val="20"/>
          <w:szCs w:val="20"/>
          <w:color w:val="auto"/>
        </w:rPr>
      </w:pPr>
      <w:r>
        <w:rPr>
          <w:rFonts w:ascii="Arial" w:cs="Arial" w:eastAsia="Arial" w:hAnsi="Arial"/>
          <w:sz w:val="18"/>
          <w:szCs w:val="18"/>
          <w:color w:val="auto"/>
        </w:rPr>
        <w:t>shares of Class B common stock representing approximately % of the voting power of our outstanding capital stock, assuming no exercise of the underwriters’ option to purchase additional shares of Class A common stock. Because of the ten-to-one voting ratio between our Class B common stock and Class A common stock, Mr. Cagney and Ms. Ou will control a majority of the combined voting power of our common stock and therefore be able to control all matters submitted to our stockholders for approval. This concentrated control will limit or preclude your ability to influence corporate matters for the foreseeable future, including the election of directors, amendments of our organizational documents, and any merger, consolidation, sale of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3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This control may also adversely affect the market price of our Class A common stock. For example, certain index providers have in the past imposed restrictions on including companies with multiple-class share structures in certain of their indexes. Because of our dual-class structure, we will likely be excluded from certain of these indexes, where applicable, and we cannot assure you that other stock indexes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 take similar actions. Under these policies, our dual-class capital structure would make us ineligible for inclusion in certain indexes, and as a result, mutual funds, exchange-traded funds, and other investment vehicles that attempt to passively track those indexes would not invest in our stock.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do not know whether an active market will develop for our Class A common stock or what the market price of our Class A common stock will be, and, as a result, it may be difficult for you to sell your shares of our Class A common stock.</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intend to apply to list our Class A common stock on under the symbol “FIGR.” However, prior to this offering, there has been no prior public trading market for our Class A common stock. We cannot assure you that an active trading market for our Class A common stock will develop on that exchange or elsewhere or, if developed, that any market will be sustained. Accordingly, we cannot assure you of the liquidity of any trading market, your ability to sell your shares of our Class A common stock when desired or the prices that you may obtain for your shares.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Class A common stock may be volatile, and you could lose all or part of your investment.</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initial public offering price of our Class A common stock will be determined through negotiation among us and the underwriters. This price does not necessarily reflect the price at which investors in the market will be willing to buy and sell shares of our Class A common stock following this offering. In addition, the trading price of our Class A common stock following this offering is likely to be volatile and could be subject to fluctuations in response to various factors, some of which are beyond our control. These fluctuations could cause you to lose all or part of your investment in our Class A common stock since you might be unable to sell your shares at or above the price you paid in this offering. Factors that could cause fluctuations in the trading price of our Class A common stock include the following:</w:t>
      </w:r>
    </w:p>
    <w:p>
      <w:pPr>
        <w:spacing w:after="0" w:line="128"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reduction in the availability of HELOC funding and liquidity from loan purchasers on the secondary market and the capital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volatility in prices of digital assets and volume of transactions conducted on Figure Exchange;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quarterly fluctuations in demand for the loans we facilitate through our platform;</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perceived security breaches or other security incidents;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services, or technologies by us or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actual or anticipated changes in the financial projections we may provide to the public or our failure to meet those projections;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39"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prevailing interest rates and other macroeconomic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actual or future expectations of investors or securities analysts or our failure to meet these estimates or the expectations of investors;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governmental or regulatory actions or audits;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an adverse impact on the market price of our Class A common stock.</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This litigation, if instituted against us, could result in substantial costs and a diversion of our management’s attention and resources.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are likely to fluctuate and as a result may adversely affect the trading price of our Class A common stock.</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quarterly results of operations have historically varied from period to period, and we expect that our results of operations will continue to vary significantly in the future, and period-to-period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w:t>
      </w:r>
    </w:p>
    <w:p>
      <w:pPr>
        <w:spacing w:after="0" w:line="125" w:lineRule="exact"/>
        <w:rPr>
          <w:sz w:val="20"/>
          <w:szCs w:val="20"/>
          <w:color w:val="auto"/>
        </w:rPr>
      </w:pPr>
    </w:p>
    <w:p>
      <w:pPr>
        <w:ind w:left="660" w:right="20" w:hanging="328"/>
        <w:spacing w:after="0" w:line="28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conditions, including economic slowdowns, recessions, interest rate changes, inflation, and the tightening of credit markets;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attract and retain partners in a cost-effective manner;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cost of borrowing money and access to loan funding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39"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attract new partners and loan purchasers of our loan funding programs;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maintain relationships with existing partners and loan purchasers of our loan funding programs;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maintain or increase loan volumes, and the channels through which the loans, partners and loan funding are sourced;</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maintain effective relationships with market affiliates or drive volume from other marketing sources from which prospective customers access our website;</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financial services firms’ behavior with respect to blockchain technology;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identify and prevent fraudulent activity and the impact of fraud prevention measures;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fair value of assets and liabilities on our balance sheet;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and success of new products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effectiveness of our direct marketing and other marketing channels;</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maintaining and expanding our business, operations, and infrastructure, including acquiring new and maintaining existing partners and loan purchasers on the secondary market and attracting customers to our platform;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number and extent of prepayments of loans facilitated on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network outages or actual or perceived security breaches or incidents;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involvement in litigation or regulatory enforcement efforts (or the threat thereof) or those that impact our industry generally;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length of the onboarding process related to acquisitions of new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protect, maintain and enforce our intellectual property; and</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 or the development of competitive products by larger, well-funded incumbents.</w:t>
      </w:r>
    </w:p>
    <w:p>
      <w:pPr>
        <w:spacing w:after="0" w:line="10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securities or industry analysts either do not publish research about us or publish inaccurate or unfavorable research about us, our business, or our market, or if they adversely change their recommendations regarding our Class A common stock, the trading price or trading volume of our Class A common stock could decline.</w:t>
      </w:r>
    </w:p>
    <w:p>
      <w:pPr>
        <w:spacing w:after="0" w:line="1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trading market for our Class A common stock will be influenced in part by the research and reports that securities or industry analysts may publish about us, our business, our market, or our competitors. If one or more securities analysts initiate research with an unfavorable rating or downgrade our Class A common stock, provide a more favorable recommendation about our competitors, or publish inaccurate or unfavorable research about our business, our Class A common stock price would likely decline. If few securities analysts commence coverage of us, or if one or more of these analysts cease coverage of us or fail to publish reports on us regularly, we could lose visibility in the financial markets and demand for our securities could decrease, which in turn could cause the price and trading volume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management will have broad discretion in the application of the net proceeds, including for any of the purposes described in the section of this prospectus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proceeds effectively could adversely affect our business, financial condition, and results of operations. Pending their use, we may invest our net proceeds in a manner that does not produce income or that loses value. Our investments may not yield a favorable return to our investors and may negatively impact the price of our Class A common stock.</w:t>
      </w:r>
    </w:p>
    <w:p>
      <w:pPr>
        <w:spacing w:after="0" w:line="13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Class A common stock less attractive to investors.</w:t>
      </w:r>
    </w:p>
    <w:p>
      <w:pPr>
        <w:spacing w:after="0" w:line="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an “emerging growth company,” as defined in the JOBS Act, and have the option to utilize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reporting exemptions until we are no longer an emerging growth company. We will remain an emerging growth company until the earlier of: (i) the last day of the fiscal year in which we have at least $1.235 billion in annual revenue; (ii) the date we qualify as a “large accelerated filer,” with at least $700.0 million of equity securities held by non-affiliates as of the last business day of our most recently completed second fiscal quarter; (iii) the date on which we have issued more than $1.0 billion in non-convertible debt securities during the prior three-year period; and (iv) the last day of the fiscal year ending after the fifth anniversary of our initial public offering.</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intend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While we have not made such an irrevocable election, we have not delayed the adoption of any applicable accounting standards. Further, we may take advantage of some of the other reduced regulatory and reporting requirements that will be available to us so long as we qualify as an emerging growth company.</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Among other things, our reliance on the extended transition period means that our independent registered public accounting firm will not be required to provide an attestation report on the effectiveness of our internal control over financial reporting so long as we qualify as an emerging growth company, which may increase the risk that weaknesses or deficiencies in our internal control over financial reporting go undetected. Likewise, so long as we qualify as an emerging growth company, we may elect to not provide you with certain information, including certain financial information and certain information regarding the compensation of our executive officers, that we would otherwise be required to provide in filings we make with the SEC, which may make it more difficult for investors, and securities analysts to evaluate our company. As a result, investor confidence in our company and the market price of our Class A common stock could be adversely affected. Further, we cannot predict if investors will find our Class A common stock less attractive if we rely on these exemptions. If some investors find our Class A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stock less attractive as a result, there may be a less-active trading market for our Class A common stock and our stock price may be more volatile.</w:t>
      </w:r>
    </w:p>
    <w:p>
      <w:pPr>
        <w:spacing w:after="0" w:line="10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have elected to take advantage of the “controlled company” exemption to the corporate governance rules for -listed companies, which could make our Class A common stock less attractive to some investors or otherwise adversely affect our stock price.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long as Mr. Cagney continues to control a majority of the voting power of our outstanding voting stock, we will be a controlled</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company within the meaning of the listing rules of . Because we qualify as a “controlled company,” we are not required to have a majority of our board of directors be independent, nor are we required to have a compensation committee or an independent nominating function. In light of our status as a controlled company, in the future we could elect not to have a majority of our board of directors be independent or not to have a compensation committee or nominating and corporate governance committee. Accordingly, should the interests of our management and Mr. Cagney differ from those of other stockholders, the other stockholders may not have the same protections</w:t>
      </w:r>
    </w:p>
    <w:p>
      <w:pPr>
        <w:spacing w:after="0" w:line="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afforded to stockholders of companies that are subject to all of the corporate governance rules for -listed companies. Our status as a controlled company could make our Class A common stock less attractive to some investors or otherwise adversely affect our stock price.</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Future sales of our common stock, or the perception in the public markets that these sales may occur, may depress the price of our Class A common stock.</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such sales may occur, could have an adverse effect on our stock price and could impair our ability to raise capital through the sale of additional stock. In the future, we may attempt to obtain financing or to further increase our capital resources by issuing additional shares of our common stock. Issuing additional shares of our Class A common stock, Class B common stock or other equity securities or securities convertible into equity may dilute the economic and voting rights of our existing stockholders or reduce the market price of our Class A common stock or both.</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Based on shares of our Class A common stock outstanding and shares of our Class B common stock outstanding (after giving effect to the Capital Stock Conversion, the Reclassification, and the Class B Stock Exchange) as of , 2025, we will have shares of our Class A common stock and shares of our Class B common stock outstanding after this offering. Of the shares of Class A common stock outstanding, are “restricted securities,” as that term is defined under Rule 144 of the</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Securities Act. The holders of these “restricted securities” are entitled to dispose of their shares pursuant to (i) the applicable holding period, volume, and other restrictions of Rule 144 or (ii) another exemption from registration under the Securities Act. Additional sales of a substantial number of our shares of Class A common stock in the public market, or the perception that sales could occur, could have a material adverse effect on the price of our Class A common stock. We have filed a registration statement under the Securities Act</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registering shares of our Class A common stock reserved for issuance under the 2025 Plan and our ESPP. On April 28, 2025, in connection with our conversion from a Delaware corporation to a Nevada corporation, we entered into the Investors’ Rights Agreement (as defined herein), pursuant to which certain holders of our redeemable convertible preferred stock and common stock are entitled to demand the registration of certain or all of our Class A common stock that such persons beneficially own or their convertible preferred stock is convertible into. See the section titled “Certain Relationships and Related Party Transactions—Investors’ Rights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 on our common stock for the foreseeable future.</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currently intend to retain our future earnings, if any, to finance the further development and expansion of our business and do not intend to pay cash dividends on our common stock in the foreseeable future. Any future determination to pay dividends on our common stock will be at the discretion of our board of directors and will depend on obtaining regulatory approvals, if required,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financial condition, results of operations, capital requirements, restrictions contained in future agreements and financing instruments, business prospects and such other factors as our board of directors deems relevant.</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Our amended and restated bylaws will designate a state or federal court located within the State of Nevada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stockholders or employees.</w:t>
      </w:r>
    </w:p>
    <w:p>
      <w:pPr>
        <w:spacing w:after="0" w:line="11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articles of incorporation and bylaws will provide that, to the fullest extent permitted by law, and unless we consent in writing to the selection of an alternative forum, the Eighth Judicial District Court of Clark County, Nevada, will be the sole and exclusive forum for any actions, suits or proceedings, whether civil, administrative or investigative, including: (i) any derivative action or proceeding brought on our behalf; (ii) any action asserting a claim of breach of a fiduciary duty owed by any of our directors, stockholders, officers or other employees to us or our stockholders; (iii) any action arising pursuant to any provision of Nevada Revised Statutes (“NRS”) Chapters 78 or 92A or any provision of our articles of incorporation or bylaws; (iv) to interpret, apply, enforce or determine the validity of our articles of incorporation and bylaws; or (v) asserting a claim governed by the internal affairs doctrine; provided that the exclusive forum provisions will not apply to suits brought to enforce any liability or duty created by the Securities Act or the Exchange Act, or to any claim for which the federal courts have exclusive jurisdiction. Our articles of incorporation and bylaws will further provide that, in the event that the Eighth Judicial District Court of Clark County, Nevada does not have jurisdiction over any such action, suit or proceeding, then any other state district court located in the State of Nevada will be the sole and exclusive forum therefor and in the event that no state district court in the State of Nevada has jurisdiction over any such action, suit or proceeding, then a federal court located within the State of Nevada will be the sole and exclusive forum therefor.</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bylaws will also provide that, unless we consent in writing to the selection of an alternative forum, the federal district courts of the United States will be the sole and exclusive forum for resolving any complaint asserting a cause of action arising under the Securities Act.</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person or entity purchasing or otherwise acquiring,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Nevada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or our current or former directors, officers, stockholders or other employees. Our stockholders will not be deemed to have waived our compliance with the federal securities laws and the rules and regulations promulgated thereunder as a result of our exclusive forum provisions.</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NRS 78.046 permits the articles of incorporation or bylaws of a Nevada corporation to require, to the extent not inconsistent with any applicable jurisdictional requirements and the laws of the United States, that any, all or certain actions must be brought solely or exclusively in a specified court, it is possible that a court of law could rule that this provision is inapplicable or unenforceable if it is challenged in a proceeding or otherwise. If a court were to find either exclusive forum provision contained in our amended and restated articles of incorporation or amended and restated bylaws to be inapplicable or unenforceable in an action, we may incur significant additional costs associated with resolving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action in other jurisdictions, all of which could harm our business, financial condition, and results of operations.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Nevada law and provisions in our amended and restated articles of incorporation and bylaws might delay, discourage, or prevent a change of control of our company or changes in our management, thereby depressing the market price of our Class A common stock.</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status as a Nevada corporation and the anti-takeover provisions of the NRS may discourage, delay or prevent a change of control by prohibiting us from engaging in a business combination with an interested stockholder for a period of two years after the date of the transaction in which the person became an interested stockholder, even if a change of control would be beneficial to our existing stockholders. In addition, our amended and restated articles of incorporation and bylaws will contain provisions that may make the acquisition of our company more difficult or delay or prevent a change of control or changes in our management. Among other things, these provisions will:</w:t>
      </w:r>
    </w:p>
    <w:p>
      <w:pPr>
        <w:spacing w:after="0" w:line="128"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 a dual-class common stock structure, with differing voting rights;</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preferred stock and determine the price and other terms of those shares, including preferences and voting rights, without stockholder approval;</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from and after such time as Mr. Cagney, our co-founder and member of our board of directors, no longer beneficially owns more than 50% of the voting power of our capital stock, permit only the board of directors to establish the number of directors and fill vacancies on the board;</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from and after such time as Mr. Cagney, our co-founder and member of our board of directors, no longer beneficially owns more than 50% of the voting power of our capital stock, establish that our board of directors will be divided into three classes, with the classes as nearly equal in number as possible and each class serving three-year staggered terms;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that our directors may only be removed for cause;</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from and after such time as Mr. Cagney, our co-founder and member of our board of directors, no longer beneficially owns more than 50% of the voting power of our capital stock, permit stockholders to only take actions at a duly called annual or special meeting and not by written consent;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that stockholders give advance notice to nominate directors or submit proposals for consideration at stockholder meetings;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 elect to have cumulative voting in the election of directors;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from and after such time as Mr. Cagney, our co-founder and member of our board of directors, no longer beneficially owns more than 50% of the voting power of our capital stock, prohibit stockholders from calling a special meeting of stockholders; and</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from and after such time as Mr. Cagney, our co-founder and member of our board of directors, no longer beneficially owns more than 50% of the voting power of our capital stock, require a super-majority vote of stockholders to amend some of the provisions described above.</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provisions, alone or together, could delay, discourage, or prevent a transaction involving a change in control of our company. These provisions could also discourage proxy contests, make it more difficult for stockholders to elect directors of their choosing and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4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A change of control of our company could result in an assignment of our investment advisory agreements and the termination of the investment management agreement in place with FCC.</w:t>
      </w:r>
    </w:p>
    <w:p>
      <w:pPr>
        <w:spacing w:after="0" w:line="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the Advisers Act, each of the investment advisory agreements for the private funds we manage must provide that it may not be assigned without the consent of the particular fund or other client, and each investment advisory agreement in place between FIA and any registered investment companies we manage will automatically terminate upon an assignment thereof by FIA. An assignment occurs for purposes of the Advisers Act if, among other things, the current control parties transfer a controlling stake or a third party otherwise acquires a controlling stake in the investment adviser. For example, if a third party acquired a sufficient number of shares to be able, alone or with others, to control the appointment of directors and other matters submitted to our stockholders for a vote, there could be deemed an indirect change of control of FIA, and thus an assignment (within the meaning of the Advisers Act) of the investment advisory agreements for the private funds we manage and automatic termination of the investment management agreement with FCC. If such an assignment occurs, we cannot be certain that we will be able to obtain the necessary consents from our private funds or enter into a new agreement with our registered funds, which could cause us to lose the management fees and performance fees we earn from such funds.</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You may be diluted by the future issuance of additional common stock in connection with our equity incentive plans, acquisitions or otherwise.</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Nevada law and our amended and restated articles of incorporation, our board of directors will have the authority to issue up to</w:t>
      </w:r>
    </w:p>
    <w:p>
      <w:pPr>
        <w:spacing w:after="0" w:line="27" w:lineRule="exact"/>
        <w:rPr>
          <w:sz w:val="20"/>
          <w:szCs w:val="20"/>
          <w:color w:val="auto"/>
        </w:rPr>
      </w:pPr>
    </w:p>
    <w:p>
      <w:pPr>
        <w:jc w:val="both"/>
        <w:ind w:firstLine="784"/>
        <w:spacing w:after="0" w:line="250" w:lineRule="auto"/>
        <w:rPr>
          <w:sz w:val="20"/>
          <w:szCs w:val="20"/>
          <w:color w:val="auto"/>
        </w:rPr>
      </w:pPr>
      <w:r>
        <w:rPr>
          <w:rFonts w:ascii="Arial" w:cs="Arial" w:eastAsia="Arial" w:hAnsi="Arial"/>
          <w:sz w:val="18"/>
          <w:szCs w:val="18"/>
          <w:color w:val="auto"/>
        </w:rPr>
        <w:t>shares of authorized but unissued Class A common stock and shares of authorized but unissued Class B common stock, as well as rights relating to such common stock, for the consideration and on the terms and conditions established by our board of directors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its sole discretion, whether in connection with acquisitions or otherwise. We have reserved shares of Class A common stock for issuance under our 2025 Plan subject to adjustment in certain events. Any Class A common stock that we issue, including under our 2025 Plan or other equity incentive plans that we may adopt in the future, could dilute the percentage ownership held by the investors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prospectus contains forward-looking statements,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prospectus include statements about:</w:t>
      </w:r>
    </w:p>
    <w:p>
      <w:pPr>
        <w:spacing w:after="0" w:line="128" w:lineRule="exact"/>
        <w:rPr>
          <w:sz w:val="20"/>
          <w:szCs w:val="20"/>
          <w:color w:val="auto"/>
        </w:rPr>
      </w:pPr>
    </w:p>
    <w:p>
      <w:pPr>
        <w:ind w:left="660" w:hanging="328"/>
        <w:spacing w:after="0" w:line="28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operating expenses, ability to determine reserves, and ability to remain profitable;</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risks associated with our business, including the risks associated with loan repurchases, customer loan defaults, prepayments, and underwriting, originating, and servicing loans;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maintain, expand, and enter into new relationships with partners and loan purchasers on the secondary market, and our ability to broaden our network of partners;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successfully execute our business and growth strategy;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demand for our products and services and our ability to expand our product offerings;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partners, customer and loan purchaser acceptance of our blockchain-supported platform;</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the cryptoeconomy, the price, and market capitalization of digital assets and in the markets in which we operate;</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 of changes in prevailing interest rates or U.S. monetary policies on our business, financial condition and results of operations;</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 of natural disasters, power outages, telecommunications failures, public health crises, and similar events, and interruptions by human-made problems such as war, terrorism, cyberattacks, and other actions, on global capital and financial markets, general economic conditions in the United States, and our business, financial conditions and results of operations;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successfully compete with companies that are currently in, or may in the future enter, the markets in which we operate;</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design, maintain, and refine our models to timely and accurately process data with respect to creditworthiness, prepayment rates, customer acquisition, fraud detection, customer default, loan stacking, prepayment timing, and fee optimization, among other things;</w:t>
      </w:r>
    </w:p>
    <w:p>
      <w:pPr>
        <w:spacing w:after="0" w:line="116"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expectations regarding the effects of, and our ability to successfully adapt to and comply with, complex and evolving regulatory and legal environments, including those related to lending and mortgages, money transmission, consumer protection and loan financings, digital assets, tax, privacy, data protection, information security, blockchain technology, machine learning, and artificial intelligence;</w:t>
      </w:r>
    </w:p>
    <w:p>
      <w:pPr>
        <w:spacing w:after="0" w:line="12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 of and our ability to protect against increasingly sophisticated fraudulent borrowing and online theft;</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and our third parties’ abilities to maintain the security and availability of our platforms, and the impacts of potential information technology, cybersecurity, or data security breaches;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maintain, protect and enforce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39"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sufficiency of our cash, cash equivalents, and marketable securities to meet our liquidity needs;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successfully obtain and maintain funding and liquidity to support our operations, including through our warehouse credit facilities, for loan originations, continued growth, and general corporate purposes;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attract, integrate, and retain key personnel and qualified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loss of our key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Cagney’s control over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successfully build our brand and protect our reputation from negative publicity;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remediate material weaknesses in our internal controls over financial reporting;</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operate effectively as an independent, publicly traded company and achieve the benefits we expect from the Recombination;</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associated with ownership of our securities;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anticipated uses of the net proceeds from this offering.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including those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You should not place undue reliance on our forward-looking statements. Our forward-looking statements do not reflect the potential impact of any future acquisitions, mergers, dispositions, joint ventures, or investments we may make.</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INDUSTRY, AND OTHER DATA</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prospectus contains estimates and information concerning our industry, including the size of the markets in which we participate, that are based on various third-party sources, industry publications and reports, as well as our own internal information. This information involves a number of assumptions and limitations, and you are cautioned not to give undue weight to such estimates and information. The markets in which we operate are subject to a high degree of uncertainty and risk due to a variety of factors, including those described in the section titled “</w:t>
      </w:r>
      <w:r>
        <w:rPr>
          <w:rFonts w:ascii="Arial" w:cs="Arial" w:eastAsia="Arial" w:hAnsi="Arial"/>
          <w:sz w:val="18"/>
          <w:szCs w:val="18"/>
          <w:u w:val="single" w:color="auto"/>
          <w:color w:val="0000FF"/>
        </w:rPr>
        <w:t>Risk Factors.</w:t>
      </w:r>
      <w:r>
        <w:rPr>
          <w:rFonts w:ascii="Arial" w:cs="Arial" w:eastAsia="Arial" w:hAnsi="Arial"/>
          <w:sz w:val="18"/>
          <w:szCs w:val="18"/>
          <w:color w:val="auto"/>
        </w:rPr>
        <w:t>” These and other factors could cause results to differ materially from those expressed in these sources, publications, and reports.</w:t>
      </w:r>
    </w:p>
    <w:p>
      <w:pPr>
        <w:spacing w:after="0" w:line="12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Certain information in the text of this prospectus is contained in an independent industry publication and publicly-available reports, as well as third-party sources, including:</w:t>
      </w:r>
    </w:p>
    <w:p>
      <w:pPr>
        <w:spacing w:after="0" w:line="99"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Citigroup Global Markets Inc, “Money, Tokens, and Games: Blockchain’s Next Billion Users and Trillions in Value,” March 2023.</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CoinGecko, “2024 Annual Crypto Industry Report,” January 23, 2025.</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CoinGecko, “Crypto Trading Volumes Reached $18.83T in 2024, Still Below 2021’s $25.21T Peak,” February 12, 2025.</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CoinGecko, “Stablecoins by Market Capitalization.”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CoinGecko, “Yield-Bearing Stablecoins by Market Capitalization.”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Equifax Inc., “U.S. National Consumer Credit Trends Report - Originations,” February 2025, data as of January 2025.</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Home Equity Lending News LLC, “Biggest U.S. HELOC Lenders See Non-Bank Ascension,” April 14, 2025.</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Mortgage Bankers Association, “IMBs Report Production Losses in Fourth Quarter of 2024,” March 2025.</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Mortgage Bankers Association, “MBA Mortgage Finance Forecast,” March 20, 2025.</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RWA.xyz, “Global Market Overview,” April 2025.</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RWA.xyz, “Tokenized Private Credit,” June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estimate that the net proceeds to us from this offering will be approximately $ million, based upon the assumed initial public offering price of $ per share, which is the midpoint of the estimated offering price range set forth on the cover page of this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prospectus, and after deducting underwriting discounts and commissions and estimated offering expenses payable by us. If the underwriters</w:t>
      </w:r>
    </w:p>
    <w:p>
      <w:pPr>
        <w:spacing w:after="0" w:line="200" w:lineRule="exact"/>
        <w:rPr>
          <w:sz w:val="20"/>
          <w:szCs w:val="20"/>
          <w:color w:val="auto"/>
        </w:rPr>
      </w:pP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exercise their option to purchase additional shares in full, we estimate that the net proceeds to us will be approximately $ million, after deducting underwriting discounts and commissions and estimated offering expenses payable by us.</w:t>
      </w:r>
    </w:p>
    <w:p>
      <w:pPr>
        <w:spacing w:after="0" w:line="99" w:lineRule="exact"/>
        <w:rPr>
          <w:sz w:val="20"/>
          <w:szCs w:val="20"/>
          <w:color w:val="auto"/>
        </w:rPr>
      </w:pPr>
    </w:p>
    <w:p>
      <w:pPr>
        <w:ind w:left="340"/>
        <w:spacing w:after="0"/>
        <w:tabs>
          <w:tab w:leader="none" w:pos="8020" w:val="left"/>
        </w:tabs>
        <w:rPr>
          <w:sz w:val="20"/>
          <w:szCs w:val="20"/>
          <w:color w:val="auto"/>
        </w:rPr>
      </w:pPr>
      <w:r>
        <w:rPr>
          <w:rFonts w:ascii="Arial" w:cs="Arial" w:eastAsia="Arial" w:hAnsi="Arial"/>
          <w:sz w:val="18"/>
          <w:szCs w:val="18"/>
          <w:color w:val="auto"/>
        </w:rPr>
        <w:t>Each $1.00 increase or decrease in the assumed initial public offering price of $</w:t>
      </w:r>
      <w:r>
        <w:rPr>
          <w:sz w:val="20"/>
          <w:szCs w:val="20"/>
          <w:color w:val="auto"/>
        </w:rPr>
        <w:tab/>
      </w:r>
      <w:r>
        <w:rPr>
          <w:rFonts w:ascii="Arial" w:cs="Arial" w:eastAsia="Arial" w:hAnsi="Arial"/>
          <w:sz w:val="18"/>
          <w:szCs w:val="18"/>
          <w:color w:val="auto"/>
        </w:rPr>
        <w:t>per share, which is the midpoint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estimated offering price range set forth on the cover page of this prospectus, would increase or decrease, as applicable, the net proceeds to</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us from this offering by approximately $ million, assuming the number of shares offered by us, as set forth on the cover page of this prospectus, remains the same and after deducting estimated underwriting discounts and commissions and estimated offering expenses payable by us. We may also increase or decrease the number of shares we are offering. Each increase or decrease of 1.0 million shares in the number of shares offered by us would increase or decrease, as applicable, the net proceeds to us from this offering by approximately</w:t>
      </w:r>
    </w:p>
    <w:p>
      <w:pPr>
        <w:spacing w:after="0" w:line="2" w:lineRule="exact"/>
        <w:rPr>
          <w:sz w:val="20"/>
          <w:szCs w:val="20"/>
          <w:color w:val="auto"/>
        </w:rPr>
      </w:pPr>
    </w:p>
    <w:p>
      <w:pPr>
        <w:jc w:val="both"/>
        <w:ind w:firstLine="8"/>
        <w:spacing w:after="0" w:line="255" w:lineRule="auto"/>
        <w:tabs>
          <w:tab w:leader="none" w:pos="964" w:val="left"/>
        </w:tabs>
        <w:numPr>
          <w:ilvl w:val="0"/>
          <w:numId w:val="45"/>
        </w:numPr>
        <w:rPr>
          <w:rFonts w:ascii="Arial" w:cs="Arial" w:eastAsia="Arial" w:hAnsi="Arial"/>
          <w:sz w:val="18"/>
          <w:szCs w:val="18"/>
          <w:color w:val="auto"/>
        </w:rPr>
      </w:pPr>
      <w:r>
        <w:rPr>
          <w:rFonts w:ascii="Arial" w:cs="Arial" w:eastAsia="Arial" w:hAnsi="Arial"/>
          <w:sz w:val="18"/>
          <w:szCs w:val="18"/>
          <w:color w:val="auto"/>
        </w:rPr>
        <w:t>million, assuming that the assumed initial public offering price remains the same and after deducting underwriting discounts and commissions and estimated offering expenses payable by us. We do not expect that a change in the initial public offering price or the number of shares by these amounts would have a material effect on our use of the proceeds from this offering, although it may accelerate the time when we need to seek additional capital.</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create a public market for our Class A common stock, facilitate future access to the public equity markets by us, our employees, and our stockholders, and increase our visibility in the lending ecosystem. We intend to use the net proceeds from this offering for general corporate purposes, including working capital, operating expenses, and capital expenditures. Additionally, we may use a portion of the net proceeds to acquire or invest in businesses, products, services, or technologies. However, we do not have agreements or commitments for any material acquisitions or investments at this time.</w:t>
      </w:r>
    </w:p>
    <w:p>
      <w:pPr>
        <w:spacing w:after="0" w:line="12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Because we expect to use the net proceeds to us from this offering for working capital and other general corporate purposes, our management will have broad discretion over the use of the net proceeds from this offering. As of the date of this prospectus, we intend to invest the net proceeds that are not used as described above in capital-preservation investments, including short-term interest-bearing debt instruments or bank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FTI has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or make other distributions will be made at the discretion of our board of directors, subject to applicable laws, and will depend upon, among other factors that our board of directors may deem relevant, our results of operations, financial condition, contractual restrictions, and capital requirements. Our future ability to pay cash dividends and make other distributions on our capital stock may be limited by any future debt instruments or preferred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8140" w:type="dxa"/>
            <w:vAlign w:val="bottom"/>
          </w:tcPr>
          <w:p>
            <w:pPr>
              <w:spacing w:after="0"/>
              <w:rPr>
                <w:sz w:val="20"/>
                <w:szCs w:val="20"/>
                <w:color w:val="auto"/>
              </w:rPr>
            </w:pPr>
            <w:r>
              <w:rPr>
                <w:rFonts w:ascii="Arial" w:cs="Arial" w:eastAsia="Arial" w:hAnsi="Arial"/>
                <w:sz w:val="18"/>
                <w:szCs w:val="18"/>
                <w:color w:val="auto"/>
              </w:rPr>
              <w:t>The following table summarizes our cash and cash equivalents, as well as our capitalization, as of</w:t>
            </w:r>
          </w:p>
        </w:tc>
        <w:tc>
          <w:tcPr>
            <w:tcW w:w="940" w:type="dxa"/>
            <w:vAlign w:val="bottom"/>
          </w:tcPr>
          <w:p>
            <w:pPr>
              <w:jc w:val="right"/>
              <w:spacing w:after="0"/>
              <w:rPr>
                <w:sz w:val="20"/>
                <w:szCs w:val="20"/>
                <w:color w:val="auto"/>
              </w:rPr>
            </w:pPr>
            <w:r>
              <w:rPr>
                <w:rFonts w:ascii="Arial" w:cs="Arial" w:eastAsia="Arial" w:hAnsi="Arial"/>
                <w:sz w:val="18"/>
                <w:szCs w:val="18"/>
                <w:color w:val="auto"/>
              </w:rPr>
              <w:t>, 2025:</w:t>
            </w:r>
          </w:p>
        </w:tc>
      </w:tr>
    </w:tbl>
    <w:p>
      <w:pPr>
        <w:spacing w:after="0" w:line="139"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a pro forma basis to give effect to (i) the Capital Stock Conversion, (ii) the Reclassification, and (iii) the Class B Stock Exchange,</w:t>
      </w:r>
    </w:p>
    <w:p>
      <w:pPr>
        <w:spacing w:after="0" w:line="27" w:lineRule="exact"/>
        <w:rPr>
          <w:sz w:val="20"/>
          <w:szCs w:val="20"/>
          <w:color w:val="auto"/>
        </w:rPr>
      </w:pPr>
    </w:p>
    <w:p>
      <w:pPr>
        <w:ind w:left="660"/>
        <w:spacing w:after="0"/>
        <w:tabs>
          <w:tab w:leader="none" w:pos="4420" w:val="left"/>
        </w:tabs>
        <w:rPr>
          <w:sz w:val="20"/>
          <w:szCs w:val="20"/>
          <w:color w:val="auto"/>
        </w:rPr>
      </w:pPr>
      <w:r>
        <w:rPr>
          <w:rFonts w:ascii="Arial" w:cs="Arial" w:eastAsia="Arial" w:hAnsi="Arial"/>
          <w:sz w:val="18"/>
          <w:szCs w:val="18"/>
          <w:color w:val="auto"/>
        </w:rPr>
        <w:t>as if each such event had occurred on</w:t>
      </w:r>
      <w:r>
        <w:rPr>
          <w:sz w:val="20"/>
          <w:szCs w:val="20"/>
          <w:color w:val="auto"/>
        </w:rPr>
        <w:tab/>
      </w:r>
      <w:r>
        <w:rPr>
          <w:rFonts w:ascii="Arial" w:cs="Arial" w:eastAsia="Arial" w:hAnsi="Arial"/>
          <w:sz w:val="17"/>
          <w:szCs w:val="17"/>
          <w:color w:val="auto"/>
        </w:rPr>
        <w:t>, 2025; and</w:t>
      </w:r>
    </w:p>
    <w:p>
      <w:pPr>
        <w:spacing w:after="0" w:line="153"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a pro forma as adjusted basis to reflect (i) the pro forma adjustments set forth above and (ii) the issuance and sale by us of</w:t>
      </w:r>
    </w:p>
    <w:p>
      <w:pPr>
        <w:spacing w:after="0" w:line="27" w:lineRule="exact"/>
        <w:rPr>
          <w:sz w:val="20"/>
          <w:szCs w:val="20"/>
          <w:color w:val="auto"/>
        </w:rPr>
      </w:pPr>
    </w:p>
    <w:p>
      <w:pPr>
        <w:jc w:val="both"/>
        <w:ind w:left="660" w:firstLine="778"/>
        <w:spacing w:after="0" w:line="258" w:lineRule="auto"/>
        <w:rPr>
          <w:sz w:val="20"/>
          <w:szCs w:val="20"/>
          <w:color w:val="auto"/>
        </w:rPr>
      </w:pPr>
      <w:r>
        <w:rPr>
          <w:rFonts w:ascii="Arial" w:cs="Arial" w:eastAsia="Arial" w:hAnsi="Arial"/>
          <w:sz w:val="18"/>
          <w:szCs w:val="18"/>
          <w:color w:val="auto"/>
        </w:rPr>
        <w:t>shares of Class A common stock in this offering at the assumed initial public offering price of $ per share, which is the midpoint of the estimated offering price range set forth on the cover page of this prospectus, and after deducting estimated underwriting discounts and commissions and estimated offering expenses payable by us.</w:t>
      </w:r>
    </w:p>
    <w:p>
      <w:pPr>
        <w:spacing w:after="0" w:line="12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initial public offering price and other terms of this offering determined at pricing. You should read this table together with our consolidated financial statements and the related notes included elsewhere in this prospectus and the section titled “Management’s Discussion and Analysis of Financial Condition and Results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2025</w:t>
            </w:r>
          </w:p>
        </w:tc>
        <w:tc>
          <w:tcPr>
            <w:tcW w:w="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19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Actual</w:t>
            </w:r>
          </w:p>
        </w:tc>
        <w:tc>
          <w:tcPr>
            <w:tcW w:w="16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Pro Forma</w:t>
            </w:r>
          </w:p>
        </w:tc>
        <w:tc>
          <w:tcPr>
            <w:tcW w:w="15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7"/>
              </w:rPr>
              <w:t>Pro Forma As</w:t>
            </w:r>
          </w:p>
        </w:tc>
        <w:tc>
          <w:tcPr>
            <w:tcW w:w="0" w:type="dxa"/>
            <w:vAlign w:val="bottom"/>
          </w:tcPr>
          <w:p>
            <w:pPr>
              <w:spacing w:after="0"/>
              <w:rPr>
                <w:sz w:val="1"/>
                <w:szCs w:val="1"/>
                <w:color w:val="auto"/>
              </w:rPr>
            </w:pPr>
          </w:p>
        </w:tc>
      </w:tr>
      <w:tr>
        <w:trPr>
          <w:trHeight w:val="201"/>
        </w:trPr>
        <w:tc>
          <w:tcPr>
            <w:tcW w:w="2780" w:type="dxa"/>
            <w:vAlign w:val="bottom"/>
            <w:gridSpan w:val="2"/>
            <w:vMerge w:val="continue"/>
          </w:tcPr>
          <w:p>
            <w:pPr>
              <w:spacing w:after="0"/>
              <w:rPr>
                <w:sz w:val="17"/>
                <w:szCs w:val="17"/>
                <w:color w:val="auto"/>
              </w:rPr>
            </w:pPr>
          </w:p>
        </w:tc>
        <w:tc>
          <w:tcPr>
            <w:tcW w:w="19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640" w:type="dxa"/>
            <w:vAlign w:val="bottom"/>
            <w:gridSpan w:val="3"/>
            <w:vMerge w:val="continue"/>
          </w:tcPr>
          <w:p>
            <w:pPr>
              <w:spacing w:after="0"/>
              <w:rPr>
                <w:sz w:val="17"/>
                <w:szCs w:val="17"/>
                <w:color w:val="auto"/>
              </w:rPr>
            </w:pPr>
          </w:p>
        </w:tc>
        <w:tc>
          <w:tcPr>
            <w:tcW w:w="1560" w:type="dxa"/>
            <w:vAlign w:val="bottom"/>
          </w:tcPr>
          <w:p>
            <w:pPr>
              <w:jc w:val="center"/>
              <w:spacing w:after="0" w:line="201" w:lineRule="exact"/>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8"/>
                <w:szCs w:val="18"/>
                <w:b w:val="1"/>
                <w:bCs w:val="1"/>
                <w:color w:val="auto"/>
                <w:w w:val="93"/>
                <w:vertAlign w:val="superscript"/>
              </w:rPr>
              <w:t>(1)</w:t>
            </w:r>
          </w:p>
        </w:tc>
        <w:tc>
          <w:tcPr>
            <w:tcW w:w="0" w:type="dxa"/>
            <w:vAlign w:val="bottom"/>
          </w:tcPr>
          <w:p>
            <w:pPr>
              <w:spacing w:after="0"/>
              <w:rPr>
                <w:sz w:val="1"/>
                <w:szCs w:val="1"/>
                <w:color w:val="auto"/>
              </w:rPr>
            </w:pPr>
          </w:p>
        </w:tc>
      </w:tr>
      <w:tr>
        <w:trPr>
          <w:trHeight w:val="237"/>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Cash and cash equivalents</w:t>
            </w:r>
          </w:p>
        </w:tc>
        <w:tc>
          <w:tcPr>
            <w:tcW w:w="580" w:type="dxa"/>
            <w:vAlign w:val="bottom"/>
            <w:tcBorders>
              <w:top w:val="single" w:sz="8" w:color="CCEEFF"/>
            </w:tcBorders>
            <w:shd w:val="clear" w:color="auto" w:fill="CCEEFF"/>
          </w:tcPr>
          <w:p>
            <w:pPr>
              <w:spacing w:after="0"/>
              <w:rPr>
                <w:sz w:val="20"/>
                <w:szCs w:val="20"/>
                <w:color w:val="auto"/>
              </w:rPr>
            </w:pPr>
          </w:p>
        </w:tc>
        <w:tc>
          <w:tcPr>
            <w:tcW w:w="194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CCEEFF"/>
            </w:tcBorders>
            <w:shd w:val="clear" w:color="auto" w:fill="CCEEFF"/>
          </w:tcPr>
          <w:p>
            <w:pPr>
              <w:spacing w:after="0"/>
              <w:rPr>
                <w:sz w:val="20"/>
                <w:szCs w:val="20"/>
                <w:color w:val="auto"/>
              </w:rPr>
            </w:pPr>
          </w:p>
        </w:tc>
        <w:tc>
          <w:tcPr>
            <w:tcW w:w="1540" w:type="dxa"/>
            <w:vAlign w:val="bottom"/>
            <w:tcBorders>
              <w:top w:val="single" w:sz="8" w:color="auto"/>
            </w:tcBorders>
            <w:shd w:val="clear" w:color="auto" w:fill="CCEEFF"/>
          </w:tcPr>
          <w:p>
            <w:pPr>
              <w:jc w:val="right"/>
              <w:ind w:right="1337"/>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00" w:type="dxa"/>
            <w:vAlign w:val="bottom"/>
          </w:tcPr>
          <w:p>
            <w:pPr>
              <w:ind w:left="20"/>
              <w:spacing w:after="0"/>
              <w:rPr>
                <w:sz w:val="20"/>
                <w:szCs w:val="20"/>
                <w:color w:val="auto"/>
              </w:rPr>
            </w:pPr>
            <w:r>
              <w:rPr>
                <w:rFonts w:ascii="Arial" w:cs="Arial" w:eastAsia="Arial" w:hAnsi="Arial"/>
                <w:sz w:val="18"/>
                <w:szCs w:val="18"/>
                <w:color w:val="auto"/>
              </w:rPr>
              <w:t>Secured borrowings</w:t>
            </w:r>
          </w:p>
        </w:tc>
        <w:tc>
          <w:tcPr>
            <w:tcW w:w="5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Funding debt, net of unamortized issuance costs</w:t>
            </w:r>
          </w:p>
        </w:tc>
        <w:tc>
          <w:tcPr>
            <w:tcW w:w="16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Stockholders’ equity (deficit):</w:t>
            </w:r>
          </w:p>
        </w:tc>
        <w:tc>
          <w:tcPr>
            <w:tcW w:w="1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780" w:type="dxa"/>
            <w:vAlign w:val="bottom"/>
            <w:gridSpan w:val="2"/>
            <w:shd w:val="clear" w:color="auto" w:fill="CCEEFF"/>
          </w:tcPr>
          <w:p>
            <w:pPr>
              <w:ind w:left="260"/>
              <w:spacing w:after="0" w:line="177" w:lineRule="exact"/>
              <w:rPr>
                <w:sz w:val="20"/>
                <w:szCs w:val="20"/>
                <w:color w:val="auto"/>
              </w:rPr>
            </w:pPr>
            <w:r>
              <w:rPr>
                <w:rFonts w:ascii="Arial" w:cs="Arial" w:eastAsia="Arial" w:hAnsi="Arial"/>
                <w:sz w:val="18"/>
                <w:szCs w:val="18"/>
                <w:color w:val="auto"/>
              </w:rPr>
              <w:t>Preferred stock, par value $</w:t>
            </w:r>
          </w:p>
        </w:tc>
        <w:tc>
          <w:tcPr>
            <w:tcW w:w="1940" w:type="dxa"/>
            <w:vAlign w:val="bottom"/>
            <w:shd w:val="clear" w:color="auto" w:fill="CCEEFF"/>
          </w:tcPr>
          <w:p>
            <w:pPr>
              <w:ind w:left="480"/>
              <w:spacing w:after="0" w:line="177" w:lineRule="exact"/>
              <w:rPr>
                <w:sz w:val="20"/>
                <w:szCs w:val="20"/>
                <w:color w:val="auto"/>
              </w:rPr>
            </w:pPr>
            <w:r>
              <w:rPr>
                <w:rFonts w:ascii="Arial" w:cs="Arial" w:eastAsia="Arial" w:hAnsi="Arial"/>
                <w:sz w:val="18"/>
                <w:szCs w:val="18"/>
                <w:color w:val="auto"/>
              </w:rPr>
              <w:t>per share,</w:t>
            </w:r>
          </w:p>
        </w:tc>
        <w:tc>
          <w:tcPr>
            <w:tcW w:w="1680" w:type="dxa"/>
            <w:vAlign w:val="bottom"/>
            <w:shd w:val="clear" w:color="auto" w:fill="CCEEFF"/>
          </w:tcPr>
          <w:p>
            <w:pPr>
              <w:ind w:left="160"/>
              <w:spacing w:after="0" w:line="177" w:lineRule="exact"/>
              <w:rPr>
                <w:sz w:val="20"/>
                <w:szCs w:val="20"/>
                <w:color w:val="auto"/>
              </w:rPr>
            </w:pPr>
            <w:r>
              <w:rPr>
                <w:rFonts w:ascii="Arial" w:cs="Arial" w:eastAsia="Arial" w:hAnsi="Arial"/>
                <w:sz w:val="18"/>
                <w:szCs w:val="18"/>
                <w:color w:val="auto"/>
              </w:rPr>
              <w:t>shares</w:t>
            </w: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00" w:type="dxa"/>
            <w:vAlign w:val="bottom"/>
            <w:shd w:val="clear" w:color="auto" w:fill="CCEEFF"/>
          </w:tcPr>
          <w:p>
            <w:pPr>
              <w:ind w:left="460"/>
              <w:spacing w:after="0" w:line="183" w:lineRule="exact"/>
              <w:rPr>
                <w:sz w:val="20"/>
                <w:szCs w:val="20"/>
                <w:color w:val="auto"/>
              </w:rPr>
            </w:pPr>
            <w:r>
              <w:rPr>
                <w:rFonts w:ascii="Arial" w:cs="Arial" w:eastAsia="Arial" w:hAnsi="Arial"/>
                <w:sz w:val="18"/>
                <w:szCs w:val="18"/>
                <w:color w:val="auto"/>
              </w:rPr>
              <w:t>authorized,</w:t>
            </w:r>
          </w:p>
        </w:tc>
        <w:tc>
          <w:tcPr>
            <w:tcW w:w="420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shares issued and outstanding, pro forma as</w:t>
            </w: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adjusted</w:t>
            </w:r>
          </w:p>
        </w:tc>
        <w:tc>
          <w:tcPr>
            <w:tcW w:w="58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720" w:type="dxa"/>
            <w:vAlign w:val="bottom"/>
            <w:gridSpan w:val="3"/>
          </w:tcPr>
          <w:p>
            <w:pPr>
              <w:ind w:left="260"/>
              <w:spacing w:after="0" w:line="176" w:lineRule="exact"/>
              <w:rPr>
                <w:sz w:val="20"/>
                <w:szCs w:val="20"/>
                <w:color w:val="auto"/>
              </w:rPr>
            </w:pPr>
            <w:r>
              <w:rPr>
                <w:rFonts w:ascii="Arial" w:cs="Arial" w:eastAsia="Arial" w:hAnsi="Arial"/>
                <w:sz w:val="18"/>
                <w:szCs w:val="18"/>
                <w:color w:val="auto"/>
              </w:rPr>
              <w:t>Common stock, par value $0.00001 per share,</w:t>
            </w:r>
          </w:p>
        </w:tc>
        <w:tc>
          <w:tcPr>
            <w:tcW w:w="1680" w:type="dxa"/>
            <w:vAlign w:val="bottom"/>
          </w:tcPr>
          <w:p>
            <w:pPr>
              <w:ind w:left="40"/>
              <w:spacing w:after="0" w:line="176" w:lineRule="exact"/>
              <w:rPr>
                <w:sz w:val="20"/>
                <w:szCs w:val="20"/>
                <w:color w:val="auto"/>
              </w:rPr>
            </w:pPr>
            <w:r>
              <w:rPr>
                <w:rFonts w:ascii="Arial" w:cs="Arial" w:eastAsia="Arial" w:hAnsi="Arial"/>
                <w:sz w:val="18"/>
                <w:szCs w:val="18"/>
                <w:color w:val="auto"/>
              </w:rPr>
              <w:t>shares authorized,</w:t>
            </w: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00" w:type="dxa"/>
            <w:vAlign w:val="bottom"/>
            <w:gridSpan w:val="4"/>
          </w:tcPr>
          <w:p>
            <w:pPr>
              <w:ind w:left="1260"/>
              <w:spacing w:after="0" w:line="183" w:lineRule="exact"/>
              <w:rPr>
                <w:sz w:val="20"/>
                <w:szCs w:val="20"/>
                <w:color w:val="auto"/>
              </w:rPr>
            </w:pPr>
            <w:r>
              <w:rPr>
                <w:rFonts w:ascii="Arial" w:cs="Arial" w:eastAsia="Arial" w:hAnsi="Arial"/>
                <w:sz w:val="18"/>
                <w:szCs w:val="18"/>
                <w:color w:val="auto"/>
              </w:rPr>
              <w:t>shares issued and outstanding, historical and pro forma as</w:t>
            </w: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200" w:type="dxa"/>
            <w:vAlign w:val="bottom"/>
          </w:tcPr>
          <w:p>
            <w:pPr>
              <w:ind w:left="460"/>
              <w:spacing w:after="0"/>
              <w:rPr>
                <w:sz w:val="20"/>
                <w:szCs w:val="20"/>
                <w:color w:val="auto"/>
              </w:rPr>
            </w:pPr>
            <w:r>
              <w:rPr>
                <w:rFonts w:ascii="Arial" w:cs="Arial" w:eastAsia="Arial" w:hAnsi="Arial"/>
                <w:sz w:val="18"/>
                <w:szCs w:val="18"/>
                <w:color w:val="auto"/>
              </w:rPr>
              <w:t>adjusted</w:t>
            </w:r>
          </w:p>
        </w:tc>
        <w:tc>
          <w:tcPr>
            <w:tcW w:w="5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780" w:type="dxa"/>
            <w:vAlign w:val="bottom"/>
            <w:gridSpan w:val="2"/>
            <w:shd w:val="clear" w:color="auto" w:fill="CCEEFF"/>
          </w:tcPr>
          <w:p>
            <w:pPr>
              <w:ind w:left="260"/>
              <w:spacing w:after="0" w:line="176" w:lineRule="exact"/>
              <w:rPr>
                <w:sz w:val="20"/>
                <w:szCs w:val="20"/>
                <w:color w:val="auto"/>
              </w:rPr>
            </w:pPr>
            <w:r>
              <w:rPr>
                <w:rFonts w:ascii="Arial" w:cs="Arial" w:eastAsia="Arial" w:hAnsi="Arial"/>
                <w:sz w:val="18"/>
                <w:szCs w:val="18"/>
                <w:color w:val="auto"/>
              </w:rPr>
              <w:t>Class A common stock, $</w:t>
            </w:r>
          </w:p>
        </w:tc>
        <w:tc>
          <w:tcPr>
            <w:tcW w:w="194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par value per share,</w:t>
            </w:r>
          </w:p>
        </w:tc>
        <w:tc>
          <w:tcPr>
            <w:tcW w:w="168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rPr>
              <w:t>shares</w:t>
            </w: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00" w:type="dxa"/>
            <w:vAlign w:val="bottom"/>
            <w:shd w:val="clear" w:color="auto" w:fill="CCEEFF"/>
          </w:tcPr>
          <w:p>
            <w:pPr>
              <w:ind w:left="460"/>
              <w:spacing w:after="0" w:line="183" w:lineRule="exact"/>
              <w:rPr>
                <w:sz w:val="20"/>
                <w:szCs w:val="20"/>
                <w:color w:val="auto"/>
              </w:rPr>
            </w:pPr>
            <w:r>
              <w:rPr>
                <w:rFonts w:ascii="Arial" w:cs="Arial" w:eastAsia="Arial" w:hAnsi="Arial"/>
                <w:sz w:val="18"/>
                <w:szCs w:val="18"/>
                <w:color w:val="auto"/>
              </w:rPr>
              <w:t>authorized,</w:t>
            </w:r>
          </w:p>
        </w:tc>
        <w:tc>
          <w:tcPr>
            <w:tcW w:w="420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shares issued and outstanding, pro forma as</w:t>
            </w: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adjusted</w:t>
            </w:r>
          </w:p>
        </w:tc>
        <w:tc>
          <w:tcPr>
            <w:tcW w:w="58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780" w:type="dxa"/>
            <w:vAlign w:val="bottom"/>
            <w:gridSpan w:val="2"/>
          </w:tcPr>
          <w:p>
            <w:pPr>
              <w:ind w:left="260"/>
              <w:spacing w:after="0" w:line="176" w:lineRule="exact"/>
              <w:rPr>
                <w:sz w:val="20"/>
                <w:szCs w:val="20"/>
                <w:color w:val="auto"/>
              </w:rPr>
            </w:pPr>
            <w:r>
              <w:rPr>
                <w:rFonts w:ascii="Arial" w:cs="Arial" w:eastAsia="Arial" w:hAnsi="Arial"/>
                <w:sz w:val="18"/>
                <w:szCs w:val="18"/>
                <w:color w:val="auto"/>
              </w:rPr>
              <w:t>Class B common stock, $</w:t>
            </w:r>
          </w:p>
        </w:tc>
        <w:tc>
          <w:tcPr>
            <w:tcW w:w="1940" w:type="dxa"/>
            <w:vAlign w:val="bottom"/>
          </w:tcPr>
          <w:p>
            <w:pPr>
              <w:ind w:left="300"/>
              <w:spacing w:after="0" w:line="176" w:lineRule="exact"/>
              <w:rPr>
                <w:sz w:val="20"/>
                <w:szCs w:val="20"/>
                <w:color w:val="auto"/>
              </w:rPr>
            </w:pPr>
            <w:r>
              <w:rPr>
                <w:rFonts w:ascii="Arial" w:cs="Arial" w:eastAsia="Arial" w:hAnsi="Arial"/>
                <w:sz w:val="18"/>
                <w:szCs w:val="18"/>
                <w:color w:val="auto"/>
              </w:rPr>
              <w:t>par value per share,</w:t>
            </w:r>
          </w:p>
        </w:tc>
        <w:tc>
          <w:tcPr>
            <w:tcW w:w="1680" w:type="dxa"/>
            <w:vAlign w:val="bottom"/>
          </w:tcPr>
          <w:p>
            <w:pPr>
              <w:ind w:left="820"/>
              <w:spacing w:after="0" w:line="176" w:lineRule="exact"/>
              <w:rPr>
                <w:sz w:val="20"/>
                <w:szCs w:val="20"/>
                <w:color w:val="auto"/>
              </w:rPr>
            </w:pPr>
            <w:r>
              <w:rPr>
                <w:rFonts w:ascii="Arial" w:cs="Arial" w:eastAsia="Arial" w:hAnsi="Arial"/>
                <w:sz w:val="18"/>
                <w:szCs w:val="18"/>
                <w:color w:val="auto"/>
              </w:rPr>
              <w:t>shares</w:t>
            </w: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00" w:type="dxa"/>
            <w:vAlign w:val="bottom"/>
          </w:tcPr>
          <w:p>
            <w:pPr>
              <w:ind w:left="460"/>
              <w:spacing w:after="0" w:line="183" w:lineRule="exact"/>
              <w:rPr>
                <w:sz w:val="20"/>
                <w:szCs w:val="20"/>
                <w:color w:val="auto"/>
              </w:rPr>
            </w:pPr>
            <w:r>
              <w:rPr>
                <w:rFonts w:ascii="Arial" w:cs="Arial" w:eastAsia="Arial" w:hAnsi="Arial"/>
                <w:sz w:val="18"/>
                <w:szCs w:val="18"/>
                <w:color w:val="auto"/>
              </w:rPr>
              <w:t>authorized,</w:t>
            </w:r>
          </w:p>
        </w:tc>
        <w:tc>
          <w:tcPr>
            <w:tcW w:w="4200" w:type="dxa"/>
            <w:vAlign w:val="bottom"/>
            <w:gridSpan w:val="3"/>
          </w:tcPr>
          <w:p>
            <w:pPr>
              <w:spacing w:after="0" w:line="183" w:lineRule="exact"/>
              <w:rPr>
                <w:sz w:val="20"/>
                <w:szCs w:val="20"/>
                <w:color w:val="auto"/>
              </w:rPr>
            </w:pPr>
            <w:r>
              <w:rPr>
                <w:rFonts w:ascii="Arial" w:cs="Arial" w:eastAsia="Arial" w:hAnsi="Arial"/>
                <w:sz w:val="18"/>
                <w:szCs w:val="18"/>
                <w:color w:val="auto"/>
              </w:rPr>
              <w:t>shares issued and outstanding, pro forma as</w:t>
            </w: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200" w:type="dxa"/>
            <w:vAlign w:val="bottom"/>
          </w:tcPr>
          <w:p>
            <w:pPr>
              <w:ind w:left="460"/>
              <w:spacing w:after="0"/>
              <w:rPr>
                <w:sz w:val="20"/>
                <w:szCs w:val="20"/>
                <w:color w:val="auto"/>
              </w:rPr>
            </w:pPr>
            <w:r>
              <w:rPr>
                <w:rFonts w:ascii="Arial" w:cs="Arial" w:eastAsia="Arial" w:hAnsi="Arial"/>
                <w:sz w:val="18"/>
                <w:szCs w:val="18"/>
                <w:color w:val="auto"/>
              </w:rPr>
              <w:t>adjusted</w:t>
            </w:r>
          </w:p>
        </w:tc>
        <w:tc>
          <w:tcPr>
            <w:tcW w:w="5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Additional paid-in capital</w:t>
            </w:r>
          </w:p>
        </w:tc>
        <w:tc>
          <w:tcPr>
            <w:tcW w:w="58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Accumulated deficit</w:t>
            </w:r>
          </w:p>
        </w:tc>
        <w:tc>
          <w:tcPr>
            <w:tcW w:w="58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stockholders’ equity</w:t>
            </w:r>
          </w:p>
        </w:tc>
        <w:tc>
          <w:tcPr>
            <w:tcW w:w="19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200" w:type="dxa"/>
            <w:vAlign w:val="bottom"/>
          </w:tcPr>
          <w:p>
            <w:pPr>
              <w:ind w:left="680"/>
              <w:spacing w:after="0"/>
              <w:rPr>
                <w:sz w:val="20"/>
                <w:szCs w:val="20"/>
                <w:color w:val="auto"/>
              </w:rPr>
            </w:pPr>
            <w:r>
              <w:rPr>
                <w:rFonts w:ascii="Arial" w:cs="Arial" w:eastAsia="Arial" w:hAnsi="Arial"/>
                <w:sz w:val="18"/>
                <w:szCs w:val="18"/>
                <w:color w:val="auto"/>
              </w:rPr>
              <w:t>Total capitalization</w:t>
            </w:r>
          </w:p>
        </w:tc>
        <w:tc>
          <w:tcPr>
            <w:tcW w:w="5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40" w:type="dxa"/>
            <w:vAlign w:val="bottom"/>
            <w:tcBorders>
              <w:bottom w:val="single" w:sz="8" w:color="auto"/>
            </w:tcBorders>
          </w:tcPr>
          <w:p>
            <w:pPr>
              <w:jc w:val="right"/>
              <w:ind w:right="1337"/>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200" w:type="dxa"/>
            <w:vAlign w:val="bottom"/>
            <w:vMerge w:val="restart"/>
          </w:tcPr>
          <w:p>
            <w:pPr>
              <w:spacing w:after="0"/>
              <w:rPr>
                <w:sz w:val="20"/>
                <w:szCs w:val="20"/>
                <w:color w:val="auto"/>
              </w:rPr>
            </w:pPr>
            <w:r>
              <w:rPr>
                <w:rFonts w:ascii="Arial" w:cs="Arial" w:eastAsia="Arial" w:hAnsi="Arial"/>
                <w:sz w:val="16"/>
                <w:szCs w:val="16"/>
                <w:color w:val="auto"/>
              </w:rPr>
              <w:t>_______________</w:t>
            </w:r>
          </w:p>
        </w:tc>
        <w:tc>
          <w:tcPr>
            <w:tcW w:w="5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200" w:type="dxa"/>
            <w:vAlign w:val="bottom"/>
            <w:vMerge w:val="continue"/>
          </w:tcPr>
          <w:p>
            <w:pPr>
              <w:spacing w:after="0"/>
              <w:rPr>
                <w:sz w:val="22"/>
                <w:szCs w:val="22"/>
                <w:color w:val="auto"/>
              </w:rPr>
            </w:pPr>
          </w:p>
        </w:tc>
        <w:tc>
          <w:tcPr>
            <w:tcW w:w="5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6400" w:type="dxa"/>
            <w:vAlign w:val="bottom"/>
            <w:gridSpan w:val="4"/>
          </w:tcPr>
          <w:p>
            <w:pPr>
              <w:spacing w:after="0"/>
              <w:rPr>
                <w:sz w:val="20"/>
                <w:szCs w:val="20"/>
                <w:color w:val="auto"/>
              </w:rPr>
            </w:pPr>
            <w:r>
              <w:rPr>
                <w:rFonts w:ascii="Arial" w:cs="Arial" w:eastAsia="Arial" w:hAnsi="Arial"/>
                <w:sz w:val="16"/>
                <w:szCs w:val="16"/>
                <w:color w:val="auto"/>
              </w:rPr>
              <w:t>(1)  Each $1.00 increase or decrease in the assumed initial public offering price of $</w:t>
            </w:r>
          </w:p>
        </w:tc>
        <w:tc>
          <w:tcPr>
            <w:tcW w:w="4840" w:type="dxa"/>
            <w:vAlign w:val="bottom"/>
            <w:gridSpan w:val="6"/>
          </w:tcPr>
          <w:p>
            <w:pPr>
              <w:ind w:left="700"/>
              <w:spacing w:after="0"/>
              <w:rPr>
                <w:sz w:val="20"/>
                <w:szCs w:val="20"/>
                <w:color w:val="auto"/>
              </w:rPr>
            </w:pPr>
            <w:r>
              <w:rPr>
                <w:rFonts w:ascii="Arial" w:cs="Arial" w:eastAsia="Arial" w:hAnsi="Arial"/>
                <w:sz w:val="16"/>
                <w:szCs w:val="16"/>
                <w:color w:val="auto"/>
              </w:rPr>
              <w:t>per share, which is the midpoint of the estimated offering</w:t>
            </w:r>
          </w:p>
        </w:tc>
        <w:tc>
          <w:tcPr>
            <w:tcW w:w="0" w:type="dxa"/>
            <w:vAlign w:val="bottom"/>
          </w:tcPr>
          <w:p>
            <w:pPr>
              <w:spacing w:after="0"/>
              <w:rPr>
                <w:sz w:val="1"/>
                <w:szCs w:val="1"/>
                <w:color w:val="auto"/>
              </w:rPr>
            </w:pPr>
          </w:p>
        </w:tc>
      </w:tr>
    </w:tbl>
    <w:p>
      <w:pPr>
        <w:ind w:left="340"/>
        <w:spacing w:after="0"/>
        <w:rPr>
          <w:sz w:val="20"/>
          <w:szCs w:val="20"/>
          <w:color w:val="auto"/>
        </w:rPr>
      </w:pPr>
      <w:r>
        <w:rPr>
          <w:rFonts w:ascii="Arial" w:cs="Arial" w:eastAsia="Arial" w:hAnsi="Arial"/>
          <w:sz w:val="16"/>
          <w:szCs w:val="16"/>
          <w:color w:val="auto"/>
        </w:rPr>
        <w:t>price range set forth on the cover page of this prospectus, would increase or decrease, as applicable, the amount of our pro forma as adjusted cash and</w:t>
      </w:r>
    </w:p>
    <w:p>
      <w:pPr>
        <w:spacing w:after="0" w:line="15"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color w:val="auto"/>
        </w:rPr>
        <w:t>cash equivalents, additional paid-in capital, accumulated deficit, total stockholders’ equity, and total capitalization by approximately $ million, assuming that the number of shares offered by us, as set forth on the cover page of this prospectus, remains the same, and after deducting underwriting discounts and commissions and estimated offering expenses payable by us. Similarly, each increase or decrease of 1.0 million in the number of shares offered by us would increase or decrease, as applicable, each of our cash and cash equivalents, additional paid-in capital, accumulated deficit, total stockholders’ equity, and total capitalization by approximately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44" w:lineRule="exact"/>
        <w:rPr>
          <w:sz w:val="20"/>
          <w:szCs w:val="20"/>
          <w:color w:val="auto"/>
        </w:rPr>
      </w:pPr>
    </w:p>
    <w:p>
      <w:pPr>
        <w:jc w:val="both"/>
        <w:ind w:left="340" w:hanging="8"/>
        <w:spacing w:after="0" w:line="275" w:lineRule="auto"/>
        <w:tabs>
          <w:tab w:leader="none" w:pos="1455" w:val="left"/>
        </w:tabs>
        <w:numPr>
          <w:ilvl w:val="0"/>
          <w:numId w:val="48"/>
        </w:numPr>
        <w:rPr>
          <w:rFonts w:ascii="Arial" w:cs="Arial" w:eastAsia="Arial" w:hAnsi="Arial"/>
          <w:sz w:val="16"/>
          <w:szCs w:val="16"/>
          <w:color w:val="auto"/>
        </w:rPr>
      </w:pPr>
      <w:r>
        <w:rPr>
          <w:rFonts w:ascii="Arial" w:cs="Arial" w:eastAsia="Arial" w:hAnsi="Arial"/>
          <w:sz w:val="16"/>
          <w:szCs w:val="16"/>
          <w:color w:val="auto"/>
        </w:rPr>
        <w:t>million, assuming that the assumed initial public offering price remains the same, and after deducting the underwriting discounts and commissions and estimated offering expenses payable by us. The pro forma as adjusted information discussed above is illustrative only and will adjust based on the actual initial public offering price and other terms of this offering determined at pricing.</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the underwriters’ option to purchase additional shares is exercised in full, pro forma as adjusted cash and cash equivalents, additional</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paid-in capital, accumulated deficit, total stockholders’ equity, and total capitalization and shares outstanding as of , 2025 would be $ million, $ million, $ million, $ million and , respectively.</w:t>
      </w:r>
    </w:p>
    <w:p>
      <w:pPr>
        <w:spacing w:after="0" w:line="117"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pro forma and pro forma as adjusted columns in the table above are based on shares of our Class A common stock and shares of our Class B common stock outstanding as of , 2025, and after giving effect to Capital Stock Conversion, the Reclassification, and the Class B Stock Exchange, excludes:</w:t>
      </w:r>
    </w:p>
    <w:p>
      <w:pPr>
        <w:sectPr>
          <w:pgSz w:w="11900" w:h="16838" w:orient="portrait"/>
          <w:cols w:equalWidth="0" w:num="1">
            <w:col w:w="11240"/>
          </w:cols>
          <w:pgMar w:left="320" w:top="1440" w:right="339" w:bottom="1440" w:gutter="0" w:footer="0" w:header="0"/>
        </w:sectPr>
      </w:pP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80" w:firstLine="951"/>
        <w:spacing w:after="0" w:line="287" w:lineRule="auto"/>
        <w:rPr>
          <w:sz w:val="20"/>
          <w:szCs w:val="20"/>
          <w:color w:val="auto"/>
        </w:rPr>
      </w:pPr>
      <w:r>
        <w:rPr>
          <w:rFonts w:ascii="Arial" w:cs="Arial" w:eastAsia="Arial" w:hAnsi="Arial"/>
          <w:sz w:val="18"/>
          <w:szCs w:val="18"/>
          <w:color w:val="auto"/>
        </w:rPr>
        <w:t>shares of Class A common stock issuable upon the exercise of outstanding options as of average exercise price of $ per share;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 with a weighted-</w:t>
      </w:r>
    </w:p>
    <w:p>
      <w:pPr>
        <w:spacing w:after="0" w:line="387" w:lineRule="exact"/>
        <w:rPr>
          <w:sz w:val="20"/>
          <w:szCs w:val="20"/>
          <w:color w:val="auto"/>
        </w:rPr>
      </w:pPr>
    </w:p>
    <w:p>
      <w:pPr>
        <w:sectPr>
          <w:pgSz w:w="11900" w:h="16838" w:orient="portrait"/>
          <w:cols w:equalWidth="0" w:num="3">
            <w:col w:w="400" w:space="260"/>
            <w:col w:w="8420" w:space="720"/>
            <w:col w:w="1440"/>
          </w:cols>
          <w:pgMar w:left="320" w:top="1440" w:right="33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tabs>
          <w:tab w:leader="none" w:pos="2100" w:val="left"/>
        </w:tabs>
        <w:rPr>
          <w:sz w:val="20"/>
          <w:szCs w:val="20"/>
          <w:color w:val="auto"/>
        </w:rPr>
      </w:pPr>
      <w:r>
        <w:rPr>
          <w:rFonts w:ascii="Arial" w:cs="Arial" w:eastAsia="Arial" w:hAnsi="Arial"/>
          <w:sz w:val="18"/>
          <w:szCs w:val="18"/>
          <w:color w:val="auto"/>
        </w:rPr>
        <w:t>RSUs covering</w:t>
      </w:r>
      <w:r>
        <w:rPr>
          <w:sz w:val="20"/>
          <w:szCs w:val="20"/>
          <w:color w:val="auto"/>
        </w:rPr>
        <w:tab/>
      </w:r>
      <w:r>
        <w:rPr>
          <w:rFonts w:ascii="Arial" w:cs="Arial" w:eastAsia="Arial" w:hAnsi="Arial"/>
          <w:sz w:val="18"/>
          <w:szCs w:val="18"/>
          <w:color w:val="auto"/>
        </w:rPr>
        <w:t>shares of Class A common stock as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2025, which are issuable upon satisfaction of service-</w:t>
      </w:r>
    </w:p>
    <w:p>
      <w:pPr>
        <w:spacing w:after="0" w:line="32" w:lineRule="exact"/>
        <w:rPr>
          <w:sz w:val="20"/>
          <w:szCs w:val="20"/>
          <w:color w:val="auto"/>
        </w:rPr>
      </w:pPr>
    </w:p>
    <w:p>
      <w:pPr>
        <w:sectPr>
          <w:pgSz w:w="11900" w:h="16838" w:orient="portrait"/>
          <w:cols w:equalWidth="0" w:num="3">
            <w:col w:w="400" w:space="260"/>
            <w:col w:w="5440" w:space="720"/>
            <w:col w:w="4420"/>
          </w:cols>
          <w:pgMar w:left="320" w:top="1440" w:right="33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based and liquidity-based vesting conditions;</w:t>
      </w:r>
    </w:p>
    <w:p>
      <w:pPr>
        <w:spacing w:after="0" w:line="148" w:lineRule="exact"/>
        <w:rPr>
          <w:sz w:val="20"/>
          <w:szCs w:val="20"/>
          <w:color w:val="auto"/>
        </w:rPr>
      </w:pPr>
    </w:p>
    <w:p>
      <w:pPr>
        <w:jc w:val="both"/>
        <w:ind w:left="660" w:hanging="328"/>
        <w:spacing w:after="0" w:line="262" w:lineRule="auto"/>
        <w:tabs>
          <w:tab w:leader="none" w:pos="1473"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2025 Plan, which will become effective on the day immediately prior to the date of effectiveness of the registration statement of which this prospectus forms a part, as well as any shares of Class A common stock that become available pursuant to provisions in the 2025 Plan that automatically increase the share reserve under the 2025 Plan; and</w:t>
      </w:r>
    </w:p>
    <w:p>
      <w:pPr>
        <w:spacing w:after="0" w:line="122" w:lineRule="exact"/>
        <w:rPr>
          <w:rFonts w:ascii="Arial" w:cs="Arial" w:eastAsia="Arial" w:hAnsi="Arial"/>
          <w:sz w:val="18"/>
          <w:szCs w:val="18"/>
          <w:color w:val="auto"/>
        </w:rPr>
      </w:pPr>
    </w:p>
    <w:p>
      <w:pPr>
        <w:jc w:val="both"/>
        <w:ind w:left="660" w:hanging="328"/>
        <w:spacing w:after="0" w:line="262" w:lineRule="auto"/>
        <w:tabs>
          <w:tab w:leader="none" w:pos="1634"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ESPP, which will become effective on the day immediately prior to the date of effectiveness of the registration statement of which this prospectus forms a part, as well as any shares of Class A common stock that become available pursuant to provisions in the ESPP that automatically increase the share reserve under the ESPP.</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see the section titled “Executive Compensation—Equity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0" w:right="339" w:bottom="1440" w:gutter="0" w:footer="0" w:header="0"/>
          <w:type w:val="continuous"/>
        </w:sectPr>
      </w:pPr>
    </w:p>
    <w:bookmarkStart w:id="137" w:name="page138"/>
    <w:bookmarkEnd w:id="137"/>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you invest in our Class A common stock in this offering, your ownership interest will be diluted to the extent of the difference between the initial public offering price per share of our Class A common stock and the pro forma as adjusted net tangible book value per share of our common stock immediately after this offering. Net tangible book value dilution per share to new investors represents the difference between the amount per share paid by purchasers of shares of our Class A common stock in this offering and the pro forma as adjusted net tangible book value per share of our common stock immediately after this offering.</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tangible book value (deficit) per share is determined by dividing our total tangible assets less our total liabilities by the number of</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gridSpan w:val="4"/>
          </w:tcPr>
          <w:p>
            <w:pPr>
              <w:spacing w:after="0"/>
              <w:rPr>
                <w:sz w:val="20"/>
                <w:szCs w:val="20"/>
                <w:color w:val="auto"/>
              </w:rPr>
            </w:pPr>
            <w:r>
              <w:rPr>
                <w:rFonts w:ascii="Arial" w:cs="Arial" w:eastAsia="Arial" w:hAnsi="Arial"/>
                <w:sz w:val="18"/>
                <w:szCs w:val="18"/>
                <w:color w:val="auto"/>
              </w:rPr>
              <w:t>shares of our common stock outstanding. Our historical net tangible book value (deficit) as of</w:t>
            </w:r>
          </w:p>
        </w:tc>
        <w:tc>
          <w:tcPr>
            <w:tcW w:w="1840" w:type="dxa"/>
            <w:vAlign w:val="bottom"/>
          </w:tcPr>
          <w:p>
            <w:pPr>
              <w:ind w:left="680"/>
              <w:spacing w:after="0"/>
              <w:rPr>
                <w:sz w:val="20"/>
                <w:szCs w:val="20"/>
                <w:color w:val="auto"/>
              </w:rPr>
            </w:pPr>
            <w:r>
              <w:rPr>
                <w:rFonts w:ascii="Arial" w:cs="Arial" w:eastAsia="Arial" w:hAnsi="Arial"/>
                <w:sz w:val="18"/>
                <w:szCs w:val="18"/>
                <w:color w:val="auto"/>
              </w:rPr>
              <w:t>, 2025 was $</w:t>
            </w:r>
          </w:p>
        </w:tc>
        <w:tc>
          <w:tcPr>
            <w:tcW w:w="1740" w:type="dxa"/>
            <w:vAlign w:val="bottom"/>
          </w:tcPr>
          <w:p>
            <w:pPr>
              <w:jc w:val="right"/>
              <w:spacing w:after="0"/>
              <w:rPr>
                <w:sz w:val="20"/>
                <w:szCs w:val="20"/>
                <w:color w:val="auto"/>
              </w:rPr>
            </w:pPr>
            <w:r>
              <w:rPr>
                <w:rFonts w:ascii="Arial" w:cs="Arial" w:eastAsia="Arial" w:hAnsi="Arial"/>
                <w:sz w:val="18"/>
                <w:szCs w:val="18"/>
                <w:color w:val="auto"/>
              </w:rPr>
              <w:t>million, or $</w:t>
            </w:r>
          </w:p>
        </w:tc>
      </w:tr>
      <w:tr>
        <w:trPr>
          <w:trHeight w:val="216"/>
        </w:trPr>
        <w:tc>
          <w:tcPr>
            <w:tcW w:w="78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per share. Our pro forma net tangible book value as of</w:t>
            </w:r>
          </w:p>
        </w:tc>
        <w:tc>
          <w:tcPr>
            <w:tcW w:w="1980" w:type="dxa"/>
            <w:vAlign w:val="bottom"/>
          </w:tcPr>
          <w:p>
            <w:pPr>
              <w:ind w:left="220"/>
              <w:spacing w:after="0"/>
              <w:rPr>
                <w:sz w:val="20"/>
                <w:szCs w:val="20"/>
                <w:color w:val="auto"/>
              </w:rPr>
            </w:pPr>
            <w:r>
              <w:rPr>
                <w:rFonts w:ascii="Arial" w:cs="Arial" w:eastAsia="Arial" w:hAnsi="Arial"/>
                <w:sz w:val="18"/>
                <w:szCs w:val="18"/>
                <w:color w:val="auto"/>
              </w:rPr>
              <w:t>, 2025 was $</w:t>
            </w:r>
          </w:p>
        </w:tc>
        <w:tc>
          <w:tcPr>
            <w:tcW w:w="1840" w:type="dxa"/>
            <w:vAlign w:val="bottom"/>
          </w:tcPr>
          <w:p>
            <w:pPr>
              <w:ind w:left="160"/>
              <w:spacing w:after="0"/>
              <w:rPr>
                <w:sz w:val="20"/>
                <w:szCs w:val="20"/>
                <w:color w:val="auto"/>
              </w:rPr>
            </w:pPr>
            <w:r>
              <w:rPr>
                <w:rFonts w:ascii="Arial" w:cs="Arial" w:eastAsia="Arial" w:hAnsi="Arial"/>
                <w:sz w:val="18"/>
                <w:szCs w:val="18"/>
                <w:color w:val="auto"/>
              </w:rPr>
              <w:t>million, or $</w:t>
            </w:r>
          </w:p>
        </w:tc>
        <w:tc>
          <w:tcPr>
            <w:tcW w:w="1740" w:type="dxa"/>
            <w:vAlign w:val="bottom"/>
          </w:tcPr>
          <w:p>
            <w:pPr>
              <w:jc w:val="right"/>
              <w:spacing w:after="0"/>
              <w:rPr>
                <w:sz w:val="20"/>
                <w:szCs w:val="20"/>
                <w:color w:val="auto"/>
              </w:rPr>
            </w:pPr>
            <w:r>
              <w:rPr>
                <w:rFonts w:ascii="Arial" w:cs="Arial" w:eastAsia="Arial" w:hAnsi="Arial"/>
                <w:sz w:val="18"/>
                <w:szCs w:val="18"/>
                <w:color w:val="auto"/>
              </w:rPr>
              <w:t>per share, based on</w:t>
            </w:r>
          </w:p>
        </w:tc>
      </w:tr>
      <w:tr>
        <w:trPr>
          <w:trHeight w:val="216"/>
        </w:trPr>
        <w:tc>
          <w:tcPr>
            <w:tcW w:w="5680" w:type="dxa"/>
            <w:vAlign w:val="bottom"/>
            <w:gridSpan w:val="3"/>
          </w:tcPr>
          <w:p>
            <w:pPr>
              <w:spacing w:after="0"/>
              <w:rPr>
                <w:sz w:val="20"/>
                <w:szCs w:val="20"/>
                <w:color w:val="auto"/>
              </w:rPr>
            </w:pPr>
            <w:r>
              <w:rPr>
                <w:rFonts w:ascii="Arial" w:cs="Arial" w:eastAsia="Arial" w:hAnsi="Arial"/>
                <w:sz w:val="18"/>
                <w:szCs w:val="18"/>
                <w:color w:val="auto"/>
              </w:rPr>
              <w:t>the total number of shares of our common stock outstanding as of</w:t>
            </w:r>
          </w:p>
        </w:tc>
        <w:tc>
          <w:tcPr>
            <w:tcW w:w="5560" w:type="dxa"/>
            <w:vAlign w:val="bottom"/>
            <w:gridSpan w:val="3"/>
          </w:tcPr>
          <w:p>
            <w:pPr>
              <w:jc w:val="right"/>
              <w:spacing w:after="0"/>
              <w:rPr>
                <w:sz w:val="20"/>
                <w:szCs w:val="20"/>
                <w:color w:val="auto"/>
              </w:rPr>
            </w:pPr>
            <w:r>
              <w:rPr>
                <w:rFonts w:ascii="Arial" w:cs="Arial" w:eastAsia="Arial" w:hAnsi="Arial"/>
                <w:sz w:val="18"/>
                <w:szCs w:val="18"/>
                <w:color w:val="auto"/>
              </w:rPr>
              <w:t>, 2025 after giving effect to Capital Stock Conversion, the</w:t>
            </w:r>
          </w:p>
        </w:tc>
      </w:tr>
      <w:tr>
        <w:trPr>
          <w:trHeight w:val="239"/>
        </w:trPr>
        <w:tc>
          <w:tcPr>
            <w:tcW w:w="4100" w:type="dxa"/>
            <w:vAlign w:val="bottom"/>
            <w:gridSpan w:val="2"/>
          </w:tcPr>
          <w:p>
            <w:pPr>
              <w:spacing w:after="0"/>
              <w:rPr>
                <w:sz w:val="20"/>
                <w:szCs w:val="20"/>
                <w:color w:val="auto"/>
              </w:rPr>
            </w:pPr>
            <w:r>
              <w:rPr>
                <w:rFonts w:ascii="Arial" w:cs="Arial" w:eastAsia="Arial" w:hAnsi="Arial"/>
                <w:sz w:val="18"/>
                <w:szCs w:val="18"/>
                <w:color w:val="auto"/>
              </w:rPr>
              <w:t>Reclassification, and the Class B Stock Exchange.</w:t>
            </w:r>
          </w:p>
        </w:tc>
        <w:tc>
          <w:tcPr>
            <w:tcW w:w="1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55"/>
        </w:trPr>
        <w:tc>
          <w:tcPr>
            <w:tcW w:w="4100" w:type="dxa"/>
            <w:vAlign w:val="bottom"/>
            <w:gridSpan w:val="2"/>
          </w:tcPr>
          <w:p>
            <w:pPr>
              <w:ind w:left="340"/>
              <w:spacing w:after="0"/>
              <w:rPr>
                <w:sz w:val="20"/>
                <w:szCs w:val="20"/>
                <w:color w:val="auto"/>
              </w:rPr>
            </w:pPr>
            <w:r>
              <w:rPr>
                <w:rFonts w:ascii="Arial" w:cs="Arial" w:eastAsia="Arial" w:hAnsi="Arial"/>
                <w:sz w:val="18"/>
                <w:szCs w:val="18"/>
                <w:color w:val="auto"/>
              </w:rPr>
              <w:t>After giving effect to the sale by us of</w:t>
            </w:r>
          </w:p>
        </w:tc>
        <w:tc>
          <w:tcPr>
            <w:tcW w:w="7140" w:type="dxa"/>
            <w:vAlign w:val="bottom"/>
            <w:gridSpan w:val="4"/>
          </w:tcPr>
          <w:p>
            <w:pPr>
              <w:jc w:val="right"/>
              <w:spacing w:after="0"/>
              <w:rPr>
                <w:sz w:val="20"/>
                <w:szCs w:val="20"/>
                <w:color w:val="auto"/>
              </w:rPr>
            </w:pPr>
            <w:r>
              <w:rPr>
                <w:rFonts w:ascii="Arial" w:cs="Arial" w:eastAsia="Arial" w:hAnsi="Arial"/>
                <w:sz w:val="18"/>
                <w:szCs w:val="18"/>
                <w:color w:val="auto"/>
              </w:rPr>
              <w:t>shares of our Class A common stock in this offering at the assumed initial public offering</w:t>
            </w:r>
          </w:p>
        </w:tc>
      </w:tr>
      <w:tr>
        <w:trPr>
          <w:trHeight w:val="234"/>
        </w:trPr>
        <w:tc>
          <w:tcPr>
            <w:tcW w:w="780" w:type="dxa"/>
            <w:vAlign w:val="bottom"/>
          </w:tcPr>
          <w:p>
            <w:pPr>
              <w:spacing w:after="0"/>
              <w:rPr>
                <w:sz w:val="20"/>
                <w:szCs w:val="20"/>
                <w:color w:val="auto"/>
              </w:rPr>
            </w:pPr>
            <w:r>
              <w:rPr>
                <w:rFonts w:ascii="Arial" w:cs="Arial" w:eastAsia="Arial" w:hAnsi="Arial"/>
                <w:sz w:val="18"/>
                <w:szCs w:val="18"/>
                <w:color w:val="auto"/>
              </w:rPr>
              <w:t>price of $</w:t>
            </w:r>
          </w:p>
        </w:tc>
        <w:tc>
          <w:tcPr>
            <w:tcW w:w="10460" w:type="dxa"/>
            <w:vAlign w:val="bottom"/>
            <w:gridSpan w:val="5"/>
          </w:tcPr>
          <w:p>
            <w:pPr>
              <w:jc w:val="right"/>
              <w:spacing w:after="0"/>
              <w:rPr>
                <w:sz w:val="20"/>
                <w:szCs w:val="20"/>
                <w:color w:val="auto"/>
              </w:rPr>
            </w:pPr>
            <w:r>
              <w:rPr>
                <w:rFonts w:ascii="Arial" w:cs="Arial" w:eastAsia="Arial" w:hAnsi="Arial"/>
                <w:sz w:val="18"/>
                <w:szCs w:val="18"/>
                <w:color w:val="auto"/>
              </w:rPr>
              <w:t>per share, which is the midpoint of the estimated offering price range set forth on the cover page of this prospectus, and</w:t>
            </w:r>
          </w:p>
        </w:tc>
      </w:tr>
    </w:tbl>
    <w:p>
      <w:pPr>
        <w:spacing w:after="0"/>
        <w:rPr>
          <w:sz w:val="20"/>
          <w:szCs w:val="20"/>
          <w:color w:val="auto"/>
        </w:rPr>
      </w:pPr>
      <w:r>
        <w:rPr>
          <w:rFonts w:ascii="Arial" w:cs="Arial" w:eastAsia="Arial" w:hAnsi="Arial"/>
          <w:sz w:val="18"/>
          <w:szCs w:val="18"/>
          <w:color w:val="auto"/>
        </w:rPr>
        <w:t>after deducting underwriting discounts and commissions and estimated offering expenses payable by us, our pro forma as adjusted net</w:t>
      </w: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20"/>
                <w:szCs w:val="20"/>
                <w:color w:val="auto"/>
              </w:rPr>
            </w:pPr>
            <w:r>
              <w:rPr>
                <w:rFonts w:ascii="Arial" w:cs="Arial" w:eastAsia="Arial" w:hAnsi="Arial"/>
                <w:sz w:val="18"/>
                <w:szCs w:val="18"/>
                <w:color w:val="auto"/>
              </w:rPr>
              <w:t>tangible book value to give effect to this offering as of</w:t>
            </w:r>
          </w:p>
        </w:tc>
        <w:tc>
          <w:tcPr>
            <w:tcW w:w="2520" w:type="dxa"/>
            <w:vAlign w:val="bottom"/>
            <w:gridSpan w:val="2"/>
          </w:tcPr>
          <w:p>
            <w:pPr>
              <w:ind w:left="300"/>
              <w:spacing w:after="0"/>
              <w:rPr>
                <w:sz w:val="20"/>
                <w:szCs w:val="20"/>
                <w:color w:val="auto"/>
              </w:rPr>
            </w:pPr>
            <w:r>
              <w:rPr>
                <w:rFonts w:ascii="Arial" w:cs="Arial" w:eastAsia="Arial" w:hAnsi="Arial"/>
                <w:sz w:val="18"/>
                <w:szCs w:val="18"/>
                <w:color w:val="auto"/>
              </w:rPr>
              <w:t>, 2025 would have been $</w:t>
            </w: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million, or $</w:t>
            </w:r>
          </w:p>
        </w:tc>
        <w:tc>
          <w:tcPr>
            <w:tcW w:w="1840" w:type="dxa"/>
            <w:vAlign w:val="bottom"/>
          </w:tcPr>
          <w:p>
            <w:pPr>
              <w:jc w:val="right"/>
              <w:spacing w:after="0"/>
              <w:rPr>
                <w:sz w:val="20"/>
                <w:szCs w:val="20"/>
                <w:color w:val="auto"/>
              </w:rPr>
            </w:pPr>
            <w:r>
              <w:rPr>
                <w:rFonts w:ascii="Arial" w:cs="Arial" w:eastAsia="Arial" w:hAnsi="Arial"/>
                <w:sz w:val="18"/>
                <w:szCs w:val="18"/>
                <w:color w:val="auto"/>
              </w:rPr>
              <w:t>per share. This</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represents an immediate increase in pro forma net tangible book value of $</w:t>
            </w:r>
          </w:p>
        </w:tc>
        <w:tc>
          <w:tcPr>
            <w:tcW w:w="740" w:type="dxa"/>
            <w:vAlign w:val="bottom"/>
          </w:tcPr>
          <w:p>
            <w:pPr>
              <w:spacing w:after="0"/>
              <w:rPr>
                <w:sz w:val="18"/>
                <w:szCs w:val="18"/>
                <w:color w:val="auto"/>
              </w:rPr>
            </w:pP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per share to our existing stockholders and an</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immediate dilution in pro forma as adjusted net tangible book value of $</w:t>
            </w:r>
          </w:p>
        </w:tc>
        <w:tc>
          <w:tcPr>
            <w:tcW w:w="4620" w:type="dxa"/>
            <w:vAlign w:val="bottom"/>
            <w:gridSpan w:val="3"/>
          </w:tcPr>
          <w:p>
            <w:pPr>
              <w:jc w:val="right"/>
              <w:spacing w:after="0"/>
              <w:rPr>
                <w:sz w:val="20"/>
                <w:szCs w:val="20"/>
                <w:color w:val="auto"/>
              </w:rPr>
            </w:pPr>
            <w:r>
              <w:rPr>
                <w:rFonts w:ascii="Arial" w:cs="Arial" w:eastAsia="Arial" w:hAnsi="Arial"/>
                <w:sz w:val="18"/>
                <w:szCs w:val="18"/>
                <w:color w:val="auto"/>
              </w:rPr>
              <w:t>per share to investors purchasing shares of our Class A</w:t>
            </w:r>
          </w:p>
        </w:tc>
      </w:tr>
      <w:tr>
        <w:trPr>
          <w:trHeight w:val="239"/>
        </w:trPr>
        <w:tc>
          <w:tcPr>
            <w:tcW w:w="9400" w:type="dxa"/>
            <w:vAlign w:val="bottom"/>
            <w:gridSpan w:val="4"/>
          </w:tcPr>
          <w:p>
            <w:pPr>
              <w:spacing w:after="0"/>
              <w:rPr>
                <w:sz w:val="20"/>
                <w:szCs w:val="20"/>
                <w:color w:val="auto"/>
              </w:rPr>
            </w:pPr>
            <w:r>
              <w:rPr>
                <w:rFonts w:ascii="Arial" w:cs="Arial" w:eastAsia="Arial" w:hAnsi="Arial"/>
                <w:sz w:val="18"/>
                <w:szCs w:val="18"/>
                <w:color w:val="auto"/>
              </w:rPr>
              <w:t>common stock in this offering at the assumed initial public offering price. The following table illustrates this dilution:</w:t>
            </w:r>
          </w:p>
        </w:tc>
        <w:tc>
          <w:tcPr>
            <w:tcW w:w="1840" w:type="dxa"/>
            <w:vAlign w:val="bottom"/>
          </w:tcPr>
          <w:p>
            <w:pPr>
              <w:spacing w:after="0"/>
              <w:rPr>
                <w:sz w:val="20"/>
                <w:szCs w:val="20"/>
                <w:color w:val="auto"/>
              </w:rPr>
            </w:pPr>
          </w:p>
        </w:tc>
      </w:tr>
      <w:tr>
        <w:trPr>
          <w:trHeight w:val="185"/>
        </w:trPr>
        <w:tc>
          <w:tcPr>
            <w:tcW w:w="48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4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initial public offering price per share</w:t>
            </w:r>
          </w:p>
        </w:tc>
        <w:tc>
          <w:tcPr>
            <w:tcW w:w="17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rPr>
              <w:t>$</w:t>
            </w:r>
          </w:p>
        </w:tc>
      </w:tr>
      <w:tr>
        <w:trPr>
          <w:trHeight w:val="243"/>
        </w:trPr>
        <w:tc>
          <w:tcPr>
            <w:tcW w:w="4840" w:type="dxa"/>
            <w:vAlign w:val="bottom"/>
          </w:tcPr>
          <w:p>
            <w:pPr>
              <w:ind w:left="240"/>
              <w:spacing w:after="0"/>
              <w:rPr>
                <w:sz w:val="20"/>
                <w:szCs w:val="20"/>
                <w:color w:val="auto"/>
              </w:rPr>
            </w:pPr>
            <w:r>
              <w:rPr>
                <w:rFonts w:ascii="Arial" w:cs="Arial" w:eastAsia="Arial" w:hAnsi="Arial"/>
                <w:sz w:val="18"/>
                <w:szCs w:val="18"/>
                <w:color w:val="auto"/>
              </w:rPr>
              <w:t>Historical net tangible book value (deficit) per share as of</w:t>
            </w:r>
          </w:p>
        </w:tc>
        <w:tc>
          <w:tcPr>
            <w:tcW w:w="1780" w:type="dxa"/>
            <w:vAlign w:val="bottom"/>
          </w:tcPr>
          <w:p>
            <w:pPr>
              <w:jc w:val="right"/>
              <w:ind w:right="510"/>
              <w:spacing w:after="0"/>
              <w:rPr>
                <w:sz w:val="20"/>
                <w:szCs w:val="20"/>
                <w:color w:val="auto"/>
              </w:rPr>
            </w:pPr>
            <w:r>
              <w:rPr>
                <w:rFonts w:ascii="Arial" w:cs="Arial" w:eastAsia="Arial" w:hAnsi="Arial"/>
                <w:sz w:val="18"/>
                <w:szCs w:val="18"/>
                <w:color w:val="auto"/>
              </w:rPr>
              <w:t>, 2025</w:t>
            </w:r>
          </w:p>
        </w:tc>
        <w:tc>
          <w:tcPr>
            <w:tcW w:w="740" w:type="dxa"/>
            <w:vAlign w:val="bottom"/>
          </w:tcPr>
          <w:p>
            <w:pPr>
              <w:spacing w:after="0"/>
              <w:rPr>
                <w:sz w:val="21"/>
                <w:szCs w:val="21"/>
                <w:color w:val="auto"/>
              </w:rPr>
            </w:pPr>
          </w:p>
        </w:tc>
        <w:tc>
          <w:tcPr>
            <w:tcW w:w="2040" w:type="dxa"/>
            <w:vAlign w:val="bottom"/>
          </w:tcPr>
          <w:p>
            <w:pPr>
              <w:jc w:val="right"/>
              <w:ind w:right="1170"/>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1"/>
                <w:szCs w:val="21"/>
                <w:color w:val="auto"/>
              </w:rPr>
            </w:pPr>
          </w:p>
        </w:tc>
      </w:tr>
      <w:tr>
        <w:trPr>
          <w:trHeight w:val="243"/>
        </w:trPr>
        <w:tc>
          <w:tcPr>
            <w:tcW w:w="6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Increase per share attributable to the pro forma adjustments described above</w:t>
            </w:r>
          </w:p>
        </w:tc>
        <w:tc>
          <w:tcPr>
            <w:tcW w:w="74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r>
      <w:tr>
        <w:trPr>
          <w:trHeight w:val="243"/>
        </w:trPr>
        <w:tc>
          <w:tcPr>
            <w:tcW w:w="4840" w:type="dxa"/>
            <w:vAlign w:val="bottom"/>
          </w:tcPr>
          <w:p>
            <w:pPr>
              <w:ind w:left="240"/>
              <w:spacing w:after="0"/>
              <w:rPr>
                <w:sz w:val="20"/>
                <w:szCs w:val="20"/>
                <w:color w:val="auto"/>
              </w:rPr>
            </w:pPr>
            <w:r>
              <w:rPr>
                <w:rFonts w:ascii="Arial" w:cs="Arial" w:eastAsia="Arial" w:hAnsi="Arial"/>
                <w:sz w:val="18"/>
                <w:szCs w:val="18"/>
                <w:color w:val="auto"/>
              </w:rPr>
              <w:t>Pro forma net tangible book value per share as of</w:t>
            </w:r>
          </w:p>
        </w:tc>
        <w:tc>
          <w:tcPr>
            <w:tcW w:w="1780" w:type="dxa"/>
            <w:vAlign w:val="bottom"/>
          </w:tcPr>
          <w:p>
            <w:pPr>
              <w:jc w:val="right"/>
              <w:ind w:right="1110"/>
              <w:spacing w:after="0"/>
              <w:rPr>
                <w:sz w:val="20"/>
                <w:szCs w:val="20"/>
                <w:color w:val="auto"/>
              </w:rPr>
            </w:pPr>
            <w:r>
              <w:rPr>
                <w:rFonts w:ascii="Arial" w:cs="Arial" w:eastAsia="Arial" w:hAnsi="Arial"/>
                <w:sz w:val="18"/>
                <w:szCs w:val="18"/>
                <w:color w:val="auto"/>
              </w:rPr>
              <w:t>, 2025</w:t>
            </w:r>
          </w:p>
        </w:tc>
        <w:tc>
          <w:tcPr>
            <w:tcW w:w="7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175"/>
        </w:trPr>
        <w:tc>
          <w:tcPr>
            <w:tcW w:w="9400" w:type="dxa"/>
            <w:vAlign w:val="bottom"/>
            <w:gridSpan w:val="4"/>
            <w:shd w:val="clear" w:color="auto" w:fill="CCEEFF"/>
          </w:tcPr>
          <w:p>
            <w:pPr>
              <w:ind w:left="240"/>
              <w:spacing w:after="0" w:line="176" w:lineRule="exact"/>
              <w:rPr>
                <w:sz w:val="20"/>
                <w:szCs w:val="20"/>
                <w:color w:val="auto"/>
              </w:rPr>
            </w:pPr>
            <w:r>
              <w:rPr>
                <w:rFonts w:ascii="Arial" w:cs="Arial" w:eastAsia="Arial" w:hAnsi="Arial"/>
                <w:sz w:val="18"/>
                <w:szCs w:val="18"/>
                <w:color w:val="auto"/>
              </w:rPr>
              <w:t>Increase in pro forma net tangible book value per share attributable to investors purchasing</w:t>
            </w:r>
          </w:p>
        </w:tc>
        <w:tc>
          <w:tcPr>
            <w:tcW w:w="1840" w:type="dxa"/>
            <w:vAlign w:val="bottom"/>
            <w:shd w:val="clear" w:color="auto" w:fill="CCEEFF"/>
          </w:tcPr>
          <w:p>
            <w:pPr>
              <w:spacing w:after="0"/>
              <w:rPr>
                <w:sz w:val="15"/>
                <w:szCs w:val="15"/>
                <w:color w:val="auto"/>
              </w:rPr>
            </w:pPr>
          </w:p>
        </w:tc>
      </w:tr>
      <w:tr>
        <w:trPr>
          <w:trHeight w:val="243"/>
        </w:trPr>
        <w:tc>
          <w:tcPr>
            <w:tcW w:w="4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shares of Class A common stock in this offering</w:t>
            </w:r>
          </w:p>
        </w:tc>
        <w:tc>
          <w:tcPr>
            <w:tcW w:w="17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r>
      <w:tr>
        <w:trPr>
          <w:trHeight w:val="243"/>
        </w:trPr>
        <w:tc>
          <w:tcPr>
            <w:tcW w:w="7360" w:type="dxa"/>
            <w:vAlign w:val="bottom"/>
            <w:gridSpan w:val="3"/>
          </w:tcPr>
          <w:p>
            <w:pPr>
              <w:ind w:left="20"/>
              <w:spacing w:after="0"/>
              <w:rPr>
                <w:sz w:val="20"/>
                <w:szCs w:val="20"/>
                <w:color w:val="auto"/>
              </w:rPr>
            </w:pPr>
            <w:r>
              <w:rPr>
                <w:rFonts w:ascii="Arial" w:cs="Arial" w:eastAsia="Arial" w:hAnsi="Arial"/>
                <w:sz w:val="18"/>
                <w:szCs w:val="18"/>
                <w:color w:val="auto"/>
              </w:rPr>
              <w:t>Pro forma as adjusted net tangible book value per share immediately after this offering</w:t>
            </w:r>
          </w:p>
        </w:tc>
        <w:tc>
          <w:tcPr>
            <w:tcW w:w="204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43"/>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Dilution in pro forma net tangible book value per share to investors in this offering</w:t>
            </w:r>
          </w:p>
        </w:tc>
        <w:tc>
          <w:tcPr>
            <w:tcW w:w="74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rPr>
              <w:t>$</w:t>
            </w:r>
          </w:p>
        </w:tc>
      </w:tr>
      <w:tr>
        <w:trPr>
          <w:trHeight w:val="472"/>
        </w:trPr>
        <w:tc>
          <w:tcPr>
            <w:tcW w:w="7360" w:type="dxa"/>
            <w:vAlign w:val="bottom"/>
            <w:gridSpan w:val="3"/>
          </w:tcPr>
          <w:p>
            <w:pPr>
              <w:ind w:left="340"/>
              <w:spacing w:after="0"/>
              <w:rPr>
                <w:sz w:val="20"/>
                <w:szCs w:val="20"/>
                <w:color w:val="auto"/>
              </w:rPr>
            </w:pPr>
            <w:r>
              <w:rPr>
                <w:rFonts w:ascii="Arial" w:cs="Arial" w:eastAsia="Arial" w:hAnsi="Arial"/>
                <w:sz w:val="18"/>
                <w:szCs w:val="18"/>
                <w:color w:val="auto"/>
              </w:rPr>
              <w:t>Each $1.00 increase or decrease in the assumed initial public offering price of $</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per share, which is the midpoint of the</w:t>
            </w:r>
          </w:p>
        </w:tc>
      </w:tr>
    </w:tbl>
    <w:p>
      <w:pPr>
        <w:spacing w:after="0"/>
        <w:rPr>
          <w:sz w:val="20"/>
          <w:szCs w:val="20"/>
          <w:color w:val="auto"/>
        </w:rPr>
      </w:pPr>
      <w:r>
        <w:rPr>
          <w:rFonts w:ascii="Arial" w:cs="Arial" w:eastAsia="Arial" w:hAnsi="Arial"/>
          <w:sz w:val="18"/>
          <w:szCs w:val="18"/>
          <w:color w:val="auto"/>
        </w:rPr>
        <w:t>estimated offering price range set forth on the cover page of this prospectus, would increase or decrease, as applicable, our pro forma as</w:t>
      </w:r>
    </w:p>
    <w:p>
      <w:pPr>
        <w:spacing w:after="0" w:line="200" w:lineRule="exact"/>
        <w:rPr>
          <w:sz w:val="20"/>
          <w:szCs w:val="20"/>
          <w:color w:val="auto"/>
        </w:rPr>
      </w:pP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adjusted net tangible book value per share immediately after this offering by approximately $ , and would increase or decrease, as applicable, dilution per share to new investors purchasing shares of Class A common stock in this offering by $ , assuming that the</w:t>
      </w:r>
    </w:p>
    <w:p>
      <w:pPr>
        <w:spacing w:after="0" w:line="2" w:lineRule="exact"/>
        <w:rPr>
          <w:sz w:val="20"/>
          <w:szCs w:val="20"/>
          <w:color w:val="auto"/>
        </w:rPr>
      </w:pPr>
    </w:p>
    <w:p>
      <w:pPr>
        <w:jc w:val="both"/>
        <w:spacing w:after="0" w:line="333" w:lineRule="auto"/>
        <w:rPr>
          <w:sz w:val="20"/>
          <w:szCs w:val="20"/>
          <w:color w:val="auto"/>
        </w:rPr>
      </w:pPr>
      <w:r>
        <w:rPr>
          <w:rFonts w:ascii="Arial" w:cs="Arial" w:eastAsia="Arial" w:hAnsi="Arial"/>
          <w:sz w:val="18"/>
          <w:szCs w:val="18"/>
          <w:color w:val="auto"/>
        </w:rPr>
        <w:t>number of shares offered by us, as set forth on the cover page of this prospectus, remains the same and after deducting underwriting discounts and commissions and estimated offering expenses payable by us. Similarly, each increase or decrease of 1.0 million shares in the number of shares of our Class A common stock offered by us would increase or decrease, as applicable, our pro forma as adjusted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tangible book value immediately after this offering by approximately $ per share and increase or decrease, as applicable, the dilution to new investors purchasing shares of Class A common stock in this offering by $ per share, assuming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3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assumed initial public offering price remains the same, and after deducting underwriting discounts and commissions and estimated offering expenses payable by us.</w:t>
      </w:r>
    </w:p>
    <w:p>
      <w:pPr>
        <w:spacing w:after="0" w:line="99"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If the underwriters exercise their option in full to purchase additional shares of Class A common stock in this offering, the pro forma as adjusted net tangible book value per share after the offering would be $ per share, the increase in the pro forma net tangible book value per share to existing stockholders would be $ per share and the dilution in pro forma net tangible book value to new investors purchasing Class A common stock in this offering would be $ per share.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on a pro forma as adjusted basis to give effect to the Capital Stock Conversion, the Reclassification, and</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Class B Stock Exchange, and this offering, as of , 2025, the differences between the existing stockholders and the investors purchasing shares of our Class A common stock in this offering with respect to the number of shares purchased from us, the total consideration paid or to be paid to us and the average price per share paid or to be paid to us at the assumed initial public offering price of</w:t>
      </w:r>
    </w:p>
    <w:p>
      <w:pPr>
        <w:spacing w:after="0" w:line="1" w:lineRule="exact"/>
        <w:rPr>
          <w:sz w:val="20"/>
          <w:szCs w:val="20"/>
          <w:color w:val="auto"/>
        </w:rPr>
      </w:pPr>
    </w:p>
    <w:p>
      <w:pPr>
        <w:ind w:right="20" w:firstLine="8"/>
        <w:spacing w:after="0" w:line="266" w:lineRule="auto"/>
        <w:tabs>
          <w:tab w:leader="none" w:pos="1198"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 share, which is the midpoint of the estimated offering price range set forth on the cover page of this prospectus, before deducting underwriting discounts and commissions and estimated offering expenses payable by us: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00" w:type="dxa"/>
            <w:vAlign w:val="bottom"/>
          </w:tcPr>
          <w:p>
            <w:pPr>
              <w:spacing w:after="0"/>
              <w:rPr>
                <w:sz w:val="17"/>
                <w:szCs w:val="17"/>
                <w:color w:val="auto"/>
              </w:rPr>
            </w:pPr>
          </w:p>
        </w:tc>
        <w:tc>
          <w:tcPr>
            <w:tcW w:w="286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Shares Purchased</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0" w:type="dxa"/>
            <w:vAlign w:val="bottom"/>
            <w:tcBorders>
              <w:bottom w:val="single" w:sz="8" w:color="auto"/>
            </w:tcBorders>
            <w:gridSpan w:val="3"/>
          </w:tcPr>
          <w:p>
            <w:pPr>
              <w:jc w:val="right"/>
              <w:ind w:right="855"/>
              <w:spacing w:after="0"/>
              <w:rPr>
                <w:sz w:val="20"/>
                <w:szCs w:val="20"/>
                <w:color w:val="auto"/>
              </w:rPr>
            </w:pPr>
            <w:r>
              <w:rPr>
                <w:rFonts w:ascii="Arial" w:cs="Arial" w:eastAsia="Arial" w:hAnsi="Arial"/>
                <w:sz w:val="14"/>
                <w:szCs w:val="14"/>
                <w:b w:val="1"/>
                <w:bCs w:val="1"/>
                <w:color w:val="auto"/>
              </w:rPr>
              <w:t>Total Consideration</w:t>
            </w:r>
          </w:p>
        </w:tc>
        <w:tc>
          <w:tcPr>
            <w:tcW w:w="80" w:type="dxa"/>
            <w:vAlign w:val="bottom"/>
          </w:tcPr>
          <w:p>
            <w:pPr>
              <w:spacing w:after="0"/>
              <w:rPr>
                <w:sz w:val="17"/>
                <w:szCs w:val="17"/>
                <w:color w:val="auto"/>
              </w:rPr>
            </w:pPr>
          </w:p>
        </w:tc>
        <w:tc>
          <w:tcPr>
            <w:tcW w:w="15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Average Price Per</w:t>
            </w:r>
          </w:p>
        </w:tc>
        <w:tc>
          <w:tcPr>
            <w:tcW w:w="0" w:type="dxa"/>
            <w:vAlign w:val="bottom"/>
          </w:tcPr>
          <w:p>
            <w:pPr>
              <w:spacing w:after="0"/>
              <w:rPr>
                <w:sz w:val="1"/>
                <w:szCs w:val="1"/>
                <w:color w:val="auto"/>
              </w:rPr>
            </w:pPr>
          </w:p>
        </w:tc>
      </w:tr>
      <w:tr>
        <w:trPr>
          <w:trHeight w:val="39"/>
        </w:trPr>
        <w:tc>
          <w:tcPr>
            <w:tcW w:w="3100" w:type="dxa"/>
            <w:vAlign w:val="bottom"/>
          </w:tcPr>
          <w:p>
            <w:pPr>
              <w:spacing w:after="0"/>
              <w:rPr>
                <w:sz w:val="3"/>
                <w:szCs w:val="3"/>
                <w:color w:val="auto"/>
              </w:rPr>
            </w:pPr>
          </w:p>
        </w:tc>
        <w:tc>
          <w:tcPr>
            <w:tcW w:w="16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Number</w:t>
            </w:r>
          </w:p>
        </w:tc>
        <w:tc>
          <w:tcPr>
            <w:tcW w:w="12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Percent</w:t>
            </w: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Amount</w:t>
            </w:r>
          </w:p>
        </w:tc>
        <w:tc>
          <w:tcPr>
            <w:tcW w:w="16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Percent</w:t>
            </w:r>
          </w:p>
        </w:tc>
        <w:tc>
          <w:tcPr>
            <w:tcW w:w="15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310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560" w:type="dxa"/>
            <w:vAlign w:val="bottom"/>
          </w:tcPr>
          <w:p>
            <w:pPr>
              <w:jc w:val="right"/>
              <w:ind w:right="499"/>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55"/>
        </w:trPr>
        <w:tc>
          <w:tcPr>
            <w:tcW w:w="31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Existing stockholders before this</w:t>
            </w:r>
          </w:p>
        </w:tc>
        <w:tc>
          <w:tcPr>
            <w:tcW w:w="1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vMerge w:val="restart"/>
            <w:shd w:val="clear" w:color="auto" w:fill="CCEEFF"/>
          </w:tcPr>
          <w:p>
            <w:pPr>
              <w:jc w:val="right"/>
              <w:ind w:right="135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7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offering</w:t>
            </w:r>
          </w:p>
        </w:tc>
        <w:tc>
          <w:tcPr>
            <w:tcW w:w="1220" w:type="dxa"/>
            <w:vAlign w:val="bottom"/>
            <w:shd w:val="clear" w:color="auto" w:fill="CCEEFF"/>
          </w:tcPr>
          <w:p>
            <w:pPr>
              <w:spacing w:after="0"/>
              <w:rPr>
                <w:sz w:val="21"/>
                <w:szCs w:val="21"/>
                <w:color w:val="auto"/>
              </w:rPr>
            </w:pPr>
          </w:p>
        </w:tc>
        <w:tc>
          <w:tcPr>
            <w:tcW w:w="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Investors participating in this offering</w:t>
            </w: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1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54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auto"/>
            </w:tcBorders>
            <w:shd w:val="clear" w:color="auto" w:fill="CCEEFF"/>
          </w:tcPr>
          <w:p>
            <w:pPr>
              <w:jc w:val="right"/>
              <w:ind w:right="135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040" w:type="dxa"/>
            <w:vAlign w:val="bottom"/>
            <w:gridSpan w:val="8"/>
          </w:tcPr>
          <w:p>
            <w:pPr>
              <w:ind w:left="340"/>
              <w:spacing w:after="0"/>
              <w:rPr>
                <w:sz w:val="20"/>
                <w:szCs w:val="20"/>
                <w:color w:val="auto"/>
              </w:rPr>
            </w:pPr>
            <w:r>
              <w:rPr>
                <w:rFonts w:ascii="Arial" w:cs="Arial" w:eastAsia="Arial" w:hAnsi="Arial"/>
                <w:sz w:val="18"/>
                <w:szCs w:val="18"/>
                <w:color w:val="auto"/>
              </w:rPr>
              <w:t>Each $1.00 increase or decrease in the assumed initial public offering price of $</w:t>
            </w:r>
          </w:p>
        </w:tc>
        <w:tc>
          <w:tcPr>
            <w:tcW w:w="3200" w:type="dxa"/>
            <w:vAlign w:val="bottom"/>
            <w:gridSpan w:val="3"/>
          </w:tcPr>
          <w:p>
            <w:pPr>
              <w:jc w:val="right"/>
              <w:spacing w:after="0"/>
              <w:rPr>
                <w:sz w:val="20"/>
                <w:szCs w:val="20"/>
                <w:color w:val="auto"/>
              </w:rPr>
            </w:pPr>
            <w:r>
              <w:rPr>
                <w:rFonts w:ascii="Arial" w:cs="Arial" w:eastAsia="Arial" w:hAnsi="Arial"/>
                <w:sz w:val="18"/>
                <w:szCs w:val="18"/>
                <w:color w:val="auto"/>
              </w:rPr>
              <w:t>per share, which is the midpoint of the</w:t>
            </w:r>
          </w:p>
        </w:tc>
        <w:tc>
          <w:tcPr>
            <w:tcW w:w="0" w:type="dxa"/>
            <w:vAlign w:val="bottom"/>
          </w:tcPr>
          <w:p>
            <w:pPr>
              <w:spacing w:after="0"/>
              <w:rPr>
                <w:sz w:val="1"/>
                <w:szCs w:val="1"/>
                <w:color w:val="auto"/>
              </w:rPr>
            </w:pPr>
          </w:p>
        </w:tc>
      </w:tr>
    </w:tbl>
    <w:p>
      <w:pPr>
        <w:jc w:val="both"/>
        <w:spacing w:after="0" w:line="250" w:lineRule="auto"/>
        <w:rPr>
          <w:sz w:val="20"/>
          <w:szCs w:val="20"/>
          <w:color w:val="auto"/>
        </w:rPr>
      </w:pPr>
      <w:r>
        <w:rPr>
          <w:rFonts w:ascii="Arial" w:cs="Arial" w:eastAsia="Arial" w:hAnsi="Arial"/>
          <w:sz w:val="18"/>
          <w:szCs w:val="18"/>
          <w:color w:val="auto"/>
        </w:rPr>
        <w:t>estimated offering price range set forth on the cover page of this prospectus, would increase or decrease, as applicable, the total consideration paid by investors participating in this offering and the total consideration paid by all stockholders by approximately $</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million, assuming that the number of shares offered by us, as set forth on the cover page of this prospectus, remains the same and after deducting underwriting discounts and commissions and estimated offering expenses payable by us. Similarly, each increase or decrease of 1.0 million in the number of shares offered by us would increase or decrease, as applicable, total consideration paid by investors participating</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this offering and total consideration paid by all stockholders, by approximately $ million, assuming that the assumed initial public offering price remains the same, and after deducting the underwriting discounts and commissions and estimated offering expenses payable by us.</w:t>
      </w:r>
    </w:p>
    <w:p>
      <w:pPr>
        <w:spacing w:after="0" w:line="337"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8"/>
          <w:szCs w:val="18"/>
          <w:color w:val="auto"/>
        </w:rPr>
        <w:t>The table above assumes no exercise of the underwriters’ option to purchase additional shares in this offering. If the underwriters’ option to purchase additional shares is exercised in full, the total number of shares of our common stock held by existing</w:t>
      </w:r>
    </w:p>
    <w:p>
      <w:pPr>
        <w:spacing w:after="0" w:line="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stockholders would be reduced to % of the total number of shares of our common stock outstanding after this offering, and the total number of shares of common stock held by investors participating in this offering would be increased to % of the total number of shares outstanding after this offering.</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number of shares of Class A common stock and Class B common stock that will be outstanding immediately after this offering</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is based on shares of our Class A common stock and shares of our Class B common stock outstanding as of , 2025, and after giving effect to the Capital Stock Conversion, the Reclassification, and the Class B Stock Exchange, excludes:</w:t>
      </w:r>
    </w:p>
    <w:p>
      <w:pPr>
        <w:sectPr>
          <w:pgSz w:w="11900" w:h="16838" w:orient="portrait"/>
          <w:cols w:equalWidth="0" w:num="1">
            <w:col w:w="11240"/>
          </w:cols>
          <w:pgMar w:left="320" w:top="1440" w:right="339" w:bottom="1440" w:gutter="0" w:footer="0" w:header="0"/>
        </w:sectPr>
      </w:pP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320" w:firstLine="906"/>
        <w:spacing w:after="0" w:line="287" w:lineRule="auto"/>
        <w:rPr>
          <w:sz w:val="20"/>
          <w:szCs w:val="20"/>
          <w:color w:val="auto"/>
        </w:rPr>
      </w:pPr>
      <w:r>
        <w:rPr>
          <w:rFonts w:ascii="Arial" w:cs="Arial" w:eastAsia="Arial" w:hAnsi="Arial"/>
          <w:sz w:val="18"/>
          <w:szCs w:val="18"/>
          <w:color w:val="auto"/>
        </w:rPr>
        <w:t>shares of Class A common stock issuable upon the exercise of outstanding options as of average exercise price of $ per share;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 with a weighted-</w:t>
      </w:r>
    </w:p>
    <w:p>
      <w:pPr>
        <w:spacing w:after="0" w:line="488" w:lineRule="exact"/>
        <w:rPr>
          <w:sz w:val="20"/>
          <w:szCs w:val="20"/>
          <w:color w:val="auto"/>
        </w:rPr>
      </w:pPr>
    </w:p>
    <w:p>
      <w:pPr>
        <w:sectPr>
          <w:pgSz w:w="11900" w:h="16838" w:orient="portrait"/>
          <w:cols w:equalWidth="0" w:num="3">
            <w:col w:w="400" w:space="260"/>
            <w:col w:w="8420" w:space="720"/>
            <w:col w:w="14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240"/>
          </w:cols>
          <w:pgMar w:left="320" w:top="1440" w:right="339" w:bottom="1440" w:gutter="0" w:footer="0" w:header="0"/>
          <w:type w:val="continuous"/>
        </w:sectPr>
      </w:pPr>
    </w:p>
    <w:bookmarkStart w:id="139" w:name="page140"/>
    <w:bookmarkEnd w:id="139"/>
    <w:p>
      <w:pPr>
        <w:spacing w:after="0" w:line="139" w:lineRule="exact"/>
        <w:rPr>
          <w:sz w:val="20"/>
          <w:szCs w:val="20"/>
          <w:color w:val="auto"/>
        </w:rPr>
      </w:pPr>
    </w:p>
    <w:p>
      <w:pPr>
        <w:ind w:left="8"/>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right="200" w:hanging="4"/>
        <w:spacing w:after="0" w:line="287" w:lineRule="auto"/>
        <w:rPr>
          <w:sz w:val="20"/>
          <w:szCs w:val="20"/>
          <w:color w:val="auto"/>
        </w:rPr>
      </w:pPr>
      <w:r>
        <w:rPr>
          <w:rFonts w:ascii="Arial" w:cs="Arial" w:eastAsia="Arial" w:hAnsi="Arial"/>
          <w:sz w:val="18"/>
          <w:szCs w:val="18"/>
          <w:color w:val="auto"/>
        </w:rPr>
        <w:t>RSUs covering</w:t>
      </w:r>
      <w:r>
        <w:rPr>
          <w:sz w:val="20"/>
          <w:szCs w:val="20"/>
          <w:color w:val="auto"/>
        </w:rPr>
        <w:t xml:space="preserve"> </w:t>
      </w:r>
      <w:r>
        <w:rPr>
          <w:rFonts w:ascii="Arial" w:cs="Arial" w:eastAsia="Arial" w:hAnsi="Arial"/>
          <w:sz w:val="18"/>
          <w:szCs w:val="18"/>
          <w:color w:val="auto"/>
        </w:rPr>
        <w:t>shares of Class A common stock as of based and liquidity-based vesting conditions;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 2025, which are issuable upon satisfaction of service-</w:t>
      </w:r>
    </w:p>
    <w:p>
      <w:pPr>
        <w:spacing w:after="0" w:line="387" w:lineRule="exact"/>
        <w:rPr>
          <w:sz w:val="20"/>
          <w:szCs w:val="20"/>
          <w:color w:val="auto"/>
        </w:rPr>
      </w:pPr>
    </w:p>
    <w:p>
      <w:pPr>
        <w:sectPr>
          <w:pgSz w:w="11900" w:h="16838" w:orient="portrait"/>
          <w:cols w:equalWidth="0" w:num="3">
            <w:col w:w="68" w:space="260"/>
            <w:col w:w="5440" w:space="720"/>
            <w:col w:w="4420"/>
          </w:cols>
          <w:pgMar w:left="652" w:top="1440" w:right="339" w:bottom="1440" w:gutter="0" w:footer="0" w:header="0"/>
        </w:sectPr>
      </w:pPr>
    </w:p>
    <w:p>
      <w:pPr>
        <w:jc w:val="both"/>
        <w:ind w:left="328" w:hanging="328"/>
        <w:spacing w:after="0" w:line="262" w:lineRule="auto"/>
        <w:tabs>
          <w:tab w:leader="none" w:pos="1084"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2025 Plan, which will become effective on the day immediately prior to the date of effectiveness of the registration statement of which this prospectus forms a part, as well as any shares of Class A common stock that become available pursuant to provisions in the 2025 Plan that automatically increase the share reserve under the 2025 Plan; and</w:t>
      </w:r>
    </w:p>
    <w:p>
      <w:pPr>
        <w:spacing w:after="0" w:line="122" w:lineRule="exact"/>
        <w:rPr>
          <w:rFonts w:ascii="Arial" w:cs="Arial" w:eastAsia="Arial" w:hAnsi="Arial"/>
          <w:sz w:val="18"/>
          <w:szCs w:val="18"/>
          <w:color w:val="auto"/>
        </w:rPr>
      </w:pPr>
    </w:p>
    <w:p>
      <w:pPr>
        <w:jc w:val="both"/>
        <w:ind w:left="328" w:hanging="328"/>
        <w:spacing w:after="0" w:line="262" w:lineRule="auto"/>
        <w:tabs>
          <w:tab w:leader="none" w:pos="127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ESPP, which will become effective on the day immediately prior to the date of effectiveness of the registration statement of which this prospectus forms a part, as well as any shares of Class A common stock that become available pursuant to provisions in the ESPP that automatically increase the share reserve under the ESPP.</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8"/>
          <w:szCs w:val="18"/>
          <w:color w:val="auto"/>
        </w:rPr>
        <w:t>For additional information, see the section titled “Executive Compensation—Equity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0908"/>
          </w:cols>
          <w:pgMar w:left="652" w:top="1440" w:right="339" w:bottom="1440" w:gutter="0" w:footer="0" w:header="0"/>
          <w:type w:val="continuous"/>
        </w:sectPr>
      </w:pPr>
    </w:p>
    <w:bookmarkStart w:id="140" w:name="page141"/>
    <w:bookmarkEnd w:id="140"/>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the related notes appearing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 U.S. Dollars appearing in tables are presented in thousands unless otherwise indicated.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Figure is building the future of capital markets using blockchain-based technology.</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Figure’s proprietary technology powers next-generation lending, trading and investing activities in areas such as consumer credit and digital assets. Our application of the blockchain ledger allows us to better serve our end-customers, improve speed and efficiency, and enhance standardization and liquidity. Using our technology, we continue to develop dynamic, vertically-integrated marketplaces across the approximately $2 trillion consumer credit market and the rapidly growing approximately $3 trillion cryptocurrency and digital asset market. As a result, Figure has grown quickly and profitably, with net loss of $1 million and Adjusted EBITDA of $ 31 million, for the three months ended March 31, 2025, and accumulated deficit of $322 million and total stockholders’ equity of $369 million, as of March 31, 2025, and net income of $20 million and Adjusted EBITDA of $101 million, for the year ended December 31, 2024, and accumulated deficit of $321 million and total stockholders’ equity of $363 million, as of December 31, 2024.</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infrastructure supporting capital markets today is fragmented and operates on legacy systems which employ antiquated processes for loan approvals and transaction processing. This creates process and cost inefficiencies in serving consumer credit markets and limits the development of alternative marketplaces. Furthermore, the manual elements underpinning the records of ownership and transfer of financial and real assets constrain liquidity, maintain elevated costs, and are error-prone.</w:t>
      </w:r>
    </w:p>
    <w:p>
      <w:pPr>
        <w:spacing w:after="0" w:line="12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Figure aims to address these challenges by using blockchain-based technology to innovate beyond legacy processes. We built a transformative, scaled and fast growing technology platform that displaces trust with truth in the financial ecosystem. Our platform also supports legacy systems, and our goal is to shift customer adoption towards blockchain-based solutions. Furthermore, our technology significantly reduces complexity and increases speed for market participants across the application, underwriting, funding and subsequent capital markets processes. Using our LOS, the time it takes to fund a home equity loan from application has been reduced to a median of 11 days from an industry median of approximately 42 days (based on data from industry sources) as of March 31, 2025. In comparison, for asset classes outside of mortgages, such as personal loans, there are many loan originators that utilize digitized, fast and automated processes that can fund as fast as same-day or often in as little as three to five days. Additionally, the average production cost per loan was reduced to approximately $730 for the year ended December 31, 2024 from a mortgage industry average of $11,230 for the quarter ended December 31, 2024, according to the MBA. This is a result of our entirely automated application process that takes as little as five minutes to complete and as few as five days to fund. Our platform automates income verification and offers customers the ability to redraw without incurring closing or out-of-pocket costs. Additionally, our platform employs an automatic valuation model, replacing the traditional, time-consuming appraisal process, and utilizes a digital lien matching process instead of the traditional analog title search. It also facilitates remote closings, including remote notaries, in jurisdictions where permitted by applicable laws. Importantly, we have brought a liquid capital market for loans behind this low cost, automated and blockchain-based origination engine.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technology enables the immutable recording of all assets and their key information on Provenance Blockchain. Provenance Blockchain, an independent Layer 1 blockchain, provides the scale, security, speed and cost structure to facilitate activity across the broad financial services landscape as a record of truth for assets. Using loans as an example, this authenticity record provides a validation mechanism to support the traditional, off-chain processes we use for tracking and monitoring loan transactions. This record provides verified information regarding the chain of ownership for all of the loans originated on our platform. Adoption of our technology has scaled significantly with every asset passing through Figure’s system being recorded on Provenance Blockchain and accumulating over $ 50 billion in both real-world and digital asset transactions from our launch in late 2018 to March 31, 2025. According to data from RWA.xyz, our real-world assets total value locked is approximately $10 billion as of June 1, 2025 and our share of tokenized private credit is approximately 75% based on the value of outstanding loans originated as of June 18, 2025. Further, 71% of loans originated through our LOS, which include loans originated by Figure as well as by our partners, for the quarter ended March 31, 2025 utilized our DART platform, our lien and eNote registry that is built on Provenance Blockchain, compared to only 2% of loan originations for the year ended December 31, 2024. Loans originated by our partners utilizing DART accounted for 65% of Partner-branded loans and 49% of all loans originated by our LOS (including wholesale (brokered) transactions) for the three months ended March 31, 2025. We pay a minimal amount in the form of HASH for our use of the Provenance Blockchain. HASH is the utility token of the Provenance Blockchain and therefore gas fees (usage fees) are paid in HASH. A small amount of HASH is required to complete each transaction, and we pay these fees on behalf of all participants for any activity they complete with our assets. The average gas fee has been less than one HASH since 2018, which is equivalent to approximately $0.026.</w:t>
      </w:r>
    </w:p>
    <w:p>
      <w:pPr>
        <w:spacing w:after="0" w:line="1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began addressing the consumer credit market in 2018 with our Figure-branded product, which catered to direct-to-consumer home equity loans. We then expanded further through Partner-branded strategies, in which a growing number of partners use our technology to independently originate home equity loans. For the quarter ended March 31, 2025, we facilitated over $1 billion of home equity lending, representing an increase of 14% compared to the quarter ended March 31, 2024. For the year ended December 31, 2024, we facilitated approximately $5 billion of home equity lending, representing an increase of 51% compared to the year ended December 31, 2023, and a compound annual growth rate of 83% since March 31, 2021. As of March 31, 2025 we had 144 active partners.</w:t>
      </w:r>
    </w:p>
    <w:p>
      <w:pPr>
        <w:spacing w:after="0" w:line="12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relationship with our partners is based on our partners’ right to use our solutions. Once a partner is approved and onboarded, the partner enters into a contractual agreement with us for the right to use our LOS and Figure Connect marketplace in exchange for fees. These agreements typically have a fixed term with auto-renewals unless notice is given to terminate, are non-exclusive and do not obligate our partners to use our solutions.</w:t>
      </w:r>
    </w:p>
    <w:p>
      <w:pPr>
        <w:spacing w:after="0" w:line="12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June 2024, we launched Figure Connect, an electronic marketplace that employs blockchain technology, to directly connect sellers and buyers of loans. During the 10 months from launch in June 2024 to March 2025, approximately $260 million in HELOC volume was transacted on Figure Connect by third parties and 23 total marketplace participants (across loan originators, buyers and investors) were onboarded as of March 31, 2025.</w:t>
      </w:r>
    </w:p>
    <w:p>
      <w:pPr>
        <w:spacing w:after="0" w:line="1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With our technology applicable to the broader capital markets, we are expanding beyond our foundational solutions by developing trading and investing products. One example is Figure Exchange, a digital asset marketplace that provides customers advantages for crypto-trading, such as cross-asset collateralization for margin lending. Another example is YLDS, a groundbreaking interest-bearing peer-to-peer transferable stablecoin that is both native to a public blockchain and a security registered with the SEC. YLDS has many use cases resulting from its status as a security, including yielding collateral for institutions, cross-border payments and serving as the de-facto currency of Figure Exchange. For the three months ended March 31, 2025, we did not generate revenue from Figure Exchange and revenue generated from YLDS was less than $1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believe that we have established a regulatory and licensing apparatus which sets us apart from our competitors and enables us to continue expanding our diverse product offering. We currently have more than 180 lending and servicing licenses, 48 money transmitter licenses, and are an SEC-registered broker-dealer with authority to operate an ATS, which operations are conducted in accordance with SEC and FINRA rules and regulations.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generate revenue from the volume transacted on our marketplaces and through the use of our proprietary technology. We earn volume-based fees from partners and users who utilize our technology solutions to transact in our ecosystem. Within this usage-based model, we target positive unit economics in each of our solutions. In addition to our growing stream of ecosystem and technology fees, we also earn origination, gain on sale, and servicing revenue from assets generated through our LOS. During the three months ended March 31, 2025, HELOCs comprised over 99% of our total loan originations.</w:t>
      </w:r>
    </w:p>
    <w:p>
      <w:pPr>
        <w:spacing w:after="0" w:line="1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For the year ended December 31, 2024, approximately 82% of our total net revenue was generated from origination fees, gain on sale of loans, servicing fees and interest income from assets generated through our LOS from both Figure and our network of partners. For the three months ended March 31, 2025, this represented approximately 81% of total net revenue, as revenue from Figure Connect and other new products grew faster than the solely LOS-driven revenue sources.</w:t>
      </w:r>
    </w:p>
    <w:p>
      <w:pPr>
        <w:spacing w:after="0" w:line="12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grown quickly in a capital-efficient manner since our founding, and more recently have achieved strong and growing profitability. For the three months ended March 31, 2025 and 2024, we generated net revenue of $84.5 million and $75.3 million, respectively, Adjusted Net Revenue of $88.8 million and $70.0 million, respectively, net loss of $0.6 million and $28.5 million, respectively, and Adjusted EBITDA of $30.6 million and $11.5 million, respectively. As of March 31, 2025 and 2024, we had accumulated deficit of $321.7 million and $ 368.0 million, respectively, and total stockholders’ equity of $368.5 million and $271.9 million, respectively. For the years ended December 31, 2024 and 2023, we generated net revenue of $340.9 million and $209.5 million, respectively, Adjusted Net Revenue of $339.1 million and $214.2 million, respectively, net income of $19.9 million and net loss of $52.4 million, respectively, and Adjusted EBITDA of $101.4 million and $(12.4) million, respectively. As of December 31, 2024 and 2023, we had accumulated deficit of $320.9 million and $338.1 million, respectively, and total stockholders’ equity of $363.4 million and $222.4 million. See the section titled “Management’s Discussion and Analysis of Financial Condition and Results of Operations—Non-GAAP Financial Measures” for information regarding our use of Adjusted Net Revenue and Adjusted EBITDA and a reconciliation of such non-GAAP financial measures to our most directly comparable financial measures calculated and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review several key performance measures, discussed below, to evaluate our business and results, measure performance, identify trends, formulate plans, and make strategic decisions. We believe that the presentation of such metrics is useful to our investors and counterparties because they are used to measure and model the performance of companies similar to us using similar metrics.</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table sets forth key performance measures that we use to evaluate our business for the three months ended March 31, 2025 and 2024 and the years ended December 31, 2024 and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 March 31,</w:t>
            </w:r>
          </w:p>
        </w:tc>
        <w:tc>
          <w:tcPr>
            <w:tcW w:w="200" w:type="dxa"/>
            <w:vAlign w:val="bottom"/>
          </w:tcPr>
          <w:p>
            <w:pPr>
              <w:spacing w:after="0"/>
              <w:rPr>
                <w:sz w:val="17"/>
                <w:szCs w:val="17"/>
                <w:color w:val="auto"/>
              </w:rPr>
            </w:pPr>
          </w:p>
        </w:tc>
        <w:tc>
          <w:tcPr>
            <w:tcW w:w="278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rPr>
              <w:t>For the Years Ended December 31,</w:t>
            </w:r>
          </w:p>
        </w:tc>
      </w:tr>
      <w:tr>
        <w:trPr>
          <w:trHeight w:val="197"/>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r>
      <w:tr>
        <w:trPr>
          <w:trHeight w:val="224"/>
        </w:trPr>
        <w:tc>
          <w:tcPr>
            <w:tcW w:w="520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Ecosystem Volume</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1,577,710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1,191,916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5,879,144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3,368,859</w:t>
            </w:r>
          </w:p>
        </w:tc>
      </w:tr>
      <w:tr>
        <w:trPr>
          <w:trHeight w:val="229"/>
        </w:trPr>
        <w:tc>
          <w:tcPr>
            <w:tcW w:w="5200" w:type="dxa"/>
            <w:vAlign w:val="bottom"/>
          </w:tcPr>
          <w:p>
            <w:pPr>
              <w:ind w:left="240"/>
              <w:spacing w:after="0" w:line="230" w:lineRule="exact"/>
              <w:rPr>
                <w:sz w:val="20"/>
                <w:szCs w:val="20"/>
                <w:color w:val="auto"/>
              </w:rPr>
            </w:pPr>
            <w:r>
              <w:rPr>
                <w:rFonts w:ascii="Arial" w:cs="Arial" w:eastAsia="Arial" w:hAnsi="Arial"/>
                <w:sz w:val="18"/>
                <w:szCs w:val="18"/>
                <w:color w:val="auto"/>
              </w:rPr>
              <w:t>Consumer Loan Marketplace Volume</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1,365,136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1,191,916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5,128,457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3,368,859</w:t>
            </w:r>
          </w:p>
        </w:tc>
      </w:tr>
      <w:tr>
        <w:trPr>
          <w:trHeight w:val="229"/>
        </w:trPr>
        <w:tc>
          <w:tcPr>
            <w:tcW w:w="52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Partner Branded Volume</w:t>
            </w:r>
            <w:r>
              <w:rPr>
                <w:rFonts w:ascii="Arial" w:cs="Arial" w:eastAsia="Arial" w:hAnsi="Arial"/>
                <w:sz w:val="23"/>
                <w:szCs w:val="23"/>
                <w:color w:val="auto"/>
                <w:vertAlign w:val="superscript"/>
              </w:rPr>
              <w:t>(3)</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1,045,059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3,447,386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1,683,011</w:t>
            </w:r>
          </w:p>
        </w:tc>
      </w:tr>
      <w:tr>
        <w:trPr>
          <w:trHeight w:val="230"/>
        </w:trPr>
        <w:tc>
          <w:tcPr>
            <w:tcW w:w="5200" w:type="dxa"/>
            <w:vAlign w:val="bottom"/>
          </w:tcPr>
          <w:p>
            <w:pPr>
              <w:ind w:left="460"/>
              <w:spacing w:after="0" w:line="230" w:lineRule="exact"/>
              <w:rPr>
                <w:sz w:val="20"/>
                <w:szCs w:val="20"/>
                <w:color w:val="auto"/>
              </w:rPr>
            </w:pPr>
            <w:r>
              <w:rPr>
                <w:rFonts w:ascii="Arial" w:cs="Arial" w:eastAsia="Arial" w:hAnsi="Arial"/>
                <w:sz w:val="18"/>
                <w:szCs w:val="18"/>
                <w:color w:val="auto"/>
              </w:rPr>
              <w:t>Figure Branded Volume</w:t>
            </w:r>
            <w:r>
              <w:rPr>
                <w:rFonts w:ascii="Arial" w:cs="Arial" w:eastAsia="Arial" w:hAnsi="Arial"/>
                <w:sz w:val="23"/>
                <w:szCs w:val="23"/>
                <w:color w:val="auto"/>
                <w:vertAlign w:val="superscript"/>
              </w:rPr>
              <w:t>(4)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320,077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428,560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1,681,071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1,685,848</w:t>
            </w:r>
          </w:p>
        </w:tc>
      </w:tr>
      <w:tr>
        <w:trPr>
          <w:trHeight w:val="229"/>
        </w:trPr>
        <w:tc>
          <w:tcPr>
            <w:tcW w:w="52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Digital Asset Marketplace Volume</w:t>
            </w:r>
            <w:r>
              <w:rPr>
                <w:rFonts w:ascii="Arial" w:cs="Arial" w:eastAsia="Arial" w:hAnsi="Arial"/>
                <w:sz w:val="23"/>
                <w:szCs w:val="23"/>
                <w:color w:val="auto"/>
                <w:vertAlign w:val="superscript"/>
              </w:rPr>
              <w:t>(5)</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750,687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tcPr>
          <w:p>
            <w:pPr>
              <w:ind w:left="20"/>
              <w:spacing w:after="0" w:line="230" w:lineRule="exact"/>
              <w:rPr>
                <w:sz w:val="20"/>
                <w:szCs w:val="20"/>
                <w:color w:val="auto"/>
              </w:rPr>
            </w:pPr>
            <w:r>
              <w:rPr>
                <w:rFonts w:ascii="Arial" w:cs="Arial" w:eastAsia="Arial" w:hAnsi="Arial"/>
                <w:sz w:val="18"/>
                <w:szCs w:val="18"/>
                <w:color w:val="auto"/>
              </w:rPr>
              <w:t>Figure Connect Volume</w:t>
            </w:r>
            <w:r>
              <w:rPr>
                <w:rFonts w:ascii="Arial" w:cs="Arial" w:eastAsia="Arial" w:hAnsi="Arial"/>
                <w:sz w:val="23"/>
                <w:szCs w:val="23"/>
                <w:color w:val="auto"/>
                <w:vertAlign w:val="superscript"/>
              </w:rPr>
              <w:t>(6)</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477,904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209,549</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19,915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(52,443)</w:t>
            </w: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Net Revenue</w:t>
            </w:r>
            <w:r>
              <w:rPr>
                <w:rFonts w:ascii="Arial" w:cs="Arial" w:eastAsia="Arial" w:hAnsi="Arial"/>
                <w:sz w:val="23"/>
                <w:szCs w:val="23"/>
                <w:color w:val="auto"/>
                <w:vertAlign w:val="superscript"/>
              </w:rPr>
              <w:t>(7)</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214,168</w:t>
            </w:r>
          </w:p>
        </w:tc>
      </w:tr>
      <w:tr>
        <w:trPr>
          <w:trHeight w:val="311"/>
        </w:trPr>
        <w:tc>
          <w:tcPr>
            <w:tcW w:w="520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(7)</w:t>
            </w: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30,589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11,523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101,443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(12,370)</w:t>
            </w:r>
          </w:p>
        </w:tc>
      </w:tr>
    </w:tbl>
    <w:p>
      <w:pPr>
        <w:spacing w:after="0"/>
        <w:rPr>
          <w:sz w:val="20"/>
          <w:szCs w:val="20"/>
          <w:color w:val="auto"/>
        </w:rPr>
      </w:pPr>
      <w:r>
        <w:rPr>
          <w:rFonts w:ascii="Arial" w:cs="Arial" w:eastAsia="Arial" w:hAnsi="Arial"/>
          <w:sz w:val="16"/>
          <w:szCs w:val="16"/>
          <w:color w:val="auto"/>
        </w:rPr>
        <w:t>_______________</w:t>
      </w:r>
    </w:p>
    <w:p>
      <w:pPr>
        <w:spacing w:after="0" w:line="20"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Ecosystem Volume consists of Consumer Loan Marketplace Volume and Digital Asset Marketplace Volume.</w:t>
      </w:r>
    </w:p>
    <w:p>
      <w:pPr>
        <w:spacing w:after="0" w:line="5" w:lineRule="exact"/>
        <w:rPr>
          <w:rFonts w:ascii="Arial" w:cs="Arial" w:eastAsia="Arial" w:hAnsi="Arial"/>
          <w:sz w:val="16"/>
          <w:szCs w:val="16"/>
          <w:color w:val="auto"/>
        </w:rPr>
      </w:pPr>
    </w:p>
    <w:p>
      <w:pPr>
        <w:jc w:val="both"/>
        <w:ind w:left="340" w:hanging="332"/>
        <w:spacing w:after="0" w:line="256" w:lineRule="auto"/>
        <w:tabs>
          <w:tab w:leader="none" w:pos="335"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define Consumer Loan Marketplace Volume as the total U.S. dollar equivalent value of originations of HELOCs, DSCR, and Mortgage IO on our LOS. We believe this measure is an indication of our scale and represents a potential revenue opportunity from the technology used for consumer credit loan originations.</w:t>
      </w:r>
    </w:p>
    <w:p>
      <w:pPr>
        <w:spacing w:after="0" w:line="1" w:lineRule="exact"/>
        <w:rPr>
          <w:rFonts w:ascii="Arial" w:cs="Arial" w:eastAsia="Arial" w:hAnsi="Arial"/>
          <w:sz w:val="16"/>
          <w:szCs w:val="16"/>
          <w:color w:val="auto"/>
        </w:rPr>
      </w:pPr>
    </w:p>
    <w:p>
      <w:pPr>
        <w:ind w:left="340" w:right="20" w:hanging="332"/>
        <w:spacing w:after="0" w:line="248" w:lineRule="auto"/>
        <w:tabs>
          <w:tab w:leader="none" w:pos="34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We define Partner Branded Volume as the total U.S. dollar equivalent value of loans originated using our LOS under our partners’ brands. Partner Branded volume is inclusive of Figure Connect Volume.</w:t>
      </w:r>
    </w:p>
    <w:p>
      <w:pPr>
        <w:ind w:left="340" w:hanging="332"/>
        <w:spacing w:after="0"/>
        <w:tabs>
          <w:tab w:leader="none" w:pos="34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We define Figure Branded Volume as the total U.S. dollar equivalent value of loans originated using our LOS under our brand.</w:t>
      </w:r>
    </w:p>
    <w:p>
      <w:pPr>
        <w:spacing w:after="0" w:line="13" w:lineRule="exact"/>
        <w:rPr>
          <w:rFonts w:ascii="Times New Roman" w:cs="Times New Roman" w:eastAsia="Times New Roman" w:hAnsi="Times New Roman"/>
          <w:sz w:val="16"/>
          <w:szCs w:val="16"/>
          <w:color w:val="auto"/>
        </w:rPr>
      </w:pPr>
    </w:p>
    <w:p>
      <w:pPr>
        <w:jc w:val="both"/>
        <w:ind w:left="340" w:hanging="332"/>
        <w:spacing w:after="0" w:line="254" w:lineRule="auto"/>
        <w:tabs>
          <w:tab w:leader="none" w:pos="335"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define Digital Asset Marketplace Volume as the total U.S. dollar equivalent value of matched trades transacted between a buyer and seller through Figure Exchange, including YLDS trading. We believe this measure is an indication of our scale and represents a potential opportunity for our stablecoin offering.</w:t>
      </w:r>
    </w:p>
    <w:p>
      <w:pPr>
        <w:ind w:left="340" w:hanging="332"/>
        <w:spacing w:after="0" w:line="252" w:lineRule="auto"/>
        <w:tabs>
          <w:tab w:leader="none" w:pos="34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We define Figure Connect Volume as the total U.S. dollar equivalent value of Consumer Loan Marketplace Volume transacted between a buyer and seller through our platform. We believe this measure is a reflection of the underlying growth of our Figure Connect ecosystem.</w:t>
      </w:r>
    </w:p>
    <w:p>
      <w:pPr>
        <w:ind w:left="340" w:hanging="332"/>
        <w:spacing w:after="0" w:line="270" w:lineRule="auto"/>
        <w:tabs>
          <w:tab w:leader="none" w:pos="335" w:val="left"/>
        </w:tabs>
        <w:numPr>
          <w:ilvl w:val="0"/>
          <w:numId w:val="52"/>
        </w:numPr>
        <w:rPr>
          <w:rFonts w:ascii="Arial" w:cs="Arial" w:eastAsia="Arial" w:hAnsi="Arial"/>
          <w:sz w:val="16"/>
          <w:szCs w:val="16"/>
          <w:color w:val="auto"/>
        </w:rPr>
      </w:pPr>
      <w:r>
        <w:rPr>
          <w:rFonts w:ascii="Arial" w:cs="Arial" w:eastAsia="Arial" w:hAnsi="Arial"/>
          <w:sz w:val="16"/>
          <w:szCs w:val="16"/>
          <w:color w:val="auto"/>
        </w:rPr>
        <w:t>For definitions of Adjusted Net Revenue and Adjusted EBITDA and reconciliations to our most directly comparable financial measures calculated and presented in accordance with GAAP, see “—Non-GAAP Financial Measures.”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Affecting Our Performance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and Competitive Factors</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Currently, our revenue is substantially derived from our HELOC product offering and from our LOS technology offering. The HELOC market is supported by positive trends across the housing market, largely from growing home equity balances and a mortgage borrower population that is characterized by low fixed-rate first lien mortgages, for which a cash-out refinancing is a less attractive alternative. Historically, consumers have primarily accessed home equity lending products primarily through banks and other depository institutions, but in 2023, positive trends in the market landscape emerged as banks began to de-emphasize the product. Additionally, leading non-depository lenders that specialized in traditional mortgage products lacked the ability to effectively offer a consumer-friendly HELOC product to meet the demand of potential borrowers seeking to leverage their increased home equity value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potential financing alternative. We believe the HELOC market will remain strong, as historically high housing values coupled with a historically low sales market have led consumers to search for ways to utilize the untapped equity in their homes. Figure continues to develop technology to provide its partners with solutions for any interest rate environment, and we expect the impact of rates on our business to decrease.</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to continue to see new entrants in the market because of the significant size of the potential market opportunity and a broadly underserved universe of potential borrowers in the HELOC market. This trend has continued recently, most notably with originators of agency mortgages entering the market as mortgage refinance activity slowed. However, many of these entrants have struggled to gain traction, which we believe is due to their lack of technology, product expertise and capital markets capabilities necessary to effectively participate. With our suite of products and solutions centered around the vision of promoting efficiency and liquidity in financial markets we feel we are uniquely positioned to provide the infrastructure to support an efficiently functioning HELOC market. This has been evidenced by our performance to date: in 2024, we were the leading originator of HELOCs among non-depository lenders, in addition to providing the technology to power other originators through our Partner-branded strategies.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Continued Expansion of our Ecosystem and Product Offerings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continue to expand our product offerings through the release of new consumer lending products centered around the proven technology utilized in HELOC origination and entrance into the broader capital markets, including a marketplace that allows partners to trade and invest in products across multiple asset classes. In addition to our HELOC product, we provide technology platforms giving consumers exposure to a variety of assets in an efficient and secure way. We intend to continue broadening our network of partners that originate with Figure’s technology. While our current roster of partners includes many of the largest mortgage originators across the country, we believe that we have significant room to grow those relationships as we drive adoption across their salesforce and engrain our technology in their core offerings. Additionally, we see a substantial opportunity to further expand the group of companies that we partner with as our technology offering would benefit a diverse constituency (including mortgage originators, banks, credit unions, mortgage servicers and other consumer lenders). Our relationship with our partners is based on our partners’ right to use our solutions. Once a partner is approved and onboarded, the partner enters into a contractual agreement with us for the right to use our LOS and Figure Connect marketplace in exchange for fees. These agreements typically have a fixed term with auto-renewals unless notice is given to terminate, are non-exclusive and do not obligate our partners to use our solutions. As we launch new products, we expect to generate significant momentum by capitalizing on our proven track record, reputation and to our established network of partners to support our ability to quickly scale in adjacent products.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business is subject to regulations, which may expose us to significant regulatory risk and cause additional legal costs to ensure compliance. The existing legal framework that governs the financial markets is continuously reviewed and regularly amended, resulting in enforcement of new laws and regulations that apply to our business. The current regulatory environment in the United States may be subject to future legislative and regulatory changes driven by U.S. and global issues and priorities, including the recent change in U.S. administration and Congress, which may lead to material changes to existing laws, rules and regulations, guidance and enforcement stances. The impact of any changes in the legal or regulatory landscape on us and our operations remains uncertain. Compliance with regulations both now and in the future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digital transformation needs due to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changes as market participants seek platforms that meet regulatory requirements and solutions that help them comply with their regulatory obligations. In recent years, we have also expended significant managerial, operational, and compliance costs to meet the legal and regulatory requirements applicable to us in the United States and other jurisdictions in which we operate. We expect to continue to incur costs to satisfy our legal and compliance obligations, which our unregulated or less regulated competitors have not had to and will not incur.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Cybersecurity Environment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Offering a secure, efficient technology platform is essential to maintaining our level of competitiveness in the market and attracting new partners and marketplace participants. We believe that the demand for our platform and services will increase with the introduction of new products. We plan to continue to focus on and invest in technology infrastructure initiatives and continually improve and expand our platform to further enhance our market position. We experience cyber-threats and attempted security breaches. If these were successful, these cybersecurity incidents could impact revenue and operating income and increase costs. We therefore continue to make investments to strengthen our cybersecurity infrastructure, which may result in increased costs.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Macroeconomic Cycles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Macroeconomic cycles can impact our financial performance and demand for our products. Consumer demand for loans, our partners’ willingness to originate new loans using our technology, investor appetite for credit-oriented investment opportunities, and credit performance can fluctuate in an economic slowdown. However, we believe the flexibility inherent in our platform will allow us to align our strategy with the market opportunity through cycles. Further, our technology-driven underwriting approach has proven effective, and our loans have demonstrated strong credit performance since inception.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experience seasonal fluctuations in our business as a result of consumer spending patterns which we expect to mimic the seasonality of our general business in the near term. Historically, our origination volume has been the strongest during the second and third quarter due to increases in home improvements and our origination volume is at its lowest during the first and fourth quarter. Adverse events that occur during our second and third quarters could have a disproportionate effect on our financial results for the fiscal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While inflation may impact our revenues and operating expenses, we believe the effects of inflation, if any, on our results of operations and financial condition have not been significant during the three months ended March 31, 2025 and 2024 and the years ended December 31, 2024 and 2023. However, there can be no assurance that our results of operations will not be materially impacted by inflation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Characteristics</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table sets forth the LOS Volume and the weighted-average characteristics of loans we originated or purchased for the three months ended March 31, 2025 and 2024 and for the years ended December 31, 2024 and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4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 March 31,</w:t>
            </w:r>
          </w:p>
        </w:tc>
        <w:tc>
          <w:tcPr>
            <w:tcW w:w="300" w:type="dxa"/>
            <w:vAlign w:val="bottom"/>
          </w:tcPr>
          <w:p>
            <w:pPr>
              <w:spacing w:after="0"/>
              <w:rPr>
                <w:sz w:val="17"/>
                <w:szCs w:val="17"/>
                <w:color w:val="auto"/>
              </w:rPr>
            </w:pPr>
          </w:p>
        </w:tc>
        <w:tc>
          <w:tcPr>
            <w:tcW w:w="308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For the Years Ended December 31,</w:t>
            </w:r>
          </w:p>
        </w:tc>
      </w:tr>
      <w:tr>
        <w:trPr>
          <w:trHeight w:val="197"/>
        </w:trPr>
        <w:tc>
          <w:tcPr>
            <w:tcW w:w="438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2023</w:t>
            </w:r>
          </w:p>
        </w:tc>
      </w:tr>
      <w:tr>
        <w:trPr>
          <w:trHeight w:val="211"/>
        </w:trPr>
        <w:tc>
          <w:tcPr>
            <w:tcW w:w="4380" w:type="dxa"/>
            <w:vAlign w:val="bottom"/>
            <w:gridSpan w:val="4"/>
            <w:shd w:val="clear" w:color="auto" w:fill="CCEEFF"/>
          </w:tcPr>
          <w:p>
            <w:pPr>
              <w:ind w:left="20"/>
              <w:spacing w:after="0" w:line="211" w:lineRule="exact"/>
              <w:rPr>
                <w:sz w:val="20"/>
                <w:szCs w:val="20"/>
                <w:color w:val="auto"/>
              </w:rPr>
            </w:pPr>
            <w:r>
              <w:rPr>
                <w:rFonts w:ascii="Arial" w:cs="Arial" w:eastAsia="Arial" w:hAnsi="Arial"/>
                <w:sz w:val="18"/>
                <w:szCs w:val="18"/>
                <w:b w:val="1"/>
                <w:bCs w:val="1"/>
                <w:color w:val="auto"/>
              </w:rPr>
              <w:t>HELOC Loans</w:t>
            </w:r>
            <w:r>
              <w:rPr>
                <w:rFonts w:ascii="Arial" w:cs="Arial" w:eastAsia="Arial" w:hAnsi="Arial"/>
                <w:sz w:val="23"/>
                <w:szCs w:val="23"/>
                <w:b w:val="1"/>
                <w:bCs w:val="1"/>
                <w:color w:val="auto"/>
                <w:vertAlign w:val="superscript"/>
              </w:rPr>
              <w:t>(1)</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89"/>
        </w:trPr>
        <w:tc>
          <w:tcPr>
            <w:tcW w:w="140" w:type="dxa"/>
            <w:vAlign w:val="bottom"/>
          </w:tcPr>
          <w:p>
            <w:pPr>
              <w:spacing w:after="0"/>
              <w:rPr>
                <w:sz w:val="16"/>
                <w:szCs w:val="16"/>
                <w:color w:val="auto"/>
              </w:rPr>
            </w:pPr>
          </w:p>
        </w:tc>
        <w:tc>
          <w:tcPr>
            <w:tcW w:w="4240" w:type="dxa"/>
            <w:vAlign w:val="bottom"/>
            <w:gridSpan w:val="3"/>
          </w:tcPr>
          <w:p>
            <w:pPr>
              <w:spacing w:after="0" w:line="189" w:lineRule="exact"/>
              <w:rPr>
                <w:sz w:val="20"/>
                <w:szCs w:val="20"/>
                <w:color w:val="auto"/>
              </w:rPr>
            </w:pPr>
            <w:r>
              <w:rPr>
                <w:rFonts w:ascii="Arial" w:cs="Arial" w:eastAsia="Arial" w:hAnsi="Arial"/>
                <w:sz w:val="18"/>
                <w:szCs w:val="18"/>
                <w:color w:val="auto"/>
              </w:rPr>
              <w:t>Partner-branded</w:t>
            </w: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
        </w:trPr>
        <w:tc>
          <w:tcPr>
            <w:tcW w:w="1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9"/>
        </w:trPr>
        <w:tc>
          <w:tcPr>
            <w:tcW w:w="140" w:type="dxa"/>
            <w:vAlign w:val="bottom"/>
            <w:shd w:val="clear" w:color="auto" w:fill="CCEEFF"/>
          </w:tcPr>
          <w:p>
            <w:pPr>
              <w:spacing w:after="0"/>
              <w:rPr>
                <w:sz w:val="19"/>
                <w:szCs w:val="19"/>
                <w:color w:val="auto"/>
              </w:rPr>
            </w:pPr>
          </w:p>
        </w:tc>
        <w:tc>
          <w:tcPr>
            <w:tcW w:w="4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Loan Term (in months)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318</w:t>
            </w:r>
          </w:p>
        </w:tc>
      </w:tr>
      <w:tr>
        <w:trPr>
          <w:trHeight w:val="230"/>
        </w:trPr>
        <w:tc>
          <w:tcPr>
            <w:tcW w:w="140" w:type="dxa"/>
            <w:vAlign w:val="bottom"/>
          </w:tcPr>
          <w:p>
            <w:pPr>
              <w:spacing w:after="0"/>
              <w:rPr>
                <w:sz w:val="19"/>
                <w:szCs w:val="19"/>
                <w:color w:val="auto"/>
              </w:rPr>
            </w:pPr>
          </w:p>
        </w:tc>
        <w:tc>
          <w:tcPr>
            <w:tcW w:w="4240" w:type="dxa"/>
            <w:vAlign w:val="bottom"/>
            <w:gridSpan w:val="3"/>
          </w:tcPr>
          <w:p>
            <w:pPr>
              <w:ind w:left="100"/>
              <w:spacing w:after="0"/>
              <w:rPr>
                <w:sz w:val="20"/>
                <w:szCs w:val="20"/>
                <w:color w:val="auto"/>
              </w:rPr>
            </w:pPr>
            <w:r>
              <w:rPr>
                <w:rFonts w:ascii="Arial" w:cs="Arial" w:eastAsia="Arial" w:hAnsi="Arial"/>
                <w:sz w:val="18"/>
                <w:szCs w:val="18"/>
                <w:color w:val="auto"/>
              </w:rPr>
              <w:t>Customer Interest Rate</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11.4 %</w:t>
            </w:r>
          </w:p>
        </w:tc>
      </w:tr>
      <w:tr>
        <w:trPr>
          <w:trHeight w:val="229"/>
        </w:trPr>
        <w:tc>
          <w:tcPr>
            <w:tcW w:w="140" w:type="dxa"/>
            <w:vAlign w:val="bottom"/>
            <w:shd w:val="clear" w:color="auto" w:fill="CCEEFF"/>
          </w:tcPr>
          <w:p>
            <w:pPr>
              <w:spacing w:after="0"/>
              <w:rPr>
                <w:sz w:val="19"/>
                <w:szCs w:val="19"/>
                <w:color w:val="auto"/>
              </w:rPr>
            </w:pPr>
          </w:p>
        </w:tc>
        <w:tc>
          <w:tcPr>
            <w:tcW w:w="4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Customer FICO Score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756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753</w:t>
            </w:r>
          </w:p>
        </w:tc>
      </w:tr>
      <w:tr>
        <w:trPr>
          <w:trHeight w:val="229"/>
        </w:trPr>
        <w:tc>
          <w:tcPr>
            <w:tcW w:w="140" w:type="dxa"/>
            <w:vAlign w:val="bottom"/>
          </w:tcPr>
          <w:p>
            <w:pPr>
              <w:spacing w:after="0"/>
              <w:rPr>
                <w:sz w:val="19"/>
                <w:szCs w:val="19"/>
                <w:color w:val="auto"/>
              </w:rPr>
            </w:pPr>
          </w:p>
        </w:tc>
        <w:tc>
          <w:tcPr>
            <w:tcW w:w="4240" w:type="dxa"/>
            <w:vAlign w:val="bottom"/>
            <w:gridSpan w:val="3"/>
          </w:tcPr>
          <w:p>
            <w:pPr>
              <w:ind w:left="100"/>
              <w:spacing w:after="0"/>
              <w:rPr>
                <w:sz w:val="20"/>
                <w:szCs w:val="20"/>
                <w:color w:val="auto"/>
              </w:rPr>
            </w:pPr>
            <w:r>
              <w:rPr>
                <w:rFonts w:ascii="Arial" w:cs="Arial" w:eastAsia="Arial" w:hAnsi="Arial"/>
                <w:sz w:val="18"/>
                <w:szCs w:val="18"/>
                <w:color w:val="auto"/>
              </w:rPr>
              <w:t>Loan Balance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89</w:t>
            </w:r>
          </w:p>
        </w:tc>
      </w:tr>
      <w:tr>
        <w:trPr>
          <w:trHeight w:val="189"/>
        </w:trPr>
        <w:tc>
          <w:tcPr>
            <w:tcW w:w="140" w:type="dxa"/>
            <w:vAlign w:val="bottom"/>
            <w:shd w:val="clear" w:color="auto" w:fill="CCEEFF"/>
          </w:tcPr>
          <w:p>
            <w:pPr>
              <w:spacing w:after="0"/>
              <w:rPr>
                <w:sz w:val="16"/>
                <w:szCs w:val="16"/>
                <w:color w:val="auto"/>
              </w:rPr>
            </w:pPr>
          </w:p>
        </w:tc>
        <w:tc>
          <w:tcPr>
            <w:tcW w:w="42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Figure-branded</w:t>
            </w: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140" w:type="dxa"/>
            <w:vAlign w:val="bottom"/>
          </w:tcPr>
          <w:p>
            <w:pPr>
              <w:spacing w:after="0"/>
              <w:rPr>
                <w:sz w:val="19"/>
                <w:szCs w:val="19"/>
                <w:color w:val="auto"/>
              </w:rPr>
            </w:pPr>
          </w:p>
        </w:tc>
        <w:tc>
          <w:tcPr>
            <w:tcW w:w="4240" w:type="dxa"/>
            <w:vAlign w:val="bottom"/>
            <w:gridSpan w:val="3"/>
          </w:tcPr>
          <w:p>
            <w:pPr>
              <w:ind w:left="100"/>
              <w:spacing w:after="0"/>
              <w:rPr>
                <w:sz w:val="20"/>
                <w:szCs w:val="20"/>
                <w:color w:val="auto"/>
              </w:rPr>
            </w:pPr>
            <w:r>
              <w:rPr>
                <w:rFonts w:ascii="Arial" w:cs="Arial" w:eastAsia="Arial" w:hAnsi="Arial"/>
                <w:sz w:val="18"/>
                <w:szCs w:val="18"/>
                <w:color w:val="auto"/>
              </w:rPr>
              <w:t>Loan Term (in months)</w:t>
            </w:r>
          </w:p>
        </w:tc>
        <w:tc>
          <w:tcPr>
            <w:tcW w:w="240" w:type="dxa"/>
            <w:vAlign w:val="bottom"/>
          </w:tcPr>
          <w:p>
            <w:pPr>
              <w:spacing w:after="0"/>
              <w:rPr>
                <w:sz w:val="19"/>
                <w:szCs w:val="19"/>
                <w:color w:val="auto"/>
              </w:rPr>
            </w:pP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295</w:t>
            </w:r>
          </w:p>
        </w:tc>
      </w:tr>
      <w:tr>
        <w:trPr>
          <w:trHeight w:val="230"/>
        </w:trPr>
        <w:tc>
          <w:tcPr>
            <w:tcW w:w="140" w:type="dxa"/>
            <w:vAlign w:val="bottom"/>
            <w:shd w:val="clear" w:color="auto" w:fill="CCEEFF"/>
          </w:tcPr>
          <w:p>
            <w:pPr>
              <w:spacing w:after="0"/>
              <w:rPr>
                <w:sz w:val="19"/>
                <w:szCs w:val="19"/>
                <w:color w:val="auto"/>
              </w:rPr>
            </w:pPr>
          </w:p>
        </w:tc>
        <w:tc>
          <w:tcPr>
            <w:tcW w:w="4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Customer Interest Rate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r>
      <w:tr>
        <w:trPr>
          <w:trHeight w:val="229"/>
        </w:trPr>
        <w:tc>
          <w:tcPr>
            <w:tcW w:w="140" w:type="dxa"/>
            <w:vAlign w:val="bottom"/>
          </w:tcPr>
          <w:p>
            <w:pPr>
              <w:spacing w:after="0"/>
              <w:rPr>
                <w:sz w:val="19"/>
                <w:szCs w:val="19"/>
                <w:color w:val="auto"/>
              </w:rPr>
            </w:pPr>
          </w:p>
        </w:tc>
        <w:tc>
          <w:tcPr>
            <w:tcW w:w="4240" w:type="dxa"/>
            <w:vAlign w:val="bottom"/>
            <w:gridSpan w:val="3"/>
          </w:tcPr>
          <w:p>
            <w:pPr>
              <w:ind w:left="100"/>
              <w:spacing w:after="0"/>
              <w:rPr>
                <w:sz w:val="20"/>
                <w:szCs w:val="20"/>
                <w:color w:val="auto"/>
              </w:rPr>
            </w:pPr>
            <w:r>
              <w:rPr>
                <w:rFonts w:ascii="Arial" w:cs="Arial" w:eastAsia="Arial" w:hAnsi="Arial"/>
                <w:sz w:val="18"/>
                <w:szCs w:val="18"/>
                <w:color w:val="auto"/>
              </w:rPr>
              <w:t>Customer FICO Score</w:t>
            </w:r>
          </w:p>
        </w:tc>
        <w:tc>
          <w:tcPr>
            <w:tcW w:w="240" w:type="dxa"/>
            <w:vAlign w:val="bottom"/>
          </w:tcPr>
          <w:p>
            <w:pPr>
              <w:spacing w:after="0"/>
              <w:rPr>
                <w:sz w:val="19"/>
                <w:szCs w:val="19"/>
                <w:color w:val="auto"/>
              </w:rPr>
            </w:pP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748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749</w:t>
            </w:r>
          </w:p>
        </w:tc>
      </w:tr>
      <w:tr>
        <w:trPr>
          <w:trHeight w:val="229"/>
        </w:trPr>
        <w:tc>
          <w:tcPr>
            <w:tcW w:w="140" w:type="dxa"/>
            <w:vAlign w:val="bottom"/>
            <w:shd w:val="clear" w:color="auto" w:fill="CCEEFF"/>
          </w:tcPr>
          <w:p>
            <w:pPr>
              <w:spacing w:after="0"/>
              <w:rPr>
                <w:sz w:val="19"/>
                <w:szCs w:val="19"/>
                <w:color w:val="auto"/>
              </w:rPr>
            </w:pPr>
          </w:p>
        </w:tc>
        <w:tc>
          <w:tcPr>
            <w:tcW w:w="4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Loan Balance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87</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21" w:lineRule="exact"/>
        <w:rPr>
          <w:sz w:val="20"/>
          <w:szCs w:val="20"/>
          <w:color w:val="auto"/>
        </w:rPr>
      </w:pPr>
    </w:p>
    <w:p>
      <w:pPr>
        <w:ind w:left="340" w:hanging="332"/>
        <w:spacing w:after="0" w:line="265" w:lineRule="auto"/>
        <w:tabs>
          <w:tab w:leader="none" w:pos="335" w:val="left"/>
        </w:tabs>
        <w:numPr>
          <w:ilvl w:val="0"/>
          <w:numId w:val="53"/>
        </w:numPr>
        <w:rPr>
          <w:rFonts w:ascii="Arial" w:cs="Arial" w:eastAsia="Arial" w:hAnsi="Arial"/>
          <w:sz w:val="16"/>
          <w:szCs w:val="16"/>
          <w:color w:val="auto"/>
        </w:rPr>
      </w:pPr>
      <w:r>
        <w:rPr>
          <w:rFonts w:ascii="Arial" w:cs="Arial" w:eastAsia="Arial" w:hAnsi="Arial"/>
          <w:sz w:val="16"/>
          <w:szCs w:val="16"/>
          <w:color w:val="auto"/>
        </w:rPr>
        <w:t>HELOC loans subject to monthly, amortizing borrower payments and may be prepaid and redrawn within a limited period of time. Personal, mortgage, and other loans are not considered significant.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accompanying combined consolidated financial statements have been prepared in accordance with GAAP and include the accounts of our company and our subsidiaries. Our subsidiaries are entities in which our company holds, directly or indirectly, more than 50% of the voting rights or where it exercises control. For the purposes of the consolidated financial statements, the basis of presentation of such subsidiaries is converted to GAAP. All intercompany accounts and transactions have been eliminated. We conduct our business through two operating segments. See Notes 1 and 2 of the accompanying combined consolidated financial statements of FTI and FMH and their subsidiaries for more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net revenue is primarily derived from ecosystem and technology fees, loan originations and sales, including interest income earned thereon, and loan servicing.</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Ecosystem and Technology Fees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Through our Partner-branded channel, we earn volume-based technology and processing fees, based on the principal balance of each loan originated on our LOS and the principal balance of loans transacted on Figure Connect. Such fees arise from contracts entered into with partners to provide access to a cloud-based lending marketplace platform that is developed by us. Our platform enables partners, who are retail and wholesale lenders, to originate loans branded under the partners’ name, by having access to a suite of services such as submission of loan applications, verifying information provided within submitted applications, risk underwriting, delivery of electronic loan offers, and electronic loan documentation signed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3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also earn a fee for arranging and facilitating the securitization of HELOCs based on the outstanding principal balance of the transferred HELOCs, which is fully earned on the securitization closing date. Program fees are paid by the trust and as the fees are earned and paid upon closing.</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Origination Fees</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Origination fees consist of the fees that we earn from originating loans upon the customer’s initial loan draw. Origination fees include loan origination fees and other fees collected from the customer at the time a loan is funded. Origination fees are currently calculated as a percentage of the customer’s initial loan balance and are recognized as revenue at a specified point in time, once a customer’s loan application has been approved, a credit decision has been reached, and the loan has been funded and processed. These fees are earned through both our Figure-branded channel as well as our Partner-branded channel through wholesale brokers.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Servicing Fees and Other Revenue</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Servicing fees and other revenue consist of the fees that we earn from managing loan portfolios on behalf of the owners of those portfolios. Servicing fees are calculated based on a contractual percentage of the outstanding principal under servicing arrangements and are charged monthly pursuant to our servicing agreements for activities we perform throughout the loan term, including collection, processing and reconciliations of payments received, investor reporting, and customer support. We act as servicer for the majority of the loans facilitated through our platform.</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Gain on Sale of Loans</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Gain on sale of loans consists of the net proceeds from the difference between the proceeds received at the sale of loans to third-party buyers, and the unpaid principal balance of such loans, including adjustments for changes in fair value for loans sold during the period. These realized and unrealized gains or losses and fair value adjustments are recognized through both our Figure-branded and Partner-branded channels based on the fair value of the loan originated by us, or purchased from partners, generally represented by the consideration paid relative to the loans’ estimated fair value at each quarter end or consideration received upon sale.</w:t>
      </w:r>
    </w:p>
    <w:p>
      <w:pPr>
        <w:spacing w:after="0" w:line="1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have elected the fair value option for both the Figure-branded loans we originate as well as the Partner-branded loans we purchase from our partners that we hold for sale. Loans held for sale consist of loans we intend to sell, including HELOCs, personal loan products, and mortgage loans we previously originated or purchased. HELOCs and mortgage loans are secured by first or junior liens on customers’ real property. Any changes in fair value relating to loans held for sale are included in our results of operations as net fair value adjustments.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earn interest income primarily from three sources:</w:t>
      </w:r>
    </w:p>
    <w:p>
      <w:pPr>
        <w:spacing w:after="0" w:line="171" w:lineRule="exact"/>
        <w:rPr>
          <w:sz w:val="20"/>
          <w:szCs w:val="20"/>
          <w:color w:val="auto"/>
        </w:rPr>
      </w:pPr>
    </w:p>
    <w:p>
      <w:pPr>
        <w:jc w:val="both"/>
        <w:ind w:left="660" w:hanging="328"/>
        <w:spacing w:after="0" w:line="255"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Loans</w:t>
      </w:r>
      <w:r>
        <w:rPr>
          <w:rFonts w:ascii="Arial" w:cs="Arial" w:eastAsia="Arial" w:hAnsi="Arial"/>
          <w:sz w:val="18"/>
          <w:szCs w:val="18"/>
          <w:color w:val="auto"/>
        </w:rPr>
        <w:t xml:space="preserve"> — We accrue interest income on loans we hold based on the unpaid principal balance (“UPB”) outstanding at contractual interest rates. We place loans on nonaccrual status when they become 90 days past due (30 days past due for collateralized personal loans) or when we doubt full recovery of interest and principal. Loans are considered past due when contractually required principal or interest payments have not been made on the due dates. When a loan is placed on nonaccrual status, the accrued and unpaid interest is reversed as a reduction of interest income and accrued interest receivable. Interest income is subsequently recognized only to the extent cash payments are received or when the loan has been placed back in accrual status. Loans are restored to accrual status when the loan becomes current and we expect repayment of the remaining contractual principal and interest. We also recognize cash received on non-accrual loans as interest income after all contractual principal is 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39" w:lineRule="exact"/>
        <w:rPr>
          <w:sz w:val="20"/>
          <w:szCs w:val="20"/>
          <w:color w:val="auto"/>
        </w:rPr>
      </w:pPr>
    </w:p>
    <w:p>
      <w:pPr>
        <w:jc w:val="both"/>
        <w:ind w:left="660" w:hanging="328"/>
        <w:spacing w:after="0" w:line="255"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Marketable Securities</w:t>
      </w:r>
      <w:r>
        <w:rPr>
          <w:rFonts w:ascii="Arial" w:cs="Arial" w:eastAsia="Arial" w:hAnsi="Arial"/>
          <w:sz w:val="18"/>
          <w:szCs w:val="18"/>
          <w:color w:val="auto"/>
        </w:rPr>
        <w:t xml:space="preserve"> — We recognize interest income on the debt securities we hold where we expect to collect all contractual cash flows, and the debt security cannot be contractually prepaid in such a way that we would not recover substantially all of our recorded investment, based on the stated coupon rate and the outstanding principal amount of the debt security. We recognize interest income on beneficial interests based on the investment’s accretable yield, which represents the difference between the expected undiscounted cash flows and the carrying value of the investment. We recognize the accretable yield as interest income on a prospective level yield basis over the life of the expected cash flows. Changes in the amount or timing of actual or expected cash flows may change the accretable yield, and we adjust interest income recognized in future periods using a recalculated level yield applied to the then-current carrying value. Increases (decreases) in the amount of cash flows or acceleration (deceleration) of cash flows, in isolation, generally increase (decrease) the interest income recognized in future periods.</w:t>
      </w:r>
    </w:p>
    <w:p>
      <w:pPr>
        <w:spacing w:after="0" w:line="126"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YLDS</w:t>
      </w:r>
      <w:r>
        <w:rPr>
          <w:rFonts w:ascii="Arial" w:cs="Arial" w:eastAsia="Arial" w:hAnsi="Arial"/>
          <w:sz w:val="18"/>
          <w:szCs w:val="18"/>
          <w:color w:val="auto"/>
        </w:rPr>
        <w:t xml:space="preserve"> — We accrue interest income monthly for cash equivalents held by Figure Certificate Corp. that earn SOFR, for which we pay SOFR less 50 basis points to certificates held in the form of YLDS.</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xml:space="preserve"> — We accrue interest income monthly for cash held at depository institutions and investments in short-term instruments such as money-market funds.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Gain on Servicing Asset</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routinely sell HELOCs, and in the past we have also sold personal loans, mortgage loans and Figure Pay credit loans, with servicing rights retained. During the three months ended March 31, 2025, HELOCs comprised over 99% of our total loan originations. Figure Pay credit loans are short duration, installment loans that consumers can use at their discretion. Loan servicing activities include account maintenance, collections, processing payments from customers, and distributions to third-party loan owners. During each reporting period, a servicing asset is recognized when the benefits of servicing are determined to be greater than adequate compensation for the servicing activities that we perform, and conversely, a servicing liability is recognized if the benefits of servicing are determined to be less than adequate compensation for the servicing activities that we perform. We carry servicing assets at fair value. Any changes in the fair value are included in our results of operations as net fair value adjustments. These gains are recognized through both our Figure-branded and Partner-branded channels.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Operating expenses consist of general and administrative, technology and product development, operations and processing, sales and marketing and interest expenses.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General and administrative expenses primarily consist of payroll and other personnel-related costs, including stock-based compensation, legal and compliance, finance and accounting, human resources and facilities teams, professional services fees, facilities, and travel expenses. We expect general and administrative expenses to increase in the near-term as we continue to grow our business as well as a result of our transition to being a public reporting company.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Technology and Product Development</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Technology and product development expenses primarily consist of payroll and other personnel-related costs, including stock-based compensation, for our product, engineering, and design team, which is responsible for maintenance, bug fixes and software updates among others, as well as the costs of systems and tools used by these personnel. We expect technology and product development expenses to increase as we continue to grow our business and expand our product, engineering, and design teams as we continue to enhance and expand our technology and product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Operations and Processing</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Operations and processing expenses primarily consist of payroll and other personnel-related costs, including stock-based compensation for personnel engaged in onboarding, loan servicing, customer support and other related operational teams. These expenses also include the costs of third-party systems and tools we use as part of the loan origination process, including information verification, fraud detection, and payment processing activities. We expect operations and processing expenses to increase as we continue to grow our business and expand our product offerings.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and marketing expenses primarily consist of costs incurred across various advertising channels, including expenses associated with advertising campaigns, and building overall brand awareness. Sales and marketing expenses also include payroll and other personnel-related costs, including stock-based compensation expense, for our sales and marketing personnel. We expect sales and marketing expenses to increase as we continue to grow our business and seek to increase the number of partners and our Figure-branded origination activities.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Interest expense consists of the costs we incur on our borrowings, amortization of fees, and other costs associated with our debt obligations.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Expense</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have contractual agreements with loan buyers to repurchase loans under certain circumstances, including in the event of borrower delinquencies within the first 30 to 90 days of loan origination. We record a loss on those loans based on the fair value at the date on which we identify the repurchase obligation.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Other income (expense) contains unrealized and realized gains (losses) resulting from transactions of certain digital assets, litigation settlements, adjustments to non-equity method investments, foreign exchange rate gains (losses) and other non-income based state and local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2025, compared to three months ended March 31, 2024</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Statements of Operations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combined consolidated statements of operations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5"/>
          </w:tcPr>
          <w:p>
            <w:pPr>
              <w:spacing w:after="0"/>
              <w:rPr>
                <w:sz w:val="20"/>
                <w:szCs w:val="20"/>
                <w:color w:val="auto"/>
              </w:rPr>
            </w:pPr>
            <w:r>
              <w:rPr>
                <w:rFonts w:ascii="Arial" w:cs="Arial" w:eastAsia="Arial" w:hAnsi="Arial"/>
                <w:sz w:val="14"/>
                <w:szCs w:val="14"/>
                <w:b w:val="1"/>
                <w:bCs w:val="1"/>
                <w:color w:val="auto"/>
              </w:rPr>
              <w:t>For the Three Months Ended March 31,</w:t>
            </w:r>
          </w:p>
        </w:tc>
        <w:tc>
          <w:tcPr>
            <w:tcW w:w="380" w:type="dxa"/>
            <w:vAlign w:val="bottom"/>
          </w:tcPr>
          <w:p>
            <w:pPr>
              <w:spacing w:after="0"/>
              <w:rPr>
                <w:sz w:val="17"/>
                <w:szCs w:val="17"/>
                <w:color w:val="auto"/>
              </w:rPr>
            </w:pPr>
          </w:p>
        </w:tc>
        <w:tc>
          <w:tcPr>
            <w:tcW w:w="1620" w:type="dxa"/>
            <w:vAlign w:val="bottom"/>
            <w:gridSpan w:val="3"/>
          </w:tcPr>
          <w:p>
            <w:pPr>
              <w:ind w:left="88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1"/>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40"/>
              <w:spacing w:after="0"/>
              <w:rPr>
                <w:sz w:val="20"/>
                <w:szCs w:val="20"/>
                <w:color w:val="auto"/>
              </w:rPr>
            </w:pPr>
            <w:r>
              <w:rPr>
                <w:rFonts w:ascii="Arial" w:cs="Arial" w:eastAsia="Arial" w:hAnsi="Arial"/>
                <w:sz w:val="18"/>
                <w:szCs w:val="18"/>
                <w:color w:val="auto"/>
              </w:rPr>
              <w:t>Ecosystem and technology fees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15,613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6,055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9,558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157.9 %</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Servicing fees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7,028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Origination fees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5160" w:type="dxa"/>
            <w:vAlign w:val="bottom"/>
          </w:tcPr>
          <w:p>
            <w:pPr>
              <w:ind w:left="240"/>
              <w:spacing w:after="0"/>
              <w:rPr>
                <w:sz w:val="20"/>
                <w:szCs w:val="20"/>
                <w:color w:val="auto"/>
              </w:rPr>
            </w:pPr>
            <w:r>
              <w:rPr>
                <w:rFonts w:ascii="Arial" w:cs="Arial" w:eastAsia="Arial" w:hAnsi="Arial"/>
                <w:sz w:val="18"/>
                <w:szCs w:val="18"/>
                <w:color w:val="auto"/>
              </w:rPr>
              <w:t>Gain on sale of loans, net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7,557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servicing asset, net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revenue</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ind w:right="151"/>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9"/>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29"/>
        </w:trPr>
        <w:tc>
          <w:tcPr>
            <w:tcW w:w="5160" w:type="dxa"/>
            <w:vAlign w:val="bottom"/>
          </w:tcPr>
          <w:p>
            <w:pPr>
              <w:ind w:left="240"/>
              <w:spacing w:after="0"/>
              <w:rPr>
                <w:sz w:val="20"/>
                <w:szCs w:val="20"/>
                <w:color w:val="auto"/>
              </w:rPr>
            </w:pPr>
            <w:r>
              <w:rPr>
                <w:rFonts w:ascii="Arial" w:cs="Arial" w:eastAsia="Arial" w:hAnsi="Arial"/>
                <w:sz w:val="18"/>
                <w:szCs w:val="18"/>
                <w:color w:val="auto"/>
              </w:rPr>
              <w:t>Technology and product development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17,416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Operations and processing</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2,613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expense</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ind w:right="15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99,109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31,917</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 net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ind w:right="151"/>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(28,485)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29,102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155"/>
        </w:trPr>
        <w:tc>
          <w:tcPr>
            <w:tcW w:w="51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income (loss) attributable to noncontrolling interests in</w:t>
            </w:r>
          </w:p>
        </w:tc>
        <w:tc>
          <w:tcPr>
            <w:tcW w:w="1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subsidiaries</w:t>
            </w:r>
          </w:p>
        </w:tc>
        <w:tc>
          <w:tcPr>
            <w:tcW w:w="1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Figure Technology Group</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29,123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ind w:left="40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2025 and 2024</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Revenue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Ecosystem and technology fees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 March 31,</w:t>
            </w:r>
          </w:p>
        </w:tc>
        <w:tc>
          <w:tcPr>
            <w:tcW w:w="820" w:type="dxa"/>
            <w:vAlign w:val="bottom"/>
          </w:tcPr>
          <w:p>
            <w:pPr>
              <w:spacing w:after="0"/>
              <w:rPr>
                <w:sz w:val="17"/>
                <w:szCs w:val="17"/>
                <w:color w:val="auto"/>
              </w:rPr>
            </w:pPr>
          </w:p>
        </w:tc>
        <w:tc>
          <w:tcPr>
            <w:tcW w:w="1200" w:type="dxa"/>
            <w:vAlign w:val="bottom"/>
            <w:gridSpan w:val="3"/>
          </w:tcPr>
          <w:p>
            <w:pPr>
              <w:ind w:left="46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7"/>
                <w:szCs w:val="17"/>
                <w:color w:val="auto"/>
              </w:rPr>
            </w:pPr>
          </w:p>
        </w:tc>
      </w:tr>
      <w:tr>
        <w:trPr>
          <w:trHeight w:val="196"/>
        </w:trPr>
        <w:tc>
          <w:tcPr>
            <w:tcW w:w="50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w:t>
            </w:r>
          </w:p>
        </w:tc>
      </w:tr>
      <w:tr>
        <w:trPr>
          <w:trHeight w:val="22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offering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7,895</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5,117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54.3 %</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Ecosystem fees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5,212</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 fees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167.2</w:t>
            </w:r>
          </w:p>
        </w:tc>
      </w:tr>
      <w:tr>
        <w:trPr>
          <w:trHeight w:val="223"/>
        </w:trPr>
        <w:tc>
          <w:tcPr>
            <w:tcW w:w="5080" w:type="dxa"/>
            <w:vAlign w:val="bottom"/>
          </w:tcPr>
          <w:p>
            <w:pPr>
              <w:ind w:left="240"/>
              <w:spacing w:after="0"/>
              <w:rPr>
                <w:sz w:val="20"/>
                <w:szCs w:val="20"/>
                <w:color w:val="auto"/>
              </w:rPr>
            </w:pPr>
            <w:r>
              <w:rPr>
                <w:rFonts w:ascii="Arial" w:cs="Arial" w:eastAsia="Arial" w:hAnsi="Arial"/>
                <w:sz w:val="18"/>
                <w:szCs w:val="18"/>
                <w:color w:val="auto"/>
              </w:rPr>
              <w:t>Total ecosystem and technology fees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15,613</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6,055</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157.9 %</w:t>
            </w:r>
          </w:p>
        </w:tc>
      </w:tr>
      <w:tr>
        <w:trPr>
          <w:trHeight w:val="20"/>
        </w:trPr>
        <w:tc>
          <w:tcPr>
            <w:tcW w:w="5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Ecosystem and technology fees increased $9.6 million, or 157.9%, as we started offering services in the fourth fiscal quarter of 2023 that generated $0.9 million of program fees during the three months ended March 31, 2024, compared with $2.5 million earned during the three months ended March 31, 2025. Such services for which we earn program fees include loan securitization services whereby our partners sponsor loans they originate into securitizations that we facilitate and in which we may also contribute loans we originate. We earned an additional $ 2.8 million of technology offering fees from the fulfillment of $762.6 million and $590.5 million in Partner-branded loan originations from which we earned weighted-average technology offering fees of 1.0% and 0.8% of loan principal sold during the three months ended March 31, 2025 and 2024, respectively. Additionally, we recognized $5.2 million of ecosystem fees related to our Partner-branded products for loans transacted on our Connect platform that we did not offer during the three months ended March 31, 2024.</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Servicing fees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Servicing fees increased $1.5 million, or 26.3%, which corresponds to a $ 2.7 billion, or 45.9%, increase in the $8.5 billion and $5.8 billion unpaid principal balance of loans serviced during the three months ended March 31, 2025 and 2024, respectively, partially offset by a decrease of 6 basis points in the weighted average servicing fee rate from 39 basis points to 33 basis points.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Interest income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income increased $7.0 million, or 73.4%, when comparing the three months ended March 31, 2025 over the three months ended March 31, 2024, primarily from a $ 4.6 million increase in interest earned on marketable securities held as we have progressively securitized loans on our platform and retained certain interests therein as well as a $1.6 million increase in interest earned on loans we hold as we have originated or purchased progressively more loans. Additionally, we earned $ 0.8 million of additional interest from cash, cash equivalents, and restricted cash due to an increase in the weighted-average interest rates on cash deposits.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Origination fees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Net origination fees decreased $3.3 million or 21.0%, as a result of gross origination fees decreasing $1.6 million, or 0.1%, which corresponds with decreased principal balances of loans originated by us of $38.4 million, or 0.1%, further decreased by an increase of wholesale broker fees of $1.6 million, which corresponds with a $81.6 million increase in the principal balances of loans we purchased from our partners on which we pay such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Gain on sale of loans,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 March 31,</w:t>
            </w:r>
          </w:p>
        </w:tc>
        <w:tc>
          <w:tcPr>
            <w:tcW w:w="400" w:type="dxa"/>
            <w:vAlign w:val="bottom"/>
          </w:tcPr>
          <w:p>
            <w:pPr>
              <w:spacing w:after="0"/>
              <w:rPr>
                <w:sz w:val="17"/>
                <w:szCs w:val="17"/>
                <w:color w:val="auto"/>
              </w:rPr>
            </w:pPr>
          </w:p>
        </w:tc>
        <w:tc>
          <w:tcPr>
            <w:tcW w:w="1620" w:type="dxa"/>
            <w:vAlign w:val="bottom"/>
            <w:gridSpan w:val="3"/>
          </w:tcPr>
          <w:p>
            <w:pPr>
              <w:ind w:left="88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spacing w:after="0"/>
              <w:rPr>
                <w:sz w:val="17"/>
                <w:szCs w:val="17"/>
                <w:color w:val="auto"/>
              </w:rPr>
            </w:pPr>
          </w:p>
        </w:tc>
      </w:tr>
      <w:tr>
        <w:trPr>
          <w:trHeight w:val="196"/>
        </w:trPr>
        <w:tc>
          <w:tcPr>
            <w:tcW w:w="5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w:t>
            </w:r>
          </w:p>
        </w:tc>
      </w:tr>
      <w:tr>
        <w:trPr>
          <w:trHeight w:val="21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Realized gains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5140" w:type="dxa"/>
            <w:vAlign w:val="bottom"/>
          </w:tcPr>
          <w:p>
            <w:pPr>
              <w:ind w:left="140"/>
              <w:spacing w:after="0"/>
              <w:rPr>
                <w:sz w:val="20"/>
                <w:szCs w:val="20"/>
                <w:color w:val="auto"/>
              </w:rPr>
            </w:pPr>
            <w:r>
              <w:rPr>
                <w:rFonts w:ascii="Arial" w:cs="Arial" w:eastAsia="Arial" w:hAnsi="Arial"/>
                <w:sz w:val="18"/>
                <w:szCs w:val="18"/>
                <w:color w:val="auto"/>
              </w:rPr>
              <w:t>Whole loan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18,182</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16,993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7.0 %</w:t>
            </w:r>
          </w:p>
        </w:tc>
      </w:tr>
      <w:tr>
        <w:trPr>
          <w:trHeight w:val="230"/>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Securitized loans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108.0</w:t>
            </w:r>
          </w:p>
        </w:tc>
      </w:tr>
      <w:tr>
        <w:trPr>
          <w:trHeight w:val="229"/>
        </w:trPr>
        <w:tc>
          <w:tcPr>
            <w:tcW w:w="5140" w:type="dxa"/>
            <w:vAlign w:val="bottom"/>
          </w:tcPr>
          <w:p>
            <w:pPr>
              <w:ind w:left="140"/>
              <w:spacing w:after="0"/>
              <w:rPr>
                <w:sz w:val="20"/>
                <w:szCs w:val="20"/>
                <w:color w:val="auto"/>
              </w:rPr>
            </w:pPr>
            <w:r>
              <w:rPr>
                <w:rFonts w:ascii="Arial" w:cs="Arial" w:eastAsia="Arial" w:hAnsi="Arial"/>
                <w:sz w:val="18"/>
                <w:szCs w:val="18"/>
                <w:color w:val="auto"/>
              </w:rPr>
              <w:t>Derivatives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22,905</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15.2</w:t>
            </w:r>
          </w:p>
        </w:tc>
      </w:tr>
      <w:tr>
        <w:trPr>
          <w:trHeight w:val="209"/>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Unrealized gain (loss)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237.0</w:t>
            </w: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2,231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45.6</w:t>
            </w:r>
          </w:p>
        </w:tc>
      </w:tr>
      <w:tr>
        <w:trPr>
          <w:trHeight w:val="229"/>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9,118</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4,577</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ind w:right="152"/>
              <w:spacing w:after="0"/>
              <w:rPr>
                <w:sz w:val="20"/>
                <w:szCs w:val="20"/>
                <w:color w:val="auto"/>
              </w:rPr>
            </w:pPr>
            <w:r>
              <w:rPr>
                <w:rFonts w:ascii="Arial" w:cs="Arial" w:eastAsia="Arial" w:hAnsi="Arial"/>
                <w:sz w:val="18"/>
                <w:szCs w:val="18"/>
                <w:color w:val="auto"/>
              </w:rPr>
              <w:t>99.2</w:t>
            </w:r>
          </w:p>
        </w:tc>
      </w:tr>
      <w:tr>
        <w:trPr>
          <w:trHeight w:val="248"/>
        </w:trPr>
        <w:tc>
          <w:tcPr>
            <w:tcW w:w="5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30.9 %</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gain on sale of loans we earned increased $7.6 million, or 30.9%, as a result of an increase of $4.3 million in the realized gains on loan sales resulting from a 1.1% increase in the weighted average price of loans sold, partially offset by a decrease in the UPB sold from $ 998.3 million to $786.7 million for the three months ended March 31, 2024 and 2025, respectively. Changes in unrealized gains were due to a $7.2 million increase in the fair value of loans not yet sold and a $0.7 million increase in marketable securities. The increase in fair value of loans not yet sold resulted from lower assumed prepayment speeds, default rates, and discount rates on those loans for the three months ended March 31, 2025. We recognized realized and unrealized losses on derivatives of $1.3 million and $3.4 million, respectively, during the three months ended March 31, 2025. We did not have any derivatives during the three months ended March 31, 2024.</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Gain on servicing asset,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 March 31,</w:t>
            </w:r>
          </w:p>
        </w:tc>
        <w:tc>
          <w:tcPr>
            <w:tcW w:w="400" w:type="dxa"/>
            <w:vAlign w:val="bottom"/>
          </w:tcPr>
          <w:p>
            <w:pPr>
              <w:spacing w:after="0"/>
              <w:rPr>
                <w:sz w:val="17"/>
                <w:szCs w:val="17"/>
                <w:color w:val="auto"/>
              </w:rPr>
            </w:pPr>
          </w:p>
        </w:tc>
        <w:tc>
          <w:tcPr>
            <w:tcW w:w="1620" w:type="dxa"/>
            <w:vAlign w:val="bottom"/>
            <w:gridSpan w:val="3"/>
          </w:tcPr>
          <w:p>
            <w:pPr>
              <w:ind w:left="88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spacing w:after="0"/>
              <w:rPr>
                <w:sz w:val="17"/>
                <w:szCs w:val="17"/>
                <w:color w:val="auto"/>
              </w:rPr>
            </w:pPr>
          </w:p>
        </w:tc>
      </w:tr>
      <w:tr>
        <w:trPr>
          <w:trHeight w:val="197"/>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w:t>
            </w:r>
          </w:p>
        </w:tc>
      </w:tr>
      <w:tr>
        <w:trPr>
          <w:trHeight w:val="224"/>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Realization of cash flows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(5,239)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154"/>
              <w:spacing w:after="0"/>
              <w:rPr>
                <w:sz w:val="20"/>
                <w:szCs w:val="20"/>
                <w:color w:val="auto"/>
              </w:rPr>
            </w:pPr>
            <w:r>
              <w:rPr>
                <w:rFonts w:ascii="Arial" w:cs="Arial" w:eastAsia="Arial" w:hAnsi="Arial"/>
                <w:sz w:val="18"/>
                <w:szCs w:val="18"/>
                <w:color w:val="auto"/>
              </w:rPr>
              <w:t>35.2</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inputs and assumptions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(97.6)%</w:t>
            </w:r>
          </w:p>
        </w:tc>
      </w:tr>
      <w:tr>
        <w:trPr>
          <w:trHeight w:val="20"/>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our retained servicing rights decreased $ 13.2 million, or 97.6%, resulting from a $9.9 million decrease in the change in fair value of existing servicing assets due to a decrease in the prepayment speeds and discount rates during the three months ended March 31, 2024, compared to an increase in the prepayment speeds during the three months ended March 31, 2025. Additionally, there was a $2.0 million decrease in new servicing assets retained on fewer loans sold, and a $1.4 million increase in servicing fees collected for the three months ended March 31, 2025 compared to the three months ended March 31, 2024.</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Other revenue</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Components of other revenue did not materially change as fees, and the net assets on which we charge those fees, were consistent during the three months ended March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Figure branded</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Changes in Figure branded revenue are driven by changes in Figure branded volume. Figure branded ecosystem and technology fees increased by $ 0.3 million, or 81.8%, to $0.6 million during the three months ended March 31, 2025, compared to $0.3 million during the three months ended March 31, 2024. Figure branded origination fees decreased by $3.9 million, or 26.9%, to $10.7 million during the three months ended March 31, 2025, compared to $14.6 million during the three months ended March 31, 2024. Figure branded gain on sale of loans, net increased by $2.1 million, or 23.7%, to $10.9 million during the three months ended March 31, 2025, compared to $8.8 million during the three months ended March 31, 2024.</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Partner branded</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Changes in Partner branded revenue are driven by changes in Partner branded volume. Partner branded ecosystem and technology fees increased by $9.3 million, or 263.1%, to $15.0 million during the three months ended March 31, 2025, compared to $5.7 million during the three months ended March 31, 2024. Partner branded origination fees increased by $0.7 million, or 56.4%, to $ 1.8 million during the three months ended March 31, 2025, compared to $ 1.1 million during the three months ended March 31, 2024. Partner branded gain on sale of loans, net increased by $5.4 million, or 34.9%, to $21.1 million during the three months ended March 31, 2025, compared to $15.7 million during the three months ended March 31, 2024.</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General and administrative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 March 31,</w:t>
            </w:r>
          </w:p>
        </w:tc>
        <w:tc>
          <w:tcPr>
            <w:tcW w:w="400" w:type="dxa"/>
            <w:vAlign w:val="bottom"/>
          </w:tcPr>
          <w:p>
            <w:pPr>
              <w:spacing w:after="0"/>
              <w:rPr>
                <w:sz w:val="17"/>
                <w:szCs w:val="17"/>
                <w:color w:val="auto"/>
              </w:rPr>
            </w:pPr>
          </w:p>
        </w:tc>
        <w:tc>
          <w:tcPr>
            <w:tcW w:w="1620" w:type="dxa"/>
            <w:vAlign w:val="bottom"/>
            <w:gridSpan w:val="3"/>
          </w:tcPr>
          <w:p>
            <w:pPr>
              <w:ind w:left="88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spacing w:after="0"/>
              <w:rPr>
                <w:sz w:val="17"/>
                <w:szCs w:val="17"/>
                <w:color w:val="auto"/>
              </w:rPr>
            </w:pPr>
          </w:p>
        </w:tc>
      </w:tr>
      <w:tr>
        <w:trPr>
          <w:trHeight w:val="197"/>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w:t>
            </w:r>
          </w:p>
        </w:tc>
      </w:tr>
      <w:tr>
        <w:trPr>
          <w:trHeight w:val="224"/>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30.4 %</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(20,476)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(92.2)</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19.6</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Impairment of capitalized software</w:t>
            </w:r>
          </w:p>
        </w:tc>
        <w:tc>
          <w:tcPr>
            <w:tcW w:w="1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(8,591)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(100.0)</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17.5</w:t>
            </w:r>
          </w:p>
        </w:tc>
      </w:tr>
      <w:tr>
        <w:trPr>
          <w:trHeight w:val="223"/>
        </w:trPr>
        <w:tc>
          <w:tcPr>
            <w:tcW w:w="5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44,722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(57.9)%</w:t>
            </w:r>
          </w:p>
        </w:tc>
      </w:tr>
      <w:tr>
        <w:trPr>
          <w:trHeight w:val="20"/>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general and administrative expenses decreased $25.9 million, or 57.9%. This primarily consisted of a reduction in stock-based compensation expense of $20.5 million, primarily comprised of a $20.3 million decrease due to award modifications resulting from the Separation in the three months ended March 31, 2024. The decrease is partially offset by increased salary costs of $1.5 million from increased headcount and a $1.0 million increase in legal and accounting professional service expenses. Further, we wrote-off capitalized software impairment costs of $8.6 million during the three months ended March 31, 2024 that we no longer intended to use for its intended purpose or that became obsolete.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Technology and product development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 March 31,</w:t>
            </w:r>
          </w:p>
        </w:tc>
        <w:tc>
          <w:tcPr>
            <w:tcW w:w="780" w:type="dxa"/>
            <w:vAlign w:val="bottom"/>
          </w:tcPr>
          <w:p>
            <w:pPr>
              <w:spacing w:after="0"/>
              <w:rPr>
                <w:sz w:val="17"/>
                <w:szCs w:val="17"/>
                <w:color w:val="auto"/>
              </w:rPr>
            </w:pPr>
          </w:p>
        </w:tc>
        <w:tc>
          <w:tcPr>
            <w:tcW w:w="1240" w:type="dxa"/>
            <w:vAlign w:val="bottom"/>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spacing w:after="0"/>
              <w:rPr>
                <w:sz w:val="17"/>
                <w:szCs w:val="17"/>
                <w:color w:val="auto"/>
              </w:rPr>
            </w:pPr>
          </w:p>
        </w:tc>
      </w:tr>
      <w:tr>
        <w:trPr>
          <w:trHeight w:val="197"/>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w:t>
            </w:r>
          </w:p>
        </w:tc>
      </w:tr>
      <w:tr>
        <w:trPr>
          <w:trHeight w:val="224"/>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3,440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223.6</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20.7</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3,936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5,096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(22.8)</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(42.5)</w:t>
            </w:r>
          </w:p>
        </w:tc>
      </w:tr>
      <w:tr>
        <w:trPr>
          <w:trHeight w:val="223"/>
        </w:trPr>
        <w:tc>
          <w:tcPr>
            <w:tcW w:w="5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15,031</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15.9 %</w:t>
            </w:r>
          </w:p>
        </w:tc>
      </w:tr>
      <w:tr>
        <w:trPr>
          <w:trHeight w:val="21"/>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$2.4 million, or 15.9%, increase in technology and product development expenses reflects a $2.3 million increase in stock-based compensation expense representing warrants granted to a convertible preferred shareholder in exchange for services related to Figure Markets, a $0.8 million increase in compensation and benefits due to increased headcount, and a $0.4 million increase in software expenses. These increases were partially offset by a decrease of $1.2 million in amortization expense primarily resulting from software impaired during the three months ended March 31, 2024.</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Operations and processing</w:t>
      </w:r>
    </w:p>
    <w:p>
      <w:pPr>
        <w:spacing w:after="0" w:line="171"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Operations and processing expenses increased $1.8 million, or 16.5%, comprised of a $0.7 million increase in operating vendor expenses to originate loans under FTI, a $0.3 million increase in fees to transact on Provenance Blockchain, and a $0.4 million increase in outsourced customer service costs as a result of our use of outsourced customer service starting in June 2024.</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Sales and marketing</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sales and marketing expenses increased $2.6 million, or 21.2%, primarily resulting from an increase of $1.1 million spent for advertising of products in FTI to drive an increase in loan originations and a $1.0 million increase in compensation and benefits from increased headcount.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Interest expense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expense decreased $3.7 million, or 25.4%, due to warehouse facility costs of $3.5 million primarily due to lower average SOFR rates during the three months ended March 31, 2025 compared to March 31, 2024, a decrease in exit fees paid to the warehouse facilities of $3.3 million, and a decrease in financing costs of expense of $0.5 million. We entered into new facility agreements for mortgage servicing rights (“MSR”) financing and funding debt contributing to an additional $1.7 million of interest expense as well as additional retained interest financing of $1.8 million.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5"/>
          </w:tcPr>
          <w:p>
            <w:pPr>
              <w:spacing w:after="0"/>
              <w:rPr>
                <w:sz w:val="20"/>
                <w:szCs w:val="20"/>
                <w:color w:val="auto"/>
              </w:rPr>
            </w:pPr>
            <w:r>
              <w:rPr>
                <w:rFonts w:ascii="Arial" w:cs="Arial" w:eastAsia="Arial" w:hAnsi="Arial"/>
                <w:sz w:val="14"/>
                <w:szCs w:val="14"/>
                <w:b w:val="1"/>
                <w:bCs w:val="1"/>
                <w:color w:val="auto"/>
              </w:rPr>
              <w:t>For the Three Months Ended March 31,</w:t>
            </w:r>
          </w:p>
        </w:tc>
        <w:tc>
          <w:tcPr>
            <w:tcW w:w="380" w:type="dxa"/>
            <w:vAlign w:val="bottom"/>
          </w:tcPr>
          <w:p>
            <w:pPr>
              <w:spacing w:after="0"/>
              <w:rPr>
                <w:sz w:val="17"/>
                <w:szCs w:val="17"/>
                <w:color w:val="auto"/>
              </w:rPr>
            </w:pPr>
          </w:p>
        </w:tc>
        <w:tc>
          <w:tcPr>
            <w:tcW w:w="1620" w:type="dxa"/>
            <w:vAlign w:val="bottom"/>
            <w:gridSpan w:val="3"/>
          </w:tcPr>
          <w:p>
            <w:pPr>
              <w:ind w:left="88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spacing w:after="0"/>
              <w:rPr>
                <w:sz w:val="17"/>
                <w:szCs w:val="17"/>
                <w:color w:val="auto"/>
              </w:rPr>
            </w:pPr>
          </w:p>
        </w:tc>
      </w:tr>
      <w:tr>
        <w:trPr>
          <w:trHeight w:val="197"/>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w:t>
            </w: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digital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6"/>
              </w:rPr>
              <w:t>n.m.</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Digital asset impairment</w:t>
            </w:r>
          </w:p>
        </w:tc>
        <w:tc>
          <w:tcPr>
            <w:tcW w:w="1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5,451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w w:val="96"/>
              </w:rPr>
              <w:t>n.m.</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Staking rewards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6"/>
              </w:rPr>
              <w:t>n.m.</w:t>
            </w: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35.8</w:t>
            </w:r>
          </w:p>
        </w:tc>
      </w:tr>
      <w:tr>
        <w:trPr>
          <w:trHeight w:val="248"/>
        </w:trPr>
        <w:tc>
          <w:tcPr>
            <w:tcW w:w="5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9"/>
              </w:rPr>
              <w:t>60.7 %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2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Other expense, net decreased $2.8 million, primarily driven by a $10.5 million reduction in the value of Solana tokens and a related fund, partially offset by $2.0 million in staking rewards that we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thereon, that we did not own during the three months ended March 31, 2024. Additionally, we impaired $5.5 million of HASH held for sale during the three months ended March 31, 2024 as a result of a decline in the observable fair value of HASH transacted at the time of the Separation.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Income tax expense increased by $1.2 million. The provision for income taxes includes U.S. federal, state and local taxes. The effective tax rate for the three months ended March 31, 2025 was approximately 199.4%, compared with 0.2% for the three months ended March 31, 2024. The effective tax rate for the three months ended March 31, 2025 and 2024 differed from the U.S. federal statutory rate of 21.0% primarily due to utilization of net operating losses, tax credits related to our research and development activities as well as differences related to equity-based compensation and other temporary items. As of March 31, 2025, we recorded a full valuation allowance against our net deferred tax assets that primarily consist of cumulative net operating losses.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 in Consolidated Subsidiaries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Third-party investors hold interests in entities that we consolidate, and to whom we allocate the net income or loss of those entities.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2025 and 2024, we allocated aggregate net income or loss to those third-party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2024, compared to year ended December 31, 2023</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Statements of Operations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combined consolidated statements of operations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2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Year Ended December 31,</w:t>
            </w:r>
          </w:p>
        </w:tc>
        <w:tc>
          <w:tcPr>
            <w:tcW w:w="420" w:type="dxa"/>
            <w:vAlign w:val="bottom"/>
          </w:tcPr>
          <w:p>
            <w:pPr>
              <w:spacing w:after="0"/>
              <w:rPr>
                <w:sz w:val="17"/>
                <w:szCs w:val="17"/>
                <w:color w:val="auto"/>
              </w:rPr>
            </w:pPr>
          </w:p>
        </w:tc>
        <w:tc>
          <w:tcPr>
            <w:tcW w:w="1760" w:type="dxa"/>
            <w:vAlign w:val="bottom"/>
            <w:gridSpan w:val="3"/>
          </w:tcPr>
          <w:p>
            <w:pPr>
              <w:ind w:left="980"/>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1"/>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460"/>
              <w:spacing w:after="0"/>
              <w:rPr>
                <w:sz w:val="20"/>
                <w:szCs w:val="20"/>
                <w:color w:val="auto"/>
              </w:rPr>
            </w:pPr>
            <w:r>
              <w:rPr>
                <w:rFonts w:ascii="Arial" w:cs="Arial" w:eastAsia="Arial" w:hAnsi="Arial"/>
                <w:sz w:val="18"/>
                <w:szCs w:val="18"/>
                <w:color w:val="auto"/>
              </w:rPr>
              <w:t>Ecosystem and technology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28,314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10,628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17,686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166.4 %</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Servicing fees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9"/>
        </w:trPr>
        <w:tc>
          <w:tcPr>
            <w:tcW w:w="4600" w:type="dxa"/>
            <w:vAlign w:val="bottom"/>
          </w:tcPr>
          <w:p>
            <w:pPr>
              <w:ind w:left="46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48,207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48,155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Origination fees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4600" w:type="dxa"/>
            <w:vAlign w:val="bottom"/>
          </w:tcPr>
          <w:p>
            <w:pPr>
              <w:ind w:left="460"/>
              <w:spacing w:after="0"/>
              <w:rPr>
                <w:sz w:val="20"/>
                <w:szCs w:val="20"/>
                <w:color w:val="auto"/>
              </w:rPr>
            </w:pPr>
            <w:r>
              <w:rPr>
                <w:rFonts w:ascii="Arial" w:cs="Arial" w:eastAsia="Arial" w:hAnsi="Arial"/>
                <w:sz w:val="18"/>
                <w:szCs w:val="18"/>
                <w:color w:val="auto"/>
              </w:rPr>
              <w:t>Gain on sale of loans, net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140,353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50,343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90,010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Gain on servicing asset, net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net revenue</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340,885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209,549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131,336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104,251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30"/>
        </w:trPr>
        <w:tc>
          <w:tcPr>
            <w:tcW w:w="4600" w:type="dxa"/>
            <w:vAlign w:val="bottom"/>
          </w:tcPr>
          <w:p>
            <w:pPr>
              <w:ind w:left="460"/>
              <w:spacing w:after="0"/>
              <w:rPr>
                <w:sz w:val="20"/>
                <w:szCs w:val="20"/>
                <w:color w:val="auto"/>
              </w:rPr>
            </w:pPr>
            <w:r>
              <w:rPr>
                <w:rFonts w:ascii="Arial" w:cs="Arial" w:eastAsia="Arial" w:hAnsi="Arial"/>
                <w:sz w:val="18"/>
                <w:szCs w:val="18"/>
                <w:color w:val="auto"/>
              </w:rPr>
              <w:t>Technology and product development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62,657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49,154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13,503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Operations and processing</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4600" w:type="dxa"/>
            <w:vAlign w:val="bottom"/>
          </w:tcPr>
          <w:p>
            <w:pPr>
              <w:ind w:left="46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55,657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52,761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expense</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331,650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258,987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(49,438)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58,673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 net</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22,092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(52,341)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74,433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(52,443)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72,358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5"/>
        </w:trPr>
        <w:tc>
          <w:tcPr>
            <w:tcW w:w="46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income (loss) attributable to noncontrolling interests</w:t>
            </w:r>
          </w:p>
        </w:tc>
        <w:tc>
          <w:tcPr>
            <w:tcW w:w="28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7,209</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consolidated subsidiaries</w:t>
            </w: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460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income (loss) attributable to Figure Technology</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17,214</w:t>
            </w:r>
          </w:p>
        </w:tc>
        <w:tc>
          <w:tcPr>
            <w:tcW w:w="80" w:type="dxa"/>
            <w:vAlign w:val="bottom"/>
          </w:tcPr>
          <w:p>
            <w:pPr>
              <w:spacing w:after="0"/>
              <w:rPr>
                <w:sz w:val="13"/>
                <w:szCs w:val="13"/>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(47,935)</w:t>
            </w:r>
          </w:p>
        </w:tc>
        <w:tc>
          <w:tcPr>
            <w:tcW w:w="100" w:type="dxa"/>
            <w:vAlign w:val="bottom"/>
          </w:tcPr>
          <w:p>
            <w:pPr>
              <w:spacing w:after="0"/>
              <w:rPr>
                <w:sz w:val="13"/>
                <w:szCs w:val="13"/>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65,149</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b w:val="1"/>
                <w:bCs w:val="1"/>
                <w:color w:val="auto"/>
              </w:rPr>
              <w:t>Group</w:t>
            </w:r>
          </w:p>
        </w:tc>
        <w:tc>
          <w:tcPr>
            <w:tcW w:w="28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2024 and 2023</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Revenue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Ecosystem and technology fees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Year Ended December 31,</w:t>
            </w:r>
          </w:p>
        </w:tc>
        <w:tc>
          <w:tcPr>
            <w:tcW w:w="780" w:type="dxa"/>
            <w:vAlign w:val="bottom"/>
          </w:tcPr>
          <w:p>
            <w:pPr>
              <w:spacing w:after="0"/>
              <w:rPr>
                <w:sz w:val="17"/>
                <w:szCs w:val="17"/>
                <w:color w:val="auto"/>
              </w:rPr>
            </w:pPr>
          </w:p>
        </w:tc>
        <w:tc>
          <w:tcPr>
            <w:tcW w:w="1240" w:type="dxa"/>
            <w:vAlign w:val="bottom"/>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spacing w:after="0"/>
              <w:rPr>
                <w:sz w:val="17"/>
                <w:szCs w:val="17"/>
                <w:color w:val="auto"/>
              </w:rPr>
            </w:pPr>
          </w:p>
        </w:tc>
      </w:tr>
      <w:tr>
        <w:trPr>
          <w:trHeight w:val="197"/>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w:t>
            </w:r>
          </w:p>
        </w:tc>
      </w:tr>
      <w:tr>
        <w:trPr>
          <w:trHeight w:val="224"/>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offering fees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97.6 %</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Ecosystem fees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 fees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1,838.0</w:t>
            </w:r>
          </w:p>
        </w:tc>
      </w:tr>
      <w:tr>
        <w:trPr>
          <w:trHeight w:val="223"/>
        </w:trPr>
        <w:tc>
          <w:tcPr>
            <w:tcW w:w="5140" w:type="dxa"/>
            <w:vAlign w:val="bottom"/>
          </w:tcPr>
          <w:p>
            <w:pPr>
              <w:ind w:left="140"/>
              <w:spacing w:after="0"/>
              <w:rPr>
                <w:sz w:val="20"/>
                <w:szCs w:val="20"/>
                <w:color w:val="auto"/>
              </w:rPr>
            </w:pPr>
            <w:r>
              <w:rPr>
                <w:rFonts w:ascii="Arial" w:cs="Arial" w:eastAsia="Arial" w:hAnsi="Arial"/>
                <w:sz w:val="18"/>
                <w:szCs w:val="18"/>
                <w:color w:val="auto"/>
              </w:rPr>
              <w:t>Total ecosystem and technology fees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10,628</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17,686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166.4 %</w:t>
            </w: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Ecosystem and technology fees increased $17.7 million, or 166.4%, as we started offering services in the fourth fiscal quarter of 2023 that generated $0.4 million of program fees during the year ended December 31, 2023, compared with $8.0 million earned during the year ended December 31, 2024. Such services for which we earn program fees include loan securitization services whereby our partners sponsor loans they originate into securitizations that we facilitate and in which we may also contribute loans we originate. We earned an additional $10.0 million of technology offering fees from the fulfillment of $2.3 billion and $1.6 billion in Partner-branded loan originations from which we earned weighted-average technology offering fees of 0.8% and 0.6% of loan principal sold during the years ended December 31, 2024 and 2023, respectively.</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Servicing fees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servicing fees increased $6.6 million, or 35.6%, which corresponds to a $2.9 billion, or 55.8%, increase in the $8.1 billion and $5.2 billion unpaid principal balance of loans serviced during the years ended December 31, 2024 and 2023, respectively, partially offset by a decrease of 7 basis points in the weighted average servicing fee rate from 41 basis points to 34 basis points.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Interest income</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Interest income remained flat year over year. Interest income earned from cash, cash equivalents, and restricted cash increased $2.7 million due to an increase in the weighted-average interest rates on cash deposits, offset by declines in interest earned from our loans of $2.5 million due to higher weighted average interest rates for the year ended December 31, 2023 compared to December 31, 2024.</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Origination fees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Net origination fees increased $ 6.3 million or 10.8%, as a result of gross origination fees increasing $25.8 million, or 42.7%, which corresponds with increased principal balances of loans originated by us of $1.2 billion, or 60.0%, offset by an increase of wholesale broker fees of $19.5 million, which corresponds with a $1.0 billion increase in the principal balances of loans originated on which we pay such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Gain on sale of loans,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Year Ended December 31,</w:t>
            </w:r>
          </w:p>
        </w:tc>
        <w:tc>
          <w:tcPr>
            <w:tcW w:w="400" w:type="dxa"/>
            <w:vAlign w:val="bottom"/>
          </w:tcPr>
          <w:p>
            <w:pPr>
              <w:spacing w:after="0"/>
              <w:rPr>
                <w:sz w:val="17"/>
                <w:szCs w:val="17"/>
                <w:color w:val="auto"/>
              </w:rPr>
            </w:pPr>
          </w:p>
        </w:tc>
        <w:tc>
          <w:tcPr>
            <w:tcW w:w="1620" w:type="dxa"/>
            <w:vAlign w:val="bottom"/>
            <w:gridSpan w:val="3"/>
          </w:tcPr>
          <w:p>
            <w:pPr>
              <w:ind w:left="88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spacing w:after="0"/>
              <w:rPr>
                <w:sz w:val="17"/>
                <w:szCs w:val="17"/>
                <w:color w:val="auto"/>
              </w:rPr>
            </w:pPr>
          </w:p>
        </w:tc>
      </w:tr>
      <w:tr>
        <w:trPr>
          <w:trHeight w:val="197"/>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w:t>
            </w:r>
          </w:p>
        </w:tc>
      </w:tr>
      <w:tr>
        <w:trPr>
          <w:trHeight w:val="21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Realized gains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5140" w:type="dxa"/>
            <w:vAlign w:val="bottom"/>
          </w:tcPr>
          <w:p>
            <w:pPr>
              <w:ind w:left="140"/>
              <w:spacing w:after="0"/>
              <w:rPr>
                <w:sz w:val="20"/>
                <w:szCs w:val="20"/>
                <w:color w:val="auto"/>
              </w:rPr>
            </w:pPr>
            <w:r>
              <w:rPr>
                <w:rFonts w:ascii="Arial" w:cs="Arial" w:eastAsia="Arial" w:hAnsi="Arial"/>
                <w:sz w:val="18"/>
                <w:szCs w:val="18"/>
                <w:color w:val="auto"/>
              </w:rPr>
              <w:t>Whole loan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105,470</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46,457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59,013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w w:val="99"/>
              </w:rPr>
              <w:t>127.0 %</w:t>
            </w:r>
          </w:p>
        </w:tc>
      </w:tr>
      <w:tr>
        <w:trPr>
          <w:trHeight w:val="230"/>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Securitized loans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125.1</w:t>
            </w:r>
          </w:p>
        </w:tc>
      </w:tr>
      <w:tr>
        <w:trPr>
          <w:trHeight w:val="229"/>
        </w:trPr>
        <w:tc>
          <w:tcPr>
            <w:tcW w:w="5140" w:type="dxa"/>
            <w:vAlign w:val="bottom"/>
          </w:tcPr>
          <w:p>
            <w:pPr>
              <w:ind w:left="1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w w:val="96"/>
              </w:rPr>
              <w:t>n.m.</w:t>
            </w:r>
          </w:p>
        </w:tc>
      </w:tr>
      <w:tr>
        <w:trPr>
          <w:trHeight w:val="223"/>
        </w:trPr>
        <w:tc>
          <w:tcPr>
            <w:tcW w:w="5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126,650</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70,809</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126.8</w:t>
            </w:r>
          </w:p>
        </w:tc>
      </w:tr>
      <w:tr>
        <w:trPr>
          <w:trHeight w:val="209"/>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Unrealized gain (loss)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6"/>
              </w:rPr>
              <w:t>n.m.</w:t>
            </w:r>
          </w:p>
        </w:tc>
      </w:tr>
      <w:tr>
        <w:trPr>
          <w:trHeight w:val="229"/>
        </w:trPr>
        <w:tc>
          <w:tcPr>
            <w:tcW w:w="514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w w:val="96"/>
              </w:rPr>
              <w:t>n.m.</w:t>
            </w:r>
          </w:p>
        </w:tc>
      </w:tr>
      <w:tr>
        <w:trPr>
          <w:trHeight w:val="229"/>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6"/>
              </w:rPr>
              <w:t>n.m.</w:t>
            </w:r>
          </w:p>
        </w:tc>
      </w:tr>
      <w:tr>
        <w:trPr>
          <w:trHeight w:val="223"/>
        </w:trPr>
        <w:tc>
          <w:tcPr>
            <w:tcW w:w="51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13,703</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(5,498)</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19,201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w w:val="96"/>
              </w:rPr>
              <w:t>n.m.</w:t>
            </w:r>
          </w:p>
        </w:tc>
      </w:tr>
      <w:tr>
        <w:trPr>
          <w:trHeight w:val="248"/>
        </w:trPr>
        <w:tc>
          <w:tcPr>
            <w:tcW w:w="5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140,353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178.8 %</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gain on sale of loans we earned increased $90.0 million, or 178.8%, as a result of an increase of $70.8 million in the realized gains on loan sales resulting from a 1.4% increase in the weighted average price of loans sold, and by an increase in the unpaid principal balance of loans sold from $3.3 billion to $4.8 billion for the years ending December 31, 2024 and 2023. There was also a $13.8 million increase in the fair value of loans not yet sold resulting from an increase in the discount rates and a decrease in the prepayment speeds and default rates for the year ended December 31, 2023, compared to a decrease in the discount rates and an increase in the prepayment speeds for the year ended December 31, 2024. Additionally, there was a $5.1 million increase in marketable securities.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Gain on servicing asset,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Year Ended December 31,</w:t>
            </w:r>
          </w:p>
        </w:tc>
        <w:tc>
          <w:tcPr>
            <w:tcW w:w="780" w:type="dxa"/>
            <w:vAlign w:val="bottom"/>
          </w:tcPr>
          <w:p>
            <w:pPr>
              <w:spacing w:after="0"/>
              <w:rPr>
                <w:sz w:val="17"/>
                <w:szCs w:val="17"/>
                <w:color w:val="auto"/>
              </w:rPr>
            </w:pPr>
          </w:p>
        </w:tc>
        <w:tc>
          <w:tcPr>
            <w:tcW w:w="1240" w:type="dxa"/>
            <w:vAlign w:val="bottom"/>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spacing w:after="0"/>
              <w:rPr>
                <w:sz w:val="17"/>
                <w:szCs w:val="17"/>
                <w:color w:val="auto"/>
              </w:rPr>
            </w:pPr>
          </w:p>
        </w:tc>
      </w:tr>
      <w:tr>
        <w:trPr>
          <w:trHeight w:val="197"/>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w:t>
            </w:r>
          </w:p>
        </w:tc>
      </w:tr>
      <w:tr>
        <w:trPr>
          <w:trHeight w:val="224"/>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14,171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38.9 %</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Realization of cash flows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(9,684)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(9,939)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154"/>
              <w:spacing w:after="0"/>
              <w:rPr>
                <w:sz w:val="20"/>
                <w:szCs w:val="20"/>
                <w:color w:val="auto"/>
              </w:rPr>
            </w:pPr>
            <w:r>
              <w:rPr>
                <w:rFonts w:ascii="Arial" w:cs="Arial" w:eastAsia="Arial" w:hAnsi="Arial"/>
                <w:sz w:val="18"/>
                <w:szCs w:val="18"/>
                <w:color w:val="auto"/>
              </w:rPr>
              <w:t>102.6</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inputs and assumptions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22,083</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10,554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47.8 %</w:t>
            </w: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our retained servicing rights increased $10.6 million, or 47.8%, resulting from a $6.3 million increase in the change in fair value of existing servicing assets due to a greater decrease in the prepayment speeds and lesser increase in the discount rates during the year ended December 31, 2023, compared to the year ended December 31, 2024. Additionally, there was a $14.2 million increase in new servicing assets retained upon a $1.5 billion increase in the unpaid principal balance of loans sold, partially offset by a $9.9 million increase in servicing fees collected.</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Other revenue</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Components of other revenue did not materially change as fees, and the net assets on which we charge those fees, were consistent during the years ended December 31, 2024 and 2023.</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Figure branded</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Changes in Figure branded revenue are driven by changes in Figure branded volume. Figure branded ecosystem and technology fees were $2.5 million during the year ended December 31, 2024, compared to $0 during the year ended December 31, 2023. Figure branded origination fees decreased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$1.5 million, or 2.6%, to $57.0 million during the year ended December 31, 2024, compared to $58.5 million during the year ended March 31, 2024. Figure branded gain on sale of loans, net increased by $24.7 million, or 114.4%, to $46.3 million during the year ended March 31, 2024, compared to $21.6 million during the year ended March 31, 2023.</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Partner branded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Changes in Partner branded revenue are driven by changes in Partner branded volume. Partner branded ecosystem and technology fees increased by $15.2 million, or 143.3%, to $25.8 million during the year ended December 31, 2024, compared to $10.6 million during the year ended December 31, 2023. Partner branded origination fees $ 7.8 million during the year ended December 31, 2024, compared to $0 during the year ended December 31, 2023. Partner branded gain on sale of loans, net increased by $65.4 million, or 227.9%, to $94.1 million during the year ended December 31, 2024, compared to $28.7 million during the year ended December 31, 2023.</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General and administrative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Year Ended December 31,</w:t>
            </w:r>
          </w:p>
        </w:tc>
        <w:tc>
          <w:tcPr>
            <w:tcW w:w="380" w:type="dxa"/>
            <w:vAlign w:val="bottom"/>
          </w:tcPr>
          <w:p>
            <w:pPr>
              <w:spacing w:after="0"/>
              <w:rPr>
                <w:sz w:val="17"/>
                <w:szCs w:val="17"/>
                <w:color w:val="auto"/>
              </w:rPr>
            </w:pPr>
          </w:p>
        </w:tc>
        <w:tc>
          <w:tcPr>
            <w:tcW w:w="1620" w:type="dxa"/>
            <w:vAlign w:val="bottom"/>
            <w:gridSpan w:val="3"/>
          </w:tcPr>
          <w:p>
            <w:pPr>
              <w:ind w:left="88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spacing w:after="0"/>
              <w:rPr>
                <w:sz w:val="17"/>
                <w:szCs w:val="17"/>
                <w:color w:val="auto"/>
              </w:rPr>
            </w:pPr>
          </w:p>
        </w:tc>
      </w:tr>
      <w:tr>
        <w:trPr>
          <w:trHeight w:val="197"/>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w:t>
            </w: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35,423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28,823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436.7</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(99.8)</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9,729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101.5</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capitalized software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ind w:right="152"/>
              <w:spacing w:after="0"/>
              <w:rPr>
                <w:sz w:val="20"/>
                <w:szCs w:val="20"/>
                <w:color w:val="auto"/>
              </w:rPr>
            </w:pPr>
            <w:r>
              <w:rPr>
                <w:rFonts w:ascii="Arial" w:cs="Arial" w:eastAsia="Arial" w:hAnsi="Arial"/>
                <w:sz w:val="18"/>
                <w:szCs w:val="18"/>
                <w:color w:val="auto"/>
              </w:rPr>
              <w:t>25.0</w:t>
            </w:r>
          </w:p>
        </w:tc>
      </w:tr>
      <w:tr>
        <w:trPr>
          <w:trHeight w:val="248"/>
        </w:trPr>
        <w:tc>
          <w:tcPr>
            <w:tcW w:w="5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general and administrative expenses increased $45.5 million, or 77.3%, consisting of a $3.0 million increase in non-equity compensation expense due to headcount increases; a $28.8 million increase in equity-based compensation, comprised of a $ 24.4 million increase due to award modifications resulting from the Separation and another $2.5 million due to other award modifications; a $9.7 million increase in legal and accounting professional service expenses; and a $ 10.9 million increase due to the write-off of capitalized software impairment costs during the year ended December 31, 2024 that we no longer intended to use for its intended purpose or that became obsolete. Additionally, there was a $10.4 million decrease in costs classified as technology and product development expenses during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Technology and product development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Year Ended December 31,</w:t>
            </w:r>
          </w:p>
        </w:tc>
        <w:tc>
          <w:tcPr>
            <w:tcW w:w="780" w:type="dxa"/>
            <w:vAlign w:val="bottom"/>
          </w:tcPr>
          <w:p>
            <w:pPr>
              <w:spacing w:after="0"/>
              <w:rPr>
                <w:sz w:val="17"/>
                <w:szCs w:val="17"/>
                <w:color w:val="auto"/>
              </w:rPr>
            </w:pPr>
          </w:p>
        </w:tc>
        <w:tc>
          <w:tcPr>
            <w:tcW w:w="1240" w:type="dxa"/>
            <w:vAlign w:val="bottom"/>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spacing w:after="0"/>
              <w:rPr>
                <w:sz w:val="17"/>
                <w:szCs w:val="17"/>
                <w:color w:val="auto"/>
              </w:rPr>
            </w:pPr>
          </w:p>
        </w:tc>
      </w:tr>
      <w:tr>
        <w:trPr>
          <w:trHeight w:val="197"/>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w:t>
            </w:r>
          </w:p>
        </w:tc>
      </w:tr>
      <w:tr>
        <w:trPr>
          <w:trHeight w:val="224"/>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9,363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3,994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134.4</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32.1</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17,087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8,414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103.1</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(26.3)</w:t>
            </w:r>
          </w:p>
        </w:tc>
      </w:tr>
      <w:tr>
        <w:trPr>
          <w:trHeight w:val="223"/>
        </w:trPr>
        <w:tc>
          <w:tcPr>
            <w:tcW w:w="5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62,657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49,154</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13,503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27.5 %</w:t>
            </w:r>
          </w:p>
        </w:tc>
      </w:tr>
      <w:tr>
        <w:trPr>
          <w:trHeight w:val="21"/>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$13.5 million, or 27.5%, increase in technology and product development expenses reflects a $5.4 million increase in stock-based compensation expense primarily due to $6.6 million additional expense for warrants granted to a convertible preferred shareholder in exchange for services related to Figure Markets, partially offset by a decrease in other stock-based compensation of $1.2 million; a $2.4 million increase in licensing costs of third-party software; and an $ 8.6 million increase in net amortization representing a decrease of $1.7 million in amortization expense as a result of lower capitalized costs due to software impairment in the year ended December 31, 2024, offset by a $10.4 million increase in costs classified as general and administrative expenses during the year ended December 31, 2023. These increases were partially offset by lower compensation and benefits costs of $2.6 million due to reduced headcount costs.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Operations and processing</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Operations and processing expenses increased $5.5 million, or 14.2%, which corresponds to a $3.8 million increase in operating vendor expenses to originate loans under FTI and a $1.2 million increase in compensation expense.</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Sales and marketing</w:t>
      </w:r>
    </w:p>
    <w:p>
      <w:pPr>
        <w:spacing w:after="0" w:line="171"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Our sales and marketing expenses increased $2.9 million, or 5.5%, primarily resulting from an increase of $3.6 million spent for advertising of products in FTI to drive an increase in loan originations.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Interest expense</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Interest expense increased $7.2 million, or 14.7%, as we entered into new facility agreements for MSR financing and funding debt totaling an incremental $ 3.9 million of interest expense. There was also an increase in the amount financed for retained interests of $103.1 million, partially offset by a 30 basis point decrease in weighted average financing costs, resulting in an additional $3.5 million of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Year Ended December 31,</w:t>
            </w:r>
          </w:p>
        </w:tc>
        <w:tc>
          <w:tcPr>
            <w:tcW w:w="780" w:type="dxa"/>
            <w:vAlign w:val="bottom"/>
          </w:tcPr>
          <w:p>
            <w:pPr>
              <w:spacing w:after="0"/>
              <w:rPr>
                <w:sz w:val="17"/>
                <w:szCs w:val="17"/>
                <w:color w:val="auto"/>
              </w:rPr>
            </w:pPr>
          </w:p>
        </w:tc>
        <w:tc>
          <w:tcPr>
            <w:tcW w:w="1240" w:type="dxa"/>
            <w:vAlign w:val="bottom"/>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spacing w:after="0"/>
              <w:rPr>
                <w:sz w:val="17"/>
                <w:szCs w:val="17"/>
                <w:color w:val="auto"/>
              </w:rPr>
            </w:pPr>
          </w:p>
        </w:tc>
      </w:tr>
      <w:tr>
        <w:trPr>
          <w:trHeight w:val="197"/>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w:t>
            </w:r>
          </w:p>
        </w:tc>
      </w:tr>
      <w:tr>
        <w:trPr>
          <w:trHeight w:val="224"/>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digital assets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13,603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Investment impairment</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(4,917)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4,917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income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175.0</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Digital asset impairment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(5,451)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92.8 %</w:t>
            </w:r>
          </w:p>
        </w:tc>
      </w:tr>
      <w:tr>
        <w:trPr>
          <w:trHeight w:val="223"/>
        </w:trPr>
        <w:tc>
          <w:tcPr>
            <w:tcW w:w="5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15,760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1"/>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income (expense), net increased $15.8 million, primarily driven by a $13.6 million increase in the value of Solana tokens and a related fund that we did not own during the year ended December 31, 2023, and a $1.8 million increase in settlement income from the year ended December 31, 2024 compared to December 31, 2023. Additionally, we impaired our investment in JAM FINTOP by $ 4.9 million during the year ended December 31, 2023 in connection with the fair value of the returned HASH initially contributed to the fund being lower than the value of the reduced ownership interest in the fund. During the year ended December 31, 2024, we further impaired $5.5 million of HASH held for sale as a result of a decline in the observable fair value of HASH transacted at the time of the Separation.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Income tax expense increased by $2.1 million. The provision for income taxes includes U.S. federal, state and local taxes. The effective tax rate for the year ended December 31, 2024 was approximately 9.7%, compared with (0.2)% for the year ended December 31, 2023. The effective tax rate for the years ended December 31, 2024 and 2023 differed from the U.S. federal statutory rate of 21.0% primarily due to tax credits related to our research and development activities as well as differences related to equity-based compensation and other temporary items. As of December 31, 2024, we recorded a full valuation allowance against our net deferred tax assets that primarily consist of cumulative net operating losses.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 in Consolidated Subsidiaries</w:t>
      </w:r>
    </w:p>
    <w:p>
      <w:pPr>
        <w:spacing w:after="0" w:line="171"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Third-party investors hold interests in entities that we consolidate, and to whom we allocate the net income or loss of those entities. During the year ended December 31, 2024, we allocated aggregate net income to those third-party investors whereas we allocated net loss during the year ended December 31,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presents our unaudited consolidated statements of operations for each of the quarters indicated. The unaudited consolidated statements of operations for each quarter have been prepared on the same basis as the annual consolidated financial statements included in this prospectus and reflect all normal and recurring adjustments that are, in our opinion, necessary for the fair presentation of the results of operations for the periods presented. Our historical results are not necessarily indicative of the results that may be expected in the future. The following quarterly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data should be read in conjunction with our consolidated financial statements included elsewhere in the prospectus.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June 30, 2025</w:t>
            </w:r>
          </w:p>
        </w:tc>
        <w:tc>
          <w:tcPr>
            <w:tcW w:w="140" w:type="dxa"/>
            <w:vAlign w:val="bottom"/>
          </w:tcPr>
          <w:p>
            <w:pPr>
              <w:spacing w:after="0"/>
              <w:rPr>
                <w:sz w:val="14"/>
                <w:szCs w:val="1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2025</w:t>
            </w:r>
          </w:p>
        </w:tc>
        <w:tc>
          <w:tcPr>
            <w:tcW w:w="14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 2024</w:t>
            </w:r>
          </w:p>
        </w:tc>
        <w:tc>
          <w:tcPr>
            <w:tcW w:w="140" w:type="dxa"/>
            <w:vAlign w:val="bottom"/>
          </w:tcPr>
          <w:p>
            <w:pPr>
              <w:spacing w:after="0"/>
              <w:rPr>
                <w:sz w:val="14"/>
                <w:szCs w:val="14"/>
                <w:color w:val="auto"/>
              </w:rPr>
            </w:pPr>
          </w:p>
        </w:tc>
        <w:tc>
          <w:tcPr>
            <w:tcW w:w="11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March 31, 2024</w:t>
            </w:r>
          </w:p>
        </w:tc>
        <w:tc>
          <w:tcPr>
            <w:tcW w:w="0" w:type="dxa"/>
            <w:vAlign w:val="bottom"/>
          </w:tcPr>
          <w:p>
            <w:pPr>
              <w:spacing w:after="0"/>
              <w:rPr>
                <w:sz w:val="1"/>
                <w:szCs w:val="1"/>
                <w:color w:val="auto"/>
              </w:rPr>
            </w:pPr>
          </w:p>
        </w:tc>
      </w:tr>
      <w:tr>
        <w:trPr>
          <w:trHeight w:val="185"/>
        </w:trPr>
        <w:tc>
          <w:tcPr>
            <w:tcW w:w="292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1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41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w:t>
            </w: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920" w:type="dxa"/>
            <w:vAlign w:val="bottom"/>
          </w:tcPr>
          <w:p>
            <w:pPr>
              <w:ind w:left="460"/>
              <w:spacing w:after="0" w:line="176" w:lineRule="exact"/>
              <w:rPr>
                <w:sz w:val="20"/>
                <w:szCs w:val="20"/>
                <w:color w:val="auto"/>
              </w:rPr>
            </w:pPr>
            <w:r>
              <w:rPr>
                <w:rFonts w:ascii="Arial" w:cs="Arial" w:eastAsia="Arial" w:hAnsi="Arial"/>
                <w:sz w:val="18"/>
                <w:szCs w:val="18"/>
                <w:color w:val="auto"/>
              </w:rPr>
              <w:t>Ecosystem and technology</w:t>
            </w:r>
          </w:p>
        </w:tc>
        <w:tc>
          <w:tcPr>
            <w:tcW w:w="1280" w:type="dxa"/>
            <w:vAlign w:val="bottom"/>
            <w:vMerge w:val="restart"/>
          </w:tcPr>
          <w:p>
            <w:pPr>
              <w:jc w:val="right"/>
              <w:ind w:right="1096"/>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15,613</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8,484</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7,323</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6,452</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6,055</w:t>
            </w:r>
          </w:p>
        </w:tc>
        <w:tc>
          <w:tcPr>
            <w:tcW w:w="0" w:type="dxa"/>
            <w:vAlign w:val="bottom"/>
          </w:tcPr>
          <w:p>
            <w:pPr>
              <w:spacing w:after="0"/>
              <w:rPr>
                <w:sz w:val="1"/>
                <w:szCs w:val="1"/>
                <w:color w:val="auto"/>
              </w:rPr>
            </w:pPr>
          </w:p>
        </w:tc>
      </w:tr>
      <w:tr>
        <w:trPr>
          <w:trHeight w:val="243"/>
        </w:trPr>
        <w:tc>
          <w:tcPr>
            <w:tcW w:w="2920" w:type="dxa"/>
            <w:vAlign w:val="bottom"/>
          </w:tcPr>
          <w:p>
            <w:pPr>
              <w:ind w:left="620"/>
              <w:spacing w:after="0"/>
              <w:rPr>
                <w:sz w:val="20"/>
                <w:szCs w:val="20"/>
                <w:color w:val="auto"/>
              </w:rPr>
            </w:pPr>
            <w:r>
              <w:rPr>
                <w:rFonts w:ascii="Arial" w:cs="Arial" w:eastAsia="Arial" w:hAnsi="Arial"/>
                <w:sz w:val="18"/>
                <w:szCs w:val="18"/>
                <w:color w:val="auto"/>
              </w:rPr>
              <w:t>fees</w:t>
            </w:r>
          </w:p>
        </w:tc>
        <w:tc>
          <w:tcPr>
            <w:tcW w:w="12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Servicing fees</w:t>
            </w: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0" w:type="dxa"/>
            <w:vAlign w:val="bottom"/>
          </w:tcPr>
          <w:p>
            <w:pPr>
              <w:spacing w:after="0"/>
              <w:rPr>
                <w:sz w:val="1"/>
                <w:szCs w:val="1"/>
                <w:color w:val="auto"/>
              </w:rPr>
            </w:pPr>
          </w:p>
        </w:tc>
      </w:tr>
      <w:tr>
        <w:trPr>
          <w:trHeight w:val="229"/>
        </w:trPr>
        <w:tc>
          <w:tcPr>
            <w:tcW w:w="2920" w:type="dxa"/>
            <w:vAlign w:val="bottom"/>
          </w:tcPr>
          <w:p>
            <w:pPr>
              <w:ind w:left="460"/>
              <w:spacing w:after="0"/>
              <w:rPr>
                <w:sz w:val="20"/>
                <w:szCs w:val="20"/>
                <w:color w:val="auto"/>
              </w:rPr>
            </w:pPr>
            <w:r>
              <w:rPr>
                <w:rFonts w:ascii="Arial" w:cs="Arial" w:eastAsia="Arial" w:hAnsi="Arial"/>
                <w:sz w:val="18"/>
                <w:szCs w:val="18"/>
                <w:color w:val="auto"/>
              </w:rPr>
              <w:t>Interest income</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9,578</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Origination fees</w:t>
            </w: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15,797</w:t>
            </w:r>
          </w:p>
        </w:tc>
        <w:tc>
          <w:tcPr>
            <w:tcW w:w="0" w:type="dxa"/>
            <w:vAlign w:val="bottom"/>
          </w:tcPr>
          <w:p>
            <w:pPr>
              <w:spacing w:after="0"/>
              <w:rPr>
                <w:sz w:val="1"/>
                <w:szCs w:val="1"/>
                <w:color w:val="auto"/>
              </w:rPr>
            </w:pPr>
          </w:p>
        </w:tc>
      </w:tr>
      <w:tr>
        <w:trPr>
          <w:trHeight w:val="230"/>
        </w:trPr>
        <w:tc>
          <w:tcPr>
            <w:tcW w:w="2920" w:type="dxa"/>
            <w:vAlign w:val="bottom"/>
          </w:tcPr>
          <w:p>
            <w:pPr>
              <w:ind w:left="460"/>
              <w:spacing w:after="0"/>
              <w:rPr>
                <w:sz w:val="20"/>
                <w:szCs w:val="20"/>
                <w:color w:val="auto"/>
              </w:rPr>
            </w:pPr>
            <w:r>
              <w:rPr>
                <w:rFonts w:ascii="Arial" w:cs="Arial" w:eastAsia="Arial" w:hAnsi="Arial"/>
                <w:sz w:val="18"/>
                <w:szCs w:val="18"/>
                <w:color w:val="auto"/>
              </w:rPr>
              <w:t>Gain on sale of loans, net</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57,434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24,466</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Gain on servicing asset, net</w:t>
            </w: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13,539</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revenue</w:t>
            </w:r>
          </w:p>
        </w:tc>
        <w:tc>
          <w:tcPr>
            <w:tcW w:w="12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net revenue</w:t>
            </w:r>
          </w:p>
        </w:tc>
        <w:tc>
          <w:tcPr>
            <w:tcW w:w="12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80,759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75,264</w:t>
            </w:r>
          </w:p>
        </w:tc>
        <w:tc>
          <w:tcPr>
            <w:tcW w:w="0" w:type="dxa"/>
            <w:vAlign w:val="bottom"/>
          </w:tcPr>
          <w:p>
            <w:pPr>
              <w:spacing w:after="0"/>
              <w:rPr>
                <w:sz w:val="1"/>
                <w:szCs w:val="1"/>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44,722</w:t>
            </w:r>
          </w:p>
        </w:tc>
        <w:tc>
          <w:tcPr>
            <w:tcW w:w="0" w:type="dxa"/>
            <w:vAlign w:val="bottom"/>
          </w:tcPr>
          <w:p>
            <w:pPr>
              <w:spacing w:after="0"/>
              <w:rPr>
                <w:sz w:val="1"/>
                <w:szCs w:val="1"/>
                <w:color w:val="auto"/>
              </w:rPr>
            </w:pPr>
          </w:p>
        </w:tc>
      </w:tr>
      <w:tr>
        <w:trPr>
          <w:trHeight w:val="175"/>
        </w:trPr>
        <w:tc>
          <w:tcPr>
            <w:tcW w:w="2920" w:type="dxa"/>
            <w:vAlign w:val="bottom"/>
          </w:tcPr>
          <w:p>
            <w:pPr>
              <w:ind w:left="460"/>
              <w:spacing w:after="0" w:line="176" w:lineRule="exact"/>
              <w:rPr>
                <w:sz w:val="20"/>
                <w:szCs w:val="20"/>
                <w:color w:val="auto"/>
              </w:rPr>
            </w:pPr>
            <w:r>
              <w:rPr>
                <w:rFonts w:ascii="Arial" w:cs="Arial" w:eastAsia="Arial" w:hAnsi="Arial"/>
                <w:sz w:val="18"/>
                <w:szCs w:val="18"/>
                <w:color w:val="auto"/>
              </w:rPr>
              <w:t>Technology and product</w:t>
            </w: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17,416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16,250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16,080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15,296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15,031</w:t>
            </w:r>
          </w:p>
        </w:tc>
        <w:tc>
          <w:tcPr>
            <w:tcW w:w="0" w:type="dxa"/>
            <w:vAlign w:val="bottom"/>
          </w:tcPr>
          <w:p>
            <w:pPr>
              <w:spacing w:after="0"/>
              <w:rPr>
                <w:sz w:val="1"/>
                <w:szCs w:val="1"/>
                <w:color w:val="auto"/>
              </w:rPr>
            </w:pPr>
          </w:p>
        </w:tc>
      </w:tr>
      <w:tr>
        <w:trPr>
          <w:trHeight w:val="243"/>
        </w:trPr>
        <w:tc>
          <w:tcPr>
            <w:tcW w:w="2920" w:type="dxa"/>
            <w:vAlign w:val="bottom"/>
          </w:tcPr>
          <w:p>
            <w:pPr>
              <w:ind w:left="620"/>
              <w:spacing w:after="0"/>
              <w:rPr>
                <w:sz w:val="20"/>
                <w:szCs w:val="20"/>
                <w:color w:val="auto"/>
              </w:rPr>
            </w:pPr>
            <w:r>
              <w:rPr>
                <w:rFonts w:ascii="Arial" w:cs="Arial" w:eastAsia="Arial" w:hAnsi="Arial"/>
                <w:sz w:val="18"/>
                <w:szCs w:val="18"/>
                <w:color w:val="auto"/>
              </w:rPr>
              <w:t>development</w:t>
            </w: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Operations and processing</w:t>
            </w: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10,878</w:t>
            </w:r>
          </w:p>
        </w:tc>
        <w:tc>
          <w:tcPr>
            <w:tcW w:w="0" w:type="dxa"/>
            <w:vAlign w:val="bottom"/>
          </w:tcPr>
          <w:p>
            <w:pPr>
              <w:spacing w:after="0"/>
              <w:rPr>
                <w:sz w:val="1"/>
                <w:szCs w:val="1"/>
                <w:color w:val="auto"/>
              </w:rPr>
            </w:pPr>
          </w:p>
        </w:tc>
      </w:tr>
      <w:tr>
        <w:trPr>
          <w:trHeight w:val="230"/>
        </w:trPr>
        <w:tc>
          <w:tcPr>
            <w:tcW w:w="2920" w:type="dxa"/>
            <w:vAlign w:val="bottom"/>
          </w:tcPr>
          <w:p>
            <w:pPr>
              <w:ind w:left="460"/>
              <w:spacing w:after="0"/>
              <w:rPr>
                <w:sz w:val="20"/>
                <w:szCs w:val="20"/>
                <w:color w:val="auto"/>
              </w:rPr>
            </w:pPr>
            <w:r>
              <w:rPr>
                <w:rFonts w:ascii="Arial" w:cs="Arial" w:eastAsia="Arial" w:hAnsi="Arial"/>
                <w:sz w:val="18"/>
                <w:szCs w:val="18"/>
                <w:color w:val="auto"/>
              </w:rPr>
              <w:t>Sales and marketing</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12,354</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expense</w:t>
            </w: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14,704</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expense</w:t>
            </w:r>
          </w:p>
        </w:tc>
        <w:tc>
          <w:tcPr>
            <w:tcW w:w="12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expenses</w:t>
            </w:r>
          </w:p>
        </w:tc>
        <w:tc>
          <w:tcPr>
            <w:tcW w:w="12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76,438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84,658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99,109</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2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(23,845)</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 net</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income (expense), net</w:t>
            </w:r>
          </w:p>
        </w:tc>
        <w:tc>
          <w:tcPr>
            <w:tcW w:w="12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w:t>
            </w:r>
          </w:p>
        </w:tc>
        <w:tc>
          <w:tcPr>
            <w:tcW w:w="0" w:type="dxa"/>
            <w:vAlign w:val="bottom"/>
          </w:tcPr>
          <w:p>
            <w:pPr>
              <w:spacing w:after="0"/>
              <w:rPr>
                <w:sz w:val="1"/>
                <w:szCs w:val="1"/>
                <w:color w:val="auto"/>
              </w:rPr>
            </w:pPr>
          </w:p>
        </w:tc>
      </w:tr>
      <w:tr>
        <w:trPr>
          <w:trHeight w:val="155"/>
        </w:trPr>
        <w:tc>
          <w:tcPr>
            <w:tcW w:w="2920" w:type="dxa"/>
            <w:vAlign w:val="bottom"/>
            <w:shd w:val="clear" w:color="auto" w:fill="CCEEFF"/>
          </w:tcPr>
          <w:p>
            <w:pPr>
              <w:ind w:left="240"/>
              <w:spacing w:after="0" w:line="156" w:lineRule="exact"/>
              <w:rPr>
                <w:sz w:val="20"/>
                <w:szCs w:val="20"/>
                <w:color w:val="auto"/>
              </w:rPr>
            </w:pPr>
            <w:r>
              <w:rPr>
                <w:rFonts w:ascii="Arial" w:cs="Arial" w:eastAsia="Arial" w:hAnsi="Arial"/>
                <w:sz w:val="18"/>
                <w:szCs w:val="18"/>
                <w:color w:val="auto"/>
              </w:rPr>
              <w:t>Total other income (expense),</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(7,455)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7,082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w:t>
            </w:r>
          </w:p>
        </w:tc>
        <w:tc>
          <w:tcPr>
            <w:tcW w:w="12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9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Income (loss) before income</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6,281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28,678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15,618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(28,485)</w:t>
            </w:r>
          </w:p>
        </w:tc>
        <w:tc>
          <w:tcPr>
            <w:tcW w:w="0" w:type="dxa"/>
            <w:vAlign w:val="bottom"/>
          </w:tcPr>
          <w:p>
            <w:pPr>
              <w:spacing w:after="0"/>
              <w:rPr>
                <w:sz w:val="1"/>
                <w:szCs w:val="1"/>
                <w:color w:val="auto"/>
              </w:rPr>
            </w:pPr>
          </w:p>
        </w:tc>
      </w:tr>
      <w:tr>
        <w:trPr>
          <w:trHeight w:val="243"/>
        </w:trPr>
        <w:tc>
          <w:tcPr>
            <w:tcW w:w="2920" w:type="dxa"/>
            <w:vAlign w:val="bottom"/>
          </w:tcPr>
          <w:p>
            <w:pPr>
              <w:ind w:left="180"/>
              <w:spacing w:after="0"/>
              <w:rPr>
                <w:sz w:val="20"/>
                <w:szCs w:val="20"/>
                <w:color w:val="auto"/>
              </w:rPr>
            </w:pPr>
            <w:r>
              <w:rPr>
                <w:rFonts w:ascii="Arial" w:cs="Arial" w:eastAsia="Arial" w:hAnsi="Arial"/>
                <w:sz w:val="18"/>
                <w:szCs w:val="18"/>
                <w:b w:val="1"/>
                <w:bCs w:val="1"/>
                <w:color w:val="auto"/>
              </w:rPr>
              <w:t>taxes</w:t>
            </w: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2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(loss)</w:t>
            </w:r>
          </w:p>
        </w:tc>
        <w:tc>
          <w:tcPr>
            <w:tcW w:w="12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(28,461)</w:t>
            </w:r>
          </w:p>
        </w:tc>
        <w:tc>
          <w:tcPr>
            <w:tcW w:w="0" w:type="dxa"/>
            <w:vAlign w:val="bottom"/>
          </w:tcPr>
          <w:p>
            <w:pPr>
              <w:spacing w:after="0"/>
              <w:rPr>
                <w:sz w:val="1"/>
                <w:szCs w:val="1"/>
                <w:color w:val="auto"/>
              </w:rPr>
            </w:pPr>
          </w:p>
        </w:tc>
      </w:tr>
      <w:tr>
        <w:trPr>
          <w:trHeight w:val="156"/>
        </w:trPr>
        <w:tc>
          <w:tcPr>
            <w:tcW w:w="29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income (loss) attributable to</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92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rPr>
              <w:t>noncontrolling interests in</w:t>
            </w: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35"/>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subsidiaries</w:t>
            </w:r>
          </w:p>
        </w:tc>
        <w:tc>
          <w:tcPr>
            <w:tcW w:w="128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9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income (loss) attributable to</w:t>
            </w:r>
          </w:p>
        </w:tc>
        <w:tc>
          <w:tcPr>
            <w:tcW w:w="1280" w:type="dxa"/>
            <w:vAlign w:val="bottom"/>
            <w:vMerge w:val="restart"/>
          </w:tcPr>
          <w:p>
            <w:pPr>
              <w:jc w:val="right"/>
              <w:ind w:right="1096"/>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5,480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27,337</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14,340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(29,943)</w:t>
            </w:r>
          </w:p>
        </w:tc>
        <w:tc>
          <w:tcPr>
            <w:tcW w:w="0" w:type="dxa"/>
            <w:vAlign w:val="bottom"/>
          </w:tcPr>
          <w:p>
            <w:pPr>
              <w:spacing w:after="0"/>
              <w:rPr>
                <w:sz w:val="1"/>
                <w:szCs w:val="1"/>
                <w:color w:val="auto"/>
              </w:rPr>
            </w:pPr>
          </w:p>
        </w:tc>
      </w:tr>
      <w:tr>
        <w:trPr>
          <w:trHeight w:val="221"/>
        </w:trPr>
        <w:tc>
          <w:tcPr>
            <w:tcW w:w="2920" w:type="dxa"/>
            <w:vAlign w:val="bottom"/>
          </w:tcPr>
          <w:p>
            <w:pPr>
              <w:ind w:left="180"/>
              <w:spacing w:after="0"/>
              <w:rPr>
                <w:sz w:val="20"/>
                <w:szCs w:val="20"/>
                <w:color w:val="auto"/>
              </w:rPr>
            </w:pPr>
            <w:r>
              <w:rPr>
                <w:rFonts w:ascii="Arial" w:cs="Arial" w:eastAsia="Arial" w:hAnsi="Arial"/>
                <w:sz w:val="18"/>
                <w:szCs w:val="18"/>
                <w:b w:val="1"/>
                <w:bCs w:val="1"/>
                <w:color w:val="auto"/>
              </w:rPr>
              <w:t>Figure Technology Group</w:t>
            </w:r>
          </w:p>
        </w:tc>
        <w:tc>
          <w:tcPr>
            <w:tcW w:w="12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position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table sets forth a summary of selected line items from our combined consolidated balance sheets for the periods indicated, and the changes between such periods. These selected line items have been prepared on the same basis as our combined consolidated financial statements included elsewhere in this prospectus. In the opinion of management, the financial information set forth in the table below reflects all normal recurring adjustments necessary for the fair statement of changes in the selected line items for these periods. The following selected line items should be read together with our consolidated financial statements and related notes, included elsewhere in this prospectus.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2025 compared to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2025</w:t>
            </w:r>
          </w:p>
        </w:tc>
        <w:tc>
          <w:tcPr>
            <w:tcW w:w="12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2024</w:t>
            </w:r>
          </w:p>
        </w:tc>
        <w:tc>
          <w:tcPr>
            <w:tcW w:w="28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700" w:type="dxa"/>
            <w:vAlign w:val="bottom"/>
          </w:tcPr>
          <w:p>
            <w:pPr>
              <w:ind w:left="500"/>
              <w:spacing w:after="0"/>
              <w:rPr>
                <w:sz w:val="20"/>
                <w:szCs w:val="20"/>
                <w:color w:val="auto"/>
              </w:rPr>
            </w:pPr>
            <w:r>
              <w:rPr>
                <w:rFonts w:ascii="Arial" w:cs="Arial" w:eastAsia="Arial" w:hAnsi="Arial"/>
                <w:sz w:val="14"/>
                <w:szCs w:val="14"/>
                <w:b w:val="1"/>
                <w:bCs w:val="1"/>
                <w:color w:val="auto"/>
              </w:rPr>
              <w:t>% Change</w:t>
            </w:r>
          </w:p>
        </w:tc>
      </w:tr>
      <w:tr>
        <w:trPr>
          <w:trHeight w:val="211"/>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r>
      <w:tr>
        <w:trPr>
          <w:trHeight w:val="230"/>
        </w:trPr>
        <w:tc>
          <w:tcPr>
            <w:tcW w:w="4600" w:type="dxa"/>
            <w:vAlign w:val="bottom"/>
          </w:tcPr>
          <w:p>
            <w:pPr>
              <w:ind w:left="2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4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332,024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9"/>
              </w:rPr>
              <w:t>15.6 %</w:t>
            </w:r>
          </w:p>
        </w:tc>
      </w:tr>
      <w:tr>
        <w:trPr>
          <w:trHeight w:val="229"/>
        </w:trPr>
        <w:tc>
          <w:tcPr>
            <w:tcW w:w="4600" w:type="dxa"/>
            <w:vAlign w:val="bottom"/>
          </w:tcPr>
          <w:p>
            <w:pPr>
              <w:ind w:left="460"/>
              <w:spacing w:after="0"/>
              <w:rPr>
                <w:sz w:val="20"/>
                <w:szCs w:val="20"/>
                <w:color w:val="auto"/>
              </w:rPr>
            </w:pPr>
            <w:r>
              <w:rPr>
                <w:rFonts w:ascii="Arial" w:cs="Arial" w:eastAsia="Arial" w:hAnsi="Arial"/>
                <w:sz w:val="18"/>
                <w:szCs w:val="18"/>
                <w:color w:val="auto"/>
              </w:rPr>
              <w:t>Loans held for sale, at fair value</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530,525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395,922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134,603</w:t>
            </w:r>
          </w:p>
        </w:tc>
        <w:tc>
          <w:tcPr>
            <w:tcW w:w="100" w:type="dxa"/>
            <w:vAlign w:val="bottom"/>
          </w:tcPr>
          <w:p>
            <w:pPr>
              <w:spacing w:after="0"/>
              <w:rPr>
                <w:sz w:val="19"/>
                <w:szCs w:val="19"/>
                <w:color w:val="auto"/>
              </w:rPr>
            </w:pPr>
          </w:p>
        </w:tc>
        <w:tc>
          <w:tcPr>
            <w:tcW w:w="1700" w:type="dxa"/>
            <w:vAlign w:val="bottom"/>
          </w:tcPr>
          <w:p>
            <w:pPr>
              <w:ind w:left="1120"/>
              <w:spacing w:after="0"/>
              <w:rPr>
                <w:sz w:val="20"/>
                <w:szCs w:val="20"/>
                <w:color w:val="auto"/>
              </w:rPr>
            </w:pPr>
            <w:r>
              <w:rPr>
                <w:rFonts w:ascii="Arial" w:cs="Arial" w:eastAsia="Arial" w:hAnsi="Arial"/>
                <w:sz w:val="18"/>
                <w:szCs w:val="18"/>
                <w:color w:val="auto"/>
              </w:rPr>
              <w:t>34.0</w:t>
            </w:r>
          </w:p>
        </w:tc>
      </w:tr>
      <w:tr>
        <w:trPr>
          <w:trHeight w:val="230"/>
        </w:trPr>
        <w:tc>
          <w:tcPr>
            <w:tcW w:w="4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Digital assets ($72,161 and $76,362 at fair value)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73,661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(5.4)</w:t>
            </w:r>
          </w:p>
        </w:tc>
      </w:tr>
      <w:tr>
        <w:trPr>
          <w:trHeight w:val="229"/>
        </w:trPr>
        <w:tc>
          <w:tcPr>
            <w:tcW w:w="4600" w:type="dxa"/>
            <w:vAlign w:val="bottom"/>
          </w:tcPr>
          <w:p>
            <w:pPr>
              <w:ind w:left="240"/>
              <w:spacing w:after="0"/>
              <w:rPr>
                <w:sz w:val="20"/>
                <w:szCs w:val="20"/>
                <w:color w:val="auto"/>
              </w:rPr>
            </w:pPr>
            <w:r>
              <w:rPr>
                <w:rFonts w:ascii="Arial" w:cs="Arial" w:eastAsia="Arial" w:hAnsi="Arial"/>
                <w:sz w:val="18"/>
                <w:szCs w:val="18"/>
                <w:color w:val="auto"/>
              </w:rPr>
              <w:t>Marketable securities, at fair value</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187,807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163,489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24,318</w:t>
            </w:r>
          </w:p>
        </w:tc>
        <w:tc>
          <w:tcPr>
            <w:tcW w:w="100" w:type="dxa"/>
            <w:vAlign w:val="bottom"/>
          </w:tcPr>
          <w:p>
            <w:pPr>
              <w:spacing w:after="0"/>
              <w:rPr>
                <w:sz w:val="19"/>
                <w:szCs w:val="19"/>
                <w:color w:val="auto"/>
              </w:rPr>
            </w:pPr>
          </w:p>
        </w:tc>
        <w:tc>
          <w:tcPr>
            <w:tcW w:w="1700" w:type="dxa"/>
            <w:vAlign w:val="bottom"/>
          </w:tcPr>
          <w:p>
            <w:pPr>
              <w:ind w:left="1120"/>
              <w:spacing w:after="0"/>
              <w:rPr>
                <w:sz w:val="20"/>
                <w:szCs w:val="20"/>
                <w:color w:val="auto"/>
              </w:rPr>
            </w:pPr>
            <w:r>
              <w:rPr>
                <w:rFonts w:ascii="Arial" w:cs="Arial" w:eastAsia="Arial" w:hAnsi="Arial"/>
                <w:sz w:val="18"/>
                <w:szCs w:val="18"/>
                <w:color w:val="auto"/>
              </w:rPr>
              <w:t>14.9</w:t>
            </w:r>
          </w:p>
        </w:tc>
      </w:tr>
      <w:tr>
        <w:trPr>
          <w:trHeight w:val="229"/>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Digital assets, non-current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(56.8)</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30"/>
        </w:trPr>
        <w:tc>
          <w:tcPr>
            <w:tcW w:w="4600" w:type="dxa"/>
            <w:vAlign w:val="bottom"/>
          </w:tcPr>
          <w:p>
            <w:pPr>
              <w:ind w:left="460"/>
              <w:spacing w:after="0"/>
              <w:rPr>
                <w:sz w:val="20"/>
                <w:szCs w:val="20"/>
                <w:color w:val="auto"/>
              </w:rPr>
            </w:pPr>
            <w:r>
              <w:rPr>
                <w:rFonts w:ascii="Arial" w:cs="Arial" w:eastAsia="Arial" w:hAnsi="Arial"/>
                <w:sz w:val="18"/>
                <w:szCs w:val="18"/>
                <w:color w:val="auto"/>
              </w:rPr>
              <w:t>Payables to third-party loan owners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263,915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212,619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51,296</w:t>
            </w:r>
          </w:p>
        </w:tc>
        <w:tc>
          <w:tcPr>
            <w:tcW w:w="100" w:type="dxa"/>
            <w:vAlign w:val="bottom"/>
          </w:tcPr>
          <w:p>
            <w:pPr>
              <w:spacing w:after="0"/>
              <w:rPr>
                <w:sz w:val="19"/>
                <w:szCs w:val="19"/>
                <w:color w:val="auto"/>
              </w:rPr>
            </w:pPr>
          </w:p>
        </w:tc>
        <w:tc>
          <w:tcPr>
            <w:tcW w:w="1700" w:type="dxa"/>
            <w:vAlign w:val="bottom"/>
          </w:tcPr>
          <w:p>
            <w:pPr>
              <w:ind w:left="1120"/>
              <w:spacing w:after="0"/>
              <w:rPr>
                <w:sz w:val="20"/>
                <w:szCs w:val="20"/>
                <w:color w:val="auto"/>
              </w:rPr>
            </w:pPr>
            <w:r>
              <w:rPr>
                <w:rFonts w:ascii="Arial" w:cs="Arial" w:eastAsia="Arial" w:hAnsi="Arial"/>
                <w:sz w:val="18"/>
                <w:szCs w:val="18"/>
                <w:color w:val="auto"/>
              </w:rPr>
              <w:t>24.1</w:t>
            </w:r>
          </w:p>
        </w:tc>
      </w:tr>
      <w:tr>
        <w:trPr>
          <w:trHeight w:val="229"/>
        </w:trPr>
        <w:tc>
          <w:tcPr>
            <w:tcW w:w="4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Debt, current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112,769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36.9</w:t>
            </w:r>
          </w:p>
        </w:tc>
      </w:tr>
      <w:tr>
        <w:trPr>
          <w:trHeight w:val="239"/>
        </w:trPr>
        <w:tc>
          <w:tcPr>
            <w:tcW w:w="4600" w:type="dxa"/>
            <w:vAlign w:val="bottom"/>
          </w:tcPr>
          <w:p>
            <w:pPr>
              <w:ind w:left="240"/>
              <w:spacing w:after="0"/>
              <w:rPr>
                <w:sz w:val="20"/>
                <w:szCs w:val="20"/>
                <w:color w:val="auto"/>
              </w:rPr>
            </w:pPr>
            <w:r>
              <w:rPr>
                <w:rFonts w:ascii="Arial" w:cs="Arial" w:eastAsia="Arial" w:hAnsi="Arial"/>
                <w:sz w:val="18"/>
                <w:szCs w:val="18"/>
                <w:color w:val="auto"/>
              </w:rPr>
              <w:t>Debt, non-current ($201 and $— at fair value)</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191,670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167,882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23,788</w:t>
            </w:r>
          </w:p>
        </w:tc>
        <w:tc>
          <w:tcPr>
            <w:tcW w:w="100" w:type="dxa"/>
            <w:vAlign w:val="bottom"/>
          </w:tcPr>
          <w:p>
            <w:pPr>
              <w:spacing w:after="0"/>
              <w:rPr>
                <w:sz w:val="20"/>
                <w:szCs w:val="20"/>
                <w:color w:val="auto"/>
              </w:rPr>
            </w:pPr>
          </w:p>
        </w:tc>
        <w:tc>
          <w:tcPr>
            <w:tcW w:w="1700" w:type="dxa"/>
            <w:vAlign w:val="bottom"/>
          </w:tcPr>
          <w:p>
            <w:pPr>
              <w:ind w:left="1120"/>
              <w:spacing w:after="0"/>
              <w:rPr>
                <w:sz w:val="20"/>
                <w:szCs w:val="20"/>
                <w:color w:val="auto"/>
              </w:rPr>
            </w:pPr>
            <w:r>
              <w:rPr>
                <w:rFonts w:ascii="Arial" w:cs="Arial" w:eastAsia="Arial" w:hAnsi="Arial"/>
                <w:sz w:val="18"/>
                <w:szCs w:val="18"/>
                <w:color w:val="auto"/>
              </w:rPr>
              <w:t>14.2</w:t>
            </w:r>
          </w:p>
        </w:tc>
      </w:tr>
    </w:tbl>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Cash and cash equivalents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Cash and cash equivalents increased by $44.8 million, or 15.6%, as of March 31, 2025, compared to December 31, 2024, primarily due to cash flows generated from remittances received on a larger servicing portfolio during the three months ended March 31, 2025. Refer to “— Liquidity and Capital Resources—Cash Flows” for further discussion on the net cash provided by operating activities, investing activities and financing activities during the period.</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Loans held for sale, at fair value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Loans held for sale, at fair value increased by $134.6 million, or 34.0%, as of March 31, 2025, compared to December 31, 2024, primarily from originations of $680.3 million and purchases of $516.9 million offset by loan sales of $974.2 million and principal payments of $96.0 million. We generally hold loans for a short period of time and the timing of loan sales and securitizations may impact the amounts carried at each period-end. Typically, the loan volumes we experience include seasonal variation that impact the growth of loans on our balance sheet during a fiscal year. Additionally, we anticipate increased activity on our Connect platform, which may reduce the quantity of loans that we carry on our balance sheet over time.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Digital assets, current and non-current</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Digital assets, current and non-current decreased $4.2 million, or 5.5%, and $5.5 million, or 56.8%, respectively, as of March 31, 2025, compared to December 31, 2024, primarily due to the decrease in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value of Solana and Ethereum holdings, which decreased $5.7 million, or 31.7%, and $9.8 million, or 65.8%, respectively, during the period ended March 31, 2025. These decreases were partially offset by an increase in the fair value of Bitcoin held, which increased $5.2 million, or 10.4%, and we added USDT holdings during the three months ended March 31, 2025, representing an increase of $1.0 million.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Marketable securities, at fair value</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Marketable securities, at fair value increased by $24.3 million, or 14.9%, as of March 31, 2025, compared to December 31, 2024, primarily due to new securitizations that closed during the quarter in which the Company generally retained 5% of the total fair value contributed into securitizations, or $32.0 million, in the form of marketable securities. The newly retained marketable securities are partially offset by the scheduled paydown of existing marketable securities.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Liabilities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Payables to third-party loan owners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Payables to third-party loan owners increased by $51.3 million, or 24.1%, as of March 31, 2025, compared to December 31, 2024, primarily due to a net increase in scheduled loan collections from a corresponding $471.2 million, or 5.8%, increase in the unpaid principal balance of loans within our servicing portfolio. Additionally, we typically collect prepayments in the first quarter of the fiscal year, which contributed to an $18.6 million increase in collections. Lastly, we recorded $11.9 million owed from third parties under arrangements at December 31, 2024 that did not exist at March 31, 2025.</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Debt, current and non-current</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Debt, current increased by $112.8 million, or 36.9%, primarily due to the increase in loans held for sale, at fair value that increased 34.0%, driven by loan originations outpacing sales as a result of seasonality and increased volume from partners. Debt, non-current increased by $23.8 million, or 14.2%,respectively, as of March 31, 2025, compared to December 31, 2024, primarily due to the increase in financed residuals primarily due to new securitizations that closed during the quarter.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2024 compared to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7"/>
        </w:trPr>
        <w:tc>
          <w:tcPr>
            <w:tcW w:w="4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700" w:type="dxa"/>
            <w:vAlign w:val="bottom"/>
          </w:tcPr>
          <w:p>
            <w:pPr>
              <w:jc w:val="right"/>
              <w:ind w:right="412"/>
              <w:spacing w:after="0"/>
              <w:rPr>
                <w:sz w:val="20"/>
                <w:szCs w:val="20"/>
                <w:color w:val="auto"/>
              </w:rPr>
            </w:pPr>
            <w:r>
              <w:rPr>
                <w:rFonts w:ascii="Arial" w:cs="Arial" w:eastAsia="Arial" w:hAnsi="Arial"/>
                <w:sz w:val="14"/>
                <w:szCs w:val="14"/>
                <w:b w:val="1"/>
                <w:bCs w:val="1"/>
                <w:color w:val="auto"/>
              </w:rPr>
              <w:t>% Change</w:t>
            </w:r>
          </w:p>
        </w:tc>
      </w:tr>
      <w:tr>
        <w:trPr>
          <w:trHeight w:val="210"/>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r>
      <w:tr>
        <w:trPr>
          <w:trHeight w:val="230"/>
        </w:trPr>
        <w:tc>
          <w:tcPr>
            <w:tcW w:w="4600" w:type="dxa"/>
            <w:vAlign w:val="bottom"/>
          </w:tcPr>
          <w:p>
            <w:pPr>
              <w:ind w:left="2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4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287,256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170,708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146.5 %</w:t>
            </w:r>
          </w:p>
        </w:tc>
      </w:tr>
      <w:tr>
        <w:trPr>
          <w:trHeight w:val="230"/>
        </w:trPr>
        <w:tc>
          <w:tcPr>
            <w:tcW w:w="4600" w:type="dxa"/>
            <w:vAlign w:val="bottom"/>
          </w:tcPr>
          <w:p>
            <w:pPr>
              <w:ind w:left="680"/>
              <w:spacing w:after="0"/>
              <w:rPr>
                <w:sz w:val="20"/>
                <w:szCs w:val="20"/>
                <w:color w:val="auto"/>
              </w:rPr>
            </w:pPr>
            <w:r>
              <w:rPr>
                <w:rFonts w:ascii="Arial" w:cs="Arial" w:eastAsia="Arial" w:hAnsi="Arial"/>
                <w:sz w:val="18"/>
                <w:szCs w:val="18"/>
                <w:color w:val="auto"/>
              </w:rPr>
              <w:t>Loans held for sale, at fair value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395,922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255,516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140,406</w:t>
            </w:r>
          </w:p>
        </w:tc>
        <w:tc>
          <w:tcPr>
            <w:tcW w:w="100" w:type="dxa"/>
            <w:vAlign w:val="bottom"/>
          </w:tcPr>
          <w:p>
            <w:pPr>
              <w:spacing w:after="0"/>
              <w:rPr>
                <w:sz w:val="19"/>
                <w:szCs w:val="19"/>
                <w:color w:val="auto"/>
              </w:rPr>
            </w:pPr>
          </w:p>
        </w:tc>
        <w:tc>
          <w:tcPr>
            <w:tcW w:w="1700" w:type="dxa"/>
            <w:vAlign w:val="bottom"/>
          </w:tcPr>
          <w:p>
            <w:pPr>
              <w:jc w:val="right"/>
              <w:ind w:right="152"/>
              <w:spacing w:after="0"/>
              <w:rPr>
                <w:sz w:val="20"/>
                <w:szCs w:val="20"/>
                <w:color w:val="auto"/>
              </w:rPr>
            </w:pPr>
            <w:r>
              <w:rPr>
                <w:rFonts w:ascii="Arial" w:cs="Arial" w:eastAsia="Arial" w:hAnsi="Arial"/>
                <w:sz w:val="18"/>
                <w:szCs w:val="18"/>
                <w:color w:val="auto"/>
              </w:rPr>
              <w:t>54.9</w:t>
            </w:r>
          </w:p>
        </w:tc>
      </w:tr>
      <w:tr>
        <w:trPr>
          <w:trHeight w:val="230"/>
        </w:trPr>
        <w:tc>
          <w:tcPr>
            <w:tcW w:w="4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Digital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77,862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71,997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1227.6</w:t>
            </w:r>
          </w:p>
        </w:tc>
      </w:tr>
      <w:tr>
        <w:trPr>
          <w:trHeight w:val="230"/>
        </w:trPr>
        <w:tc>
          <w:tcPr>
            <w:tcW w:w="4600" w:type="dxa"/>
            <w:vAlign w:val="bottom"/>
          </w:tcPr>
          <w:p>
            <w:pPr>
              <w:ind w:left="460"/>
              <w:spacing w:after="0"/>
              <w:rPr>
                <w:sz w:val="20"/>
                <w:szCs w:val="20"/>
                <w:color w:val="auto"/>
              </w:rPr>
            </w:pPr>
            <w:r>
              <w:rPr>
                <w:rFonts w:ascii="Arial" w:cs="Arial" w:eastAsia="Arial" w:hAnsi="Arial"/>
                <w:sz w:val="18"/>
                <w:szCs w:val="18"/>
                <w:color w:val="auto"/>
              </w:rPr>
              <w:t>Loan servicing asset, at fair value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88,497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55,860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32,637</w:t>
            </w:r>
          </w:p>
        </w:tc>
        <w:tc>
          <w:tcPr>
            <w:tcW w:w="100" w:type="dxa"/>
            <w:vAlign w:val="bottom"/>
          </w:tcPr>
          <w:p>
            <w:pPr>
              <w:spacing w:after="0"/>
              <w:rPr>
                <w:sz w:val="19"/>
                <w:szCs w:val="19"/>
                <w:color w:val="auto"/>
              </w:rPr>
            </w:pPr>
          </w:p>
        </w:tc>
        <w:tc>
          <w:tcPr>
            <w:tcW w:w="1700" w:type="dxa"/>
            <w:vAlign w:val="bottom"/>
          </w:tcPr>
          <w:p>
            <w:pPr>
              <w:jc w:val="right"/>
              <w:ind w:right="152"/>
              <w:spacing w:after="0"/>
              <w:rPr>
                <w:sz w:val="20"/>
                <w:szCs w:val="20"/>
                <w:color w:val="auto"/>
              </w:rPr>
            </w:pPr>
            <w:r>
              <w:rPr>
                <w:rFonts w:ascii="Arial" w:cs="Arial" w:eastAsia="Arial" w:hAnsi="Arial"/>
                <w:sz w:val="18"/>
                <w:szCs w:val="18"/>
                <w:color w:val="auto"/>
              </w:rPr>
              <w:t>58.4</w:t>
            </w:r>
          </w:p>
        </w:tc>
      </w:tr>
      <w:tr>
        <w:trPr>
          <w:trHeight w:val="230"/>
        </w:trPr>
        <w:tc>
          <w:tcPr>
            <w:tcW w:w="4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Loans held for investment, at fair value</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(100.0)</w:t>
            </w:r>
          </w:p>
        </w:tc>
      </w:tr>
      <w:tr>
        <w:trPr>
          <w:trHeight w:val="229"/>
        </w:trPr>
        <w:tc>
          <w:tcPr>
            <w:tcW w:w="4600" w:type="dxa"/>
            <w:vAlign w:val="bottom"/>
          </w:tcPr>
          <w:p>
            <w:pPr>
              <w:ind w:left="460"/>
              <w:spacing w:after="0"/>
              <w:rPr>
                <w:sz w:val="20"/>
                <w:szCs w:val="20"/>
                <w:color w:val="auto"/>
              </w:rPr>
            </w:pPr>
            <w:r>
              <w:rPr>
                <w:rFonts w:ascii="Arial" w:cs="Arial" w:eastAsia="Arial" w:hAnsi="Arial"/>
                <w:sz w:val="18"/>
                <w:szCs w:val="18"/>
                <w:color w:val="auto"/>
              </w:rPr>
              <w:t>Marketable securities, at fair value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163,489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37,066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126,423</w:t>
            </w:r>
          </w:p>
        </w:tc>
        <w:tc>
          <w:tcPr>
            <w:tcW w:w="100" w:type="dxa"/>
            <w:vAlign w:val="bottom"/>
          </w:tcPr>
          <w:p>
            <w:pPr>
              <w:spacing w:after="0"/>
              <w:rPr>
                <w:sz w:val="19"/>
                <w:szCs w:val="19"/>
                <w:color w:val="auto"/>
              </w:rPr>
            </w:pPr>
          </w:p>
        </w:tc>
        <w:tc>
          <w:tcPr>
            <w:tcW w:w="1700" w:type="dxa"/>
            <w:vAlign w:val="bottom"/>
          </w:tcPr>
          <w:p>
            <w:pPr>
              <w:jc w:val="right"/>
              <w:ind w:right="152"/>
              <w:spacing w:after="0"/>
              <w:rPr>
                <w:sz w:val="20"/>
                <w:szCs w:val="20"/>
                <w:color w:val="auto"/>
              </w:rPr>
            </w:pPr>
            <w:r>
              <w:rPr>
                <w:rFonts w:ascii="Arial" w:cs="Arial" w:eastAsia="Arial" w:hAnsi="Arial"/>
                <w:sz w:val="18"/>
                <w:szCs w:val="18"/>
                <w:color w:val="auto"/>
              </w:rPr>
              <w:t>341.1</w:t>
            </w:r>
          </w:p>
        </w:tc>
      </w:tr>
      <w:tr>
        <w:trPr>
          <w:trHeight w:val="230"/>
        </w:trPr>
        <w:tc>
          <w:tcPr>
            <w:tcW w:w="4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Digital assets, non-current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100.0</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4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9"/>
        </w:trPr>
        <w:tc>
          <w:tcPr>
            <w:tcW w:w="4600" w:type="dxa"/>
            <w:vAlign w:val="bottom"/>
          </w:tcPr>
          <w:p>
            <w:pPr>
              <w:ind w:left="680"/>
              <w:spacing w:after="0"/>
              <w:rPr>
                <w:sz w:val="20"/>
                <w:szCs w:val="20"/>
                <w:color w:val="auto"/>
              </w:rPr>
            </w:pPr>
            <w:r>
              <w:rPr>
                <w:rFonts w:ascii="Arial" w:cs="Arial" w:eastAsia="Arial" w:hAnsi="Arial"/>
                <w:sz w:val="18"/>
                <w:szCs w:val="18"/>
                <w:color w:val="auto"/>
              </w:rPr>
              <w:t>Payables to third-party loan owners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212,619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120,075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92,544</w:t>
            </w:r>
          </w:p>
        </w:tc>
        <w:tc>
          <w:tcPr>
            <w:tcW w:w="100" w:type="dxa"/>
            <w:vAlign w:val="bottom"/>
          </w:tcPr>
          <w:p>
            <w:pPr>
              <w:spacing w:after="0"/>
              <w:rPr>
                <w:sz w:val="19"/>
                <w:szCs w:val="19"/>
                <w:color w:val="auto"/>
              </w:rPr>
            </w:pPr>
          </w:p>
        </w:tc>
        <w:tc>
          <w:tcPr>
            <w:tcW w:w="1700" w:type="dxa"/>
            <w:vAlign w:val="bottom"/>
          </w:tcPr>
          <w:p>
            <w:pPr>
              <w:jc w:val="right"/>
              <w:ind w:right="152"/>
              <w:spacing w:after="0"/>
              <w:rPr>
                <w:sz w:val="20"/>
                <w:szCs w:val="20"/>
                <w:color w:val="auto"/>
              </w:rPr>
            </w:pPr>
            <w:r>
              <w:rPr>
                <w:rFonts w:ascii="Arial" w:cs="Arial" w:eastAsia="Arial" w:hAnsi="Arial"/>
                <w:sz w:val="18"/>
                <w:szCs w:val="18"/>
                <w:color w:val="auto"/>
              </w:rPr>
              <w:t>77.1</w:t>
            </w:r>
          </w:p>
        </w:tc>
      </w:tr>
      <w:tr>
        <w:trPr>
          <w:trHeight w:val="230"/>
        </w:trPr>
        <w:tc>
          <w:tcPr>
            <w:tcW w:w="4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Debt, current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305,294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15.6</w:t>
            </w:r>
          </w:p>
        </w:tc>
      </w:tr>
      <w:tr>
        <w:trPr>
          <w:trHeight w:val="230"/>
        </w:trPr>
        <w:tc>
          <w:tcPr>
            <w:tcW w:w="4600" w:type="dxa"/>
            <w:vAlign w:val="bottom"/>
          </w:tcPr>
          <w:p>
            <w:pPr>
              <w:ind w:left="68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70,401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67,883</w:t>
            </w:r>
          </w:p>
        </w:tc>
        <w:tc>
          <w:tcPr>
            <w:tcW w:w="100" w:type="dxa"/>
            <w:vAlign w:val="bottom"/>
          </w:tcPr>
          <w:p>
            <w:pPr>
              <w:spacing w:after="0"/>
              <w:rPr>
                <w:sz w:val="19"/>
                <w:szCs w:val="19"/>
                <w:color w:val="auto"/>
              </w:rPr>
            </w:pPr>
          </w:p>
        </w:tc>
        <w:tc>
          <w:tcPr>
            <w:tcW w:w="1700" w:type="dxa"/>
            <w:vAlign w:val="bottom"/>
          </w:tcPr>
          <w:p>
            <w:pPr>
              <w:jc w:val="right"/>
              <w:ind w:right="152"/>
              <w:spacing w:after="0"/>
              <w:rPr>
                <w:sz w:val="20"/>
                <w:szCs w:val="20"/>
                <w:color w:val="auto"/>
              </w:rPr>
            </w:pPr>
            <w:r>
              <w:rPr>
                <w:rFonts w:ascii="Arial" w:cs="Arial" w:eastAsia="Arial" w:hAnsi="Arial"/>
                <w:sz w:val="18"/>
                <w:szCs w:val="18"/>
                <w:color w:val="auto"/>
              </w:rPr>
              <w:t>2695.9</w:t>
            </w:r>
          </w:p>
        </w:tc>
      </w:tr>
      <w:tr>
        <w:trPr>
          <w:trHeight w:val="230"/>
        </w:trPr>
        <w:tc>
          <w:tcPr>
            <w:tcW w:w="4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Debt, non-current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167,882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142,834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570.2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Cash and cash equivalents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Cash and cash equivalents increased by $170.7 million, or 146.5%, as of December 31, 2024, compared to December 31, 2023, primarily due to cash flows generated from remittances received on a larger servicing portfolio, and proceeds from issuance of preferred stock during the year ended December 31, 2024. Refer to “—Liquidity and Capital Resources—Cash Flows” for further discussion on the net cash provided by operating activities, investing activities and financing activities during the period.</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Loans held for sale, at fair value</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Loans held for sale, at fair value increased by $140.4 million, or 54.9%, as of December 31, 2024, compared to December 31, 2023, primarily due to originations of $ 3.2 billion, purchases of $ 2.0 billion, along with the transfer of loans held for investment to held for sale of $61.3 million and increase in the fair value of loans held on book of $11.4 million offset by loan sales of $4.7 billion and principal payments of $422.9 million. We generally hold loans for a short period of time and the timing of loan sales and securitizations may impact the amounts carried at each period-end. Typically, the loan volumes we experience include seasonal variation that impact the growth of loans on our balance sheet during a fiscal year. Additionally, we anticipate increased activity on our Connect platform, which may reduce the quantity of loans that we carry on our balance sheet over time.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Digital assets, current and non-current</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Digital assets, current and non-current increased by $72.0 million, or 1,227.6%, and $9.7 million, or 100.0%, respectively as of December 31, 2024, compared to December 31, 2023, primarily due to our acquisition of Bitcoin, Ethereum, Solana, and USDC, in the aggregate amount of $84.9 million, partially offset by the impairment in HASH of $5.9 million, during the year ended December 31, 2024.</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Loan servicing asset, at fair value</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Loan servicing asset, at fair value increased by $32.6 million, or 58.4%, as of December 31, 2024, compared to December 31, 2023, which was primarily due to an increase of $2.9 billion, or 55.8%, in the unpaid principal balance of loans serviced during the year ended December 31, 2024. See footnote 4 in the condensed combined consolidated financial statements for further discussion on loan servicing assets.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Loans held for investment, at fair value</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Loans held for investment, at fair value decreased by $61.3 million, or 100.0%, as of December 31, 2024, compared to December 31, 2023, as a result of our strategic decision to hold loans for sale, rather than for investment, during the year ended December 31, 2024.</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Marketable securities, at fair value</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Marketable securities, at fair value increased by $ 126.4 million, or 341.1%, as of December 31, 2024, compared to December 31, 2023, primarily due to new securitizations that closed during the year ended December 31, 2024 compared to the year ended December 31. 2023, in which we retained 5% of the total fair value contributed, or $ 142.1 million, in the form of marketable securities. The newly retained marketable securities are partially offset by the scheduled paydown of existing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Liabilities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Payables to third-party loan owners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Payables to third-party loan owners increased by $92.5 million, or 77.1%, as of December 31, 2024, compared to December 31, 2023, primarily due to a net increase in scheduled loan collections from a corresponding $2.9 billion increase in the unpaid principal balance of loans within our servicing portfolio.</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Debt, current and non-current</w:t>
      </w:r>
    </w:p>
    <w:p>
      <w:pPr>
        <w:spacing w:after="0" w:line="17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7"/>
          <w:szCs w:val="17"/>
          <w:color w:val="auto"/>
        </w:rPr>
        <w:t>Debt, current increased by $41.2, or 15.6%, primarily due to the increase in HELOC loans held for sale, at fair value that increased by $114.1 million, or 44.7%, partially offset by the decrease in loans held for investment of $ 61.3 million. Debt, non-current increased by $ 142.8 million, or 570.2%, as of December 31, 2024, compared to December 31, 2023, primarily due to the increase in financed residuals as a result of new securitizations that closed during the year, in addition to the MSR Financing that was entered into in June 2024 for $40.0 million.</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Other current liabilities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Other current liabilities increased by $67.9 million, or 2,695.9%, as of December 31, 2024, compared to December 31, 2023, primarily due to the increase in the digital assets collateralized for personal loans of $64.5 million, which we started to offer during the year ended December 31,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Funds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maintain a capital-efficient model by utilizing a diverse set of funding sources. When we originate a loan directly or purchase a loan originated by our origination partners, we often utilize warehouse credit facilities with certain lenders to finance our lending activities or loan purchases. We sell the loans we originate or purchase from our origination partners to whole loan buyers and securitization investors, and earn servicing fees from continuing to act as the servicer on the loans. We proactively manage the allocation of loans on our platform across various funding channels based on several factors including, but not limited to, internal risk limits and policies, capital market conditions and channel economics. Our excess funding capacity and long-term relationships with a diverse group of existing funding partners help provide flexibility as we optimize our funding to support the growth in loan volume. For those loans sold through Figure Connect, we also collect fees as a source of funds. Our principal sources of liquidity are cash and cash equivalents, digital assets, available for sale securities, available capacity from warehouse and revolving credit facilities, securitization trusts, forward flow loan sale arrangements, and certain cash flows from our operations.</w:t>
      </w:r>
    </w:p>
    <w:p>
      <w:pPr>
        <w:spacing w:after="0" w:line="13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March 31, 2025, we had $384.5 million in cash and cash equivalents, which included $52.5 million in restricted cash, $18.0 million in digital assets held for sale at fair value, excluding digital assets held as collateral, and approximately $1.0 billion in available funding debt capacity, excluding purchase commitments from third-party loan buyers. As of December 31, 2024, we had $ 345.0 million in cash and cash equivalents, which included $57.8 million in restricted cash, $ 23.1 million in digital assets held for sale at fair value, excluding digital assets held as collateral, and $1.3 billion in available funding debt capacity, excluding purchase commitments from third-party loan buyers. We believe our principal sources of liquidity are sufficient to meet both our existing operating, working capital, and capital expenditure requirements and our currently planned growth for at least the next 12 months.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Funding Sources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connection with asset-backed securitizations, we sponsor and establish trusts (deemed to be VIEs)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losses in accordance with the waterfall criteria. We consolidate securitization VIEs when we are deemed to be the primary beneficiary and therefore have the power to direct the activities that most significantly affect the VIEs’ economic performance and a variable interest that could potentially be significant to the VIE. Where we consolidate the securitization trusts, the loans held in the securitization trusts are included in loans held for investment, and the notes sold to third-party investors are recorded in notes issued by securitization trusts in the consolidated balance sheets. Refer to Note 8 in the notes to the consolidated financial statements for further details.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Warehouse Credit Facilities</w:t>
      </w:r>
    </w:p>
    <w:p>
      <w:pPr>
        <w:spacing w:after="0" w:line="1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fund substantially all of the loans we close on a short-term basis primarily through our warehouse credit facilities and from our operations. Loan production activities generally require short-term liquidity in excess of amounts generated by our operations. The loans we originate are financed through several warehouse credit facilities. Our borrowings are in turn generally repaid with the proceeds we receive from loan sales. We maintain warehouse credit facilities with separate third-party lenders through FL LLC, Figure REIT, Figure Markets Credit LLC, and their subsidiaries. Our warehouse credit facilities are primarily in the form of master repurchase agreements and loan participation agreements. Loans financed under these facilities are generally financed at approximately 80% to 100% of the principal balance of the loan (although certain types of loans are financed at lower percentages of the principal balance of the loan). Loans financed at less than 100% of the principal balance require us to fund the balance from cash generated from our operations. Once closed, the underlying loan that is held for sale is pledged as collateral for the borrowing or advance that was made under our warehouse credit facilities. In most cases, the loans will remain in one of the warehouse credit facilities for only a short time, generally less than 21 days, until the loans are sold. During the time the loans are held for sale, we earn interest income from the customer on the underlying loan. This income is partially offset by the interest and fees we pay due to borrowings from the warehouse credit facilities.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outstanding warehouse credit facilities as of March 31, 2025 include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6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4"/>
                <w:szCs w:val="14"/>
                <w:b w:val="1"/>
                <w:bCs w:val="1"/>
                <w:color w:val="auto"/>
              </w:rPr>
              <w:t>March 31, 2025</w:t>
            </w: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7"/>
        </w:trPr>
        <w:tc>
          <w:tcPr>
            <w:tcW w:w="4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Debt</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Final Stated Maturity</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Borrowing Capacity</w:t>
            </w:r>
          </w:p>
        </w:tc>
        <w:tc>
          <w:tcPr>
            <w:tcW w:w="166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 Outstanding</w:t>
            </w:r>
          </w:p>
        </w:tc>
        <w:tc>
          <w:tcPr>
            <w:tcW w:w="15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Available Financing</w:t>
            </w:r>
          </w:p>
        </w:tc>
      </w:tr>
      <w:tr>
        <w:trPr>
          <w:trHeight w:val="224"/>
        </w:trPr>
        <w:tc>
          <w:tcPr>
            <w:tcW w:w="4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Funding Debt</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30"/>
        </w:trPr>
        <w:tc>
          <w:tcPr>
            <w:tcW w:w="4460" w:type="dxa"/>
            <w:vAlign w:val="bottom"/>
            <w:gridSpan w:val="2"/>
          </w:tcPr>
          <w:p>
            <w:pPr>
              <w:ind w:left="240"/>
              <w:spacing w:after="0"/>
              <w:rPr>
                <w:sz w:val="20"/>
                <w:szCs w:val="20"/>
                <w:color w:val="auto"/>
              </w:rPr>
            </w:pPr>
            <w:r>
              <w:rPr>
                <w:rFonts w:ascii="Arial" w:cs="Arial" w:eastAsia="Arial" w:hAnsi="Arial"/>
                <w:sz w:val="18"/>
                <w:szCs w:val="18"/>
                <w:color w:val="auto"/>
              </w:rPr>
              <w:t>Warehouse Facility 1</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November 2025</w:t>
            </w: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580" w:type="dxa"/>
            <w:vAlign w:val="bottom"/>
          </w:tcPr>
          <w:p>
            <w:pPr>
              <w:jc w:val="right"/>
              <w:ind w:right="37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26,925</w:t>
            </w:r>
          </w:p>
        </w:tc>
        <w:tc>
          <w:tcPr>
            <w:tcW w:w="100" w:type="dxa"/>
            <w:vAlign w:val="bottom"/>
          </w:tcPr>
          <w:p>
            <w:pPr>
              <w:spacing w:after="0"/>
              <w:rPr>
                <w:sz w:val="19"/>
                <w:szCs w:val="19"/>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223,075</w:t>
            </w:r>
          </w:p>
        </w:tc>
      </w:tr>
      <w:tr>
        <w:trPr>
          <w:trHeight w:val="230"/>
        </w:trPr>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Warehouse Facility 2</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May 2025</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184,179</w:t>
            </w:r>
          </w:p>
        </w:tc>
      </w:tr>
      <w:tr>
        <w:trPr>
          <w:trHeight w:val="229"/>
        </w:trPr>
        <w:tc>
          <w:tcPr>
            <w:tcW w:w="4460" w:type="dxa"/>
            <w:vAlign w:val="bottom"/>
            <w:gridSpan w:val="2"/>
          </w:tcPr>
          <w:p>
            <w:pPr>
              <w:ind w:left="240"/>
              <w:spacing w:after="0"/>
              <w:rPr>
                <w:sz w:val="20"/>
                <w:szCs w:val="20"/>
                <w:color w:val="auto"/>
              </w:rPr>
            </w:pPr>
            <w:r>
              <w:rPr>
                <w:rFonts w:ascii="Arial" w:cs="Arial" w:eastAsia="Arial" w:hAnsi="Arial"/>
                <w:sz w:val="18"/>
                <w:szCs w:val="18"/>
                <w:color w:val="auto"/>
              </w:rPr>
              <w:t>Warehouse Facility 3</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October 2025</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50,417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49,583</w:t>
            </w:r>
          </w:p>
        </w:tc>
      </w:tr>
      <w:tr>
        <w:trPr>
          <w:trHeight w:val="230"/>
        </w:trPr>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Warehouse Facility 4</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January 2026</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228,120</w:t>
            </w:r>
          </w:p>
        </w:tc>
      </w:tr>
      <w:tr>
        <w:trPr>
          <w:trHeight w:val="230"/>
        </w:trPr>
        <w:tc>
          <w:tcPr>
            <w:tcW w:w="4460" w:type="dxa"/>
            <w:vAlign w:val="bottom"/>
            <w:gridSpan w:val="2"/>
          </w:tcPr>
          <w:p>
            <w:pPr>
              <w:ind w:left="240"/>
              <w:spacing w:after="0"/>
              <w:rPr>
                <w:sz w:val="20"/>
                <w:szCs w:val="20"/>
                <w:color w:val="auto"/>
              </w:rPr>
            </w:pPr>
            <w:r>
              <w:rPr>
                <w:rFonts w:ascii="Arial" w:cs="Arial" w:eastAsia="Arial" w:hAnsi="Arial"/>
                <w:sz w:val="18"/>
                <w:szCs w:val="18"/>
                <w:color w:val="auto"/>
              </w:rPr>
              <w:t>Warehouse Facility 5</w:t>
            </w:r>
          </w:p>
        </w:tc>
        <w:tc>
          <w:tcPr>
            <w:tcW w:w="19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n.a.</w:t>
            </w:r>
          </w:p>
        </w:tc>
        <w:tc>
          <w:tcPr>
            <w:tcW w:w="4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REIT</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October 2025</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94,460</w:t>
            </w:r>
          </w:p>
        </w:tc>
      </w:tr>
      <w:tr>
        <w:trPr>
          <w:trHeight w:val="229"/>
        </w:trPr>
        <w:tc>
          <w:tcPr>
            <w:tcW w:w="4460" w:type="dxa"/>
            <w:vAlign w:val="bottom"/>
            <w:gridSpan w:val="2"/>
          </w:tcPr>
          <w:p>
            <w:pPr>
              <w:ind w:left="240"/>
              <w:spacing w:after="0"/>
              <w:rPr>
                <w:sz w:val="20"/>
                <w:szCs w:val="20"/>
                <w:color w:val="auto"/>
              </w:rPr>
            </w:pPr>
            <w:r>
              <w:rPr>
                <w:rFonts w:ascii="Arial" w:cs="Arial" w:eastAsia="Arial" w:hAnsi="Arial"/>
                <w:sz w:val="18"/>
                <w:szCs w:val="18"/>
                <w:color w:val="auto"/>
              </w:rPr>
              <w:t>Warehouse Facility 6</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rPr>
              <w:t>May 2026</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250,000</w:t>
            </w:r>
          </w:p>
        </w:tc>
      </w:tr>
      <w:tr>
        <w:trPr>
          <w:trHeight w:val="230"/>
        </w:trPr>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Warehouse Facility 7</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August 2025</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57"/>
        </w:trPr>
        <w:tc>
          <w:tcPr>
            <w:tcW w:w="4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0"/>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MSR Financing</w:t>
            </w: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460" w:type="dxa"/>
            <w:vAlign w:val="bottom"/>
            <w:gridSpan w:val="2"/>
          </w:tcPr>
          <w:p>
            <w:pPr>
              <w:ind w:left="240"/>
              <w:spacing w:after="0"/>
              <w:rPr>
                <w:sz w:val="20"/>
                <w:szCs w:val="20"/>
                <w:color w:val="auto"/>
              </w:rPr>
            </w:pPr>
            <w:r>
              <w:rPr>
                <w:rFonts w:ascii="Arial" w:cs="Arial" w:eastAsia="Arial" w:hAnsi="Arial"/>
                <w:sz w:val="18"/>
                <w:szCs w:val="18"/>
                <w:color w:val="auto"/>
              </w:rPr>
              <w:t>Lender 1</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June 2026</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0"/>
        </w:trPr>
        <w:tc>
          <w:tcPr>
            <w:tcW w:w="446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Financed Retained Interests</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Retained Interest Facility</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Various</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152,709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97,291</w:t>
            </w:r>
          </w:p>
        </w:tc>
      </w:tr>
      <w:tr>
        <w:trPr>
          <w:trHeight w:val="223"/>
        </w:trPr>
        <w:tc>
          <w:tcPr>
            <w:tcW w:w="4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1,726,300</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611,238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1,127,708</w:t>
            </w:r>
          </w:p>
        </w:tc>
      </w:tr>
      <w:tr>
        <w:trPr>
          <w:trHeight w:val="21"/>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outstanding warehouse credit facilities as of December 31, 2024 include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2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December 31, 2024</w:t>
            </w: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197"/>
        </w:trPr>
        <w:tc>
          <w:tcPr>
            <w:tcW w:w="4320" w:type="dxa"/>
            <w:vAlign w:val="bottom"/>
            <w:gridSpan w:val="2"/>
          </w:tcPr>
          <w:p>
            <w:pPr>
              <w:ind w:left="20"/>
              <w:spacing w:after="0"/>
              <w:rPr>
                <w:sz w:val="20"/>
                <w:szCs w:val="20"/>
                <w:color w:val="auto"/>
              </w:rPr>
            </w:pPr>
            <w:r>
              <w:rPr>
                <w:rFonts w:ascii="Arial" w:cs="Arial" w:eastAsia="Arial" w:hAnsi="Arial"/>
                <w:sz w:val="14"/>
                <w:szCs w:val="14"/>
                <w:b w:val="1"/>
                <w:bCs w:val="1"/>
                <w:color w:val="auto"/>
              </w:rPr>
              <w:t>Debt</w:t>
            </w: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Final Stated Maturity</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Borrowing Capacity</w:t>
            </w:r>
          </w:p>
        </w:tc>
        <w:tc>
          <w:tcPr>
            <w:tcW w:w="166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 Outstanding</w:t>
            </w:r>
          </w:p>
        </w:tc>
        <w:tc>
          <w:tcPr>
            <w:tcW w:w="120" w:type="dxa"/>
            <w:vAlign w:val="bottom"/>
          </w:tcPr>
          <w:p>
            <w:pPr>
              <w:spacing w:after="0"/>
              <w:rPr>
                <w:sz w:val="17"/>
                <w:szCs w:val="17"/>
                <w:color w:val="auto"/>
              </w:rPr>
            </w:pPr>
          </w:p>
        </w:tc>
        <w:tc>
          <w:tcPr>
            <w:tcW w:w="1460" w:type="dxa"/>
            <w:vAlign w:val="bottom"/>
          </w:tcPr>
          <w:p>
            <w:pPr>
              <w:jc w:val="right"/>
              <w:ind w:right="31"/>
              <w:spacing w:after="0"/>
              <w:rPr>
                <w:sz w:val="20"/>
                <w:szCs w:val="20"/>
                <w:color w:val="auto"/>
              </w:rPr>
            </w:pPr>
            <w:r>
              <w:rPr>
                <w:rFonts w:ascii="Arial" w:cs="Arial" w:eastAsia="Arial" w:hAnsi="Arial"/>
                <w:sz w:val="14"/>
                <w:szCs w:val="14"/>
                <w:b w:val="1"/>
                <w:bCs w:val="1"/>
                <w:color w:val="auto"/>
              </w:rPr>
              <w:t>Available Financing</w:t>
            </w:r>
          </w:p>
        </w:tc>
      </w:tr>
      <w:tr>
        <w:trPr>
          <w:trHeight w:val="224"/>
        </w:trPr>
        <w:tc>
          <w:tcPr>
            <w:tcW w:w="4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Funding Debt</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r>
      <w:tr>
        <w:trPr>
          <w:trHeight w:val="229"/>
        </w:trPr>
        <w:tc>
          <w:tcPr>
            <w:tcW w:w="4320" w:type="dxa"/>
            <w:vAlign w:val="bottom"/>
            <w:gridSpan w:val="2"/>
          </w:tcPr>
          <w:p>
            <w:pPr>
              <w:ind w:left="240"/>
              <w:spacing w:after="0"/>
              <w:rPr>
                <w:sz w:val="20"/>
                <w:szCs w:val="20"/>
                <w:color w:val="auto"/>
              </w:rPr>
            </w:pPr>
            <w:r>
              <w:rPr>
                <w:rFonts w:ascii="Arial" w:cs="Arial" w:eastAsia="Arial" w:hAnsi="Arial"/>
                <w:sz w:val="18"/>
                <w:szCs w:val="18"/>
                <w:color w:val="auto"/>
              </w:rPr>
              <w:t>Warehouse Facility 1</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November 2025</w:t>
            </w: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640" w:type="dxa"/>
            <w:vAlign w:val="bottom"/>
          </w:tcPr>
          <w:p>
            <w:pPr>
              <w:jc w:val="right"/>
              <w:ind w:right="43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28,286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221,714</w:t>
            </w:r>
          </w:p>
        </w:tc>
      </w:tr>
      <w:tr>
        <w:trPr>
          <w:trHeight w:val="229"/>
        </w:trPr>
        <w:tc>
          <w:tcPr>
            <w:tcW w:w="4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Warehouse Facility 2</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May 2025</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288,993</w:t>
            </w:r>
          </w:p>
        </w:tc>
      </w:tr>
      <w:tr>
        <w:trPr>
          <w:trHeight w:val="230"/>
        </w:trPr>
        <w:tc>
          <w:tcPr>
            <w:tcW w:w="4320" w:type="dxa"/>
            <w:vAlign w:val="bottom"/>
            <w:gridSpan w:val="2"/>
          </w:tcPr>
          <w:p>
            <w:pPr>
              <w:ind w:left="240"/>
              <w:spacing w:after="0"/>
              <w:rPr>
                <w:sz w:val="20"/>
                <w:szCs w:val="20"/>
                <w:color w:val="auto"/>
              </w:rPr>
            </w:pPr>
            <w:r>
              <w:rPr>
                <w:rFonts w:ascii="Arial" w:cs="Arial" w:eastAsia="Arial" w:hAnsi="Arial"/>
                <w:sz w:val="18"/>
                <w:szCs w:val="18"/>
                <w:color w:val="auto"/>
              </w:rPr>
              <w:t>Warehouse Facility 3</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October 2025</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73,773</w:t>
            </w:r>
          </w:p>
        </w:tc>
      </w:tr>
      <w:tr>
        <w:trPr>
          <w:trHeight w:val="229"/>
        </w:trPr>
        <w:tc>
          <w:tcPr>
            <w:tcW w:w="4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Warehouse Facility 4</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January 2026</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266,732</w:t>
            </w:r>
          </w:p>
        </w:tc>
      </w:tr>
      <w:tr>
        <w:trPr>
          <w:trHeight w:val="230"/>
        </w:trPr>
        <w:tc>
          <w:tcPr>
            <w:tcW w:w="4320" w:type="dxa"/>
            <w:vAlign w:val="bottom"/>
            <w:gridSpan w:val="2"/>
          </w:tcPr>
          <w:p>
            <w:pPr>
              <w:ind w:left="240"/>
              <w:spacing w:after="0"/>
              <w:rPr>
                <w:sz w:val="20"/>
                <w:szCs w:val="20"/>
                <w:color w:val="auto"/>
              </w:rPr>
            </w:pPr>
            <w:r>
              <w:rPr>
                <w:rFonts w:ascii="Arial" w:cs="Arial" w:eastAsia="Arial" w:hAnsi="Arial"/>
                <w:sz w:val="18"/>
                <w:szCs w:val="18"/>
                <w:color w:val="auto"/>
              </w:rPr>
              <w:t>Warehouse Facility 5</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REIT</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October 2025</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50,796</w:t>
            </w:r>
          </w:p>
        </w:tc>
      </w:tr>
      <w:tr>
        <w:trPr>
          <w:trHeight w:val="229"/>
        </w:trPr>
        <w:tc>
          <w:tcPr>
            <w:tcW w:w="4320" w:type="dxa"/>
            <w:vAlign w:val="bottom"/>
            <w:gridSpan w:val="2"/>
          </w:tcPr>
          <w:p>
            <w:pPr>
              <w:ind w:left="240"/>
              <w:spacing w:after="0"/>
              <w:rPr>
                <w:sz w:val="20"/>
                <w:szCs w:val="20"/>
                <w:color w:val="auto"/>
              </w:rPr>
            </w:pPr>
            <w:r>
              <w:rPr>
                <w:rFonts w:ascii="Arial" w:cs="Arial" w:eastAsia="Arial" w:hAnsi="Arial"/>
                <w:sz w:val="18"/>
                <w:szCs w:val="18"/>
                <w:color w:val="auto"/>
              </w:rPr>
              <w:t>Warehouse Facility 6</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rPr>
              <w:t>May 2026</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250,000</w:t>
            </w:r>
          </w:p>
        </w:tc>
      </w:tr>
      <w:tr>
        <w:trPr>
          <w:trHeight w:val="230"/>
        </w:trPr>
        <w:tc>
          <w:tcPr>
            <w:tcW w:w="4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Warehouse Facility 7</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August 2025</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4320" w:type="dxa"/>
            <w:vAlign w:val="bottom"/>
            <w:gridSpan w:val="2"/>
          </w:tcPr>
          <w:p>
            <w:pPr>
              <w:ind w:left="240"/>
              <w:spacing w:after="0"/>
              <w:rPr>
                <w:sz w:val="20"/>
                <w:szCs w:val="20"/>
                <w:color w:val="auto"/>
              </w:rPr>
            </w:pPr>
            <w:r>
              <w:rPr>
                <w:rFonts w:ascii="Arial" w:cs="Arial" w:eastAsia="Arial" w:hAnsi="Arial"/>
                <w:sz w:val="18"/>
                <w:szCs w:val="18"/>
                <w:color w:val="auto"/>
              </w:rPr>
              <w:t>Warehouse Facility 8</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December 2024</w:t>
            </w:r>
          </w:p>
        </w:tc>
        <w:tc>
          <w:tcPr>
            <w:tcW w:w="4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Warehouse Facility 9</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March 2025</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w:t>
            </w:r>
          </w:p>
        </w:tc>
      </w:tr>
      <w:tr>
        <w:trPr>
          <w:trHeight w:val="257"/>
        </w:trPr>
        <w:tc>
          <w:tcPr>
            <w:tcW w:w="4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MSR Financing</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4320" w:type="dxa"/>
            <w:vAlign w:val="bottom"/>
            <w:gridSpan w:val="2"/>
          </w:tcPr>
          <w:p>
            <w:pPr>
              <w:ind w:left="240"/>
              <w:spacing w:after="0"/>
              <w:rPr>
                <w:sz w:val="20"/>
                <w:szCs w:val="20"/>
                <w:color w:val="auto"/>
              </w:rPr>
            </w:pPr>
            <w:r>
              <w:rPr>
                <w:rFonts w:ascii="Arial" w:cs="Arial" w:eastAsia="Arial" w:hAnsi="Arial"/>
                <w:sz w:val="18"/>
                <w:szCs w:val="18"/>
                <w:color w:val="auto"/>
              </w:rPr>
              <w:t>Lender 1</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June 2026</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29"/>
        </w:trPr>
        <w:tc>
          <w:tcPr>
            <w:tcW w:w="432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Financed Retained Interests</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4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Retained Interest Facility</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Various</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129,005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120,995</w:t>
            </w:r>
          </w:p>
        </w:tc>
      </w:tr>
      <w:tr>
        <w:trPr>
          <w:trHeight w:val="223"/>
        </w:trPr>
        <w:tc>
          <w:tcPr>
            <w:tcW w:w="4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1,736,850</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473,994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1,284,553</w:t>
            </w:r>
          </w:p>
        </w:tc>
      </w:tr>
      <w:tr>
        <w:trPr>
          <w:trHeight w:val="20"/>
        </w:trPr>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Warehouse Facility 8 matured in March 2025 and Warehouse Facility 2 was extended to May 2026. Warehouse Facilities 1, 3, and 7 and REIT will also be maturing in 2025, and we expect to let Warehouse Facilities 1, 3, and 7 mature and to extend the maturity of REIT. Other than as noted above, our warehouse credit facilities bear floating interest rates, are payable on a monthly basis, and contain certain financial covenants, such as minimum tangible net worth, minimum liquidity, maximum leverage ratios, required range of net income or loss during specified periods, and periodic financial reporting requirements. Failure to comply with these covenants may result in an acceleration of payment on outstanding principal and accrued interest. We have in the past not complied with certain of these covenants, which were subsequently waived by the applicable warehouse lender. Specifically, in the quarter ended December 31, 2022, we were not in compliance with the non-HELOC net income covenant under a closed end mortgage warehouse credit facility. We received a waiver for this breach and this warehouse credit facility was subsequently terminated in the quarter ended March 31, 2023. As of March 31, 2025, as of December 31, 2024, and as of the date of the filing of this registration statement, we were in compliance with the applicable covenants under each of our warehouse credit facilities. Our future capital requirements will depend on many factors, including, but not limited to, our continued access to debt facilities on terms that are favorable to us, our growth, our ability to attract and retain customers, the continuing market acceptance of our offerings, the timing and extent of spending to support our efforts to develop our platform and the expansion of sales and marketing activities. Further, we may in the future enter into arrangements to acquire or invest in businesses, products, services, and technologies. From time to time, we may explore additional financing sources and means to lower our cost of capital, which could include equity, equity-linked and debt financing. We cannot assure you that any additional financing will be available to us on acceptable terms, or at all. If we raise additional funds by issuing equity or equity-linked securities, the ownership of our existing stockholders will be 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consolidated cash flows for the periods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820" w:type="dxa"/>
            <w:vAlign w:val="bottom"/>
            <w:gridSpan w:val="3"/>
          </w:tcPr>
          <w:p>
            <w:pPr>
              <w:jc w:val="center"/>
              <w:ind w:left="539"/>
              <w:spacing w:after="0"/>
              <w:rPr>
                <w:sz w:val="20"/>
                <w:szCs w:val="20"/>
                <w:color w:val="auto"/>
              </w:rPr>
            </w:pPr>
            <w:r>
              <w:rPr>
                <w:rFonts w:ascii="Arial" w:cs="Arial" w:eastAsia="Arial" w:hAnsi="Arial"/>
                <w:sz w:val="14"/>
                <w:szCs w:val="14"/>
                <w:b w:val="1"/>
                <w:bCs w:val="1"/>
                <w:color w:val="auto"/>
              </w:rPr>
              <w:t>Year Ended</w:t>
            </w:r>
          </w:p>
        </w:tc>
        <w:tc>
          <w:tcPr>
            <w:tcW w:w="1040" w:type="dxa"/>
            <w:vAlign w:val="bottom"/>
          </w:tcPr>
          <w:p>
            <w:pPr>
              <w:spacing w:after="0"/>
              <w:rPr>
                <w:sz w:val="14"/>
                <w:szCs w:val="14"/>
                <w:color w:val="auto"/>
              </w:rPr>
            </w:pPr>
          </w:p>
        </w:tc>
      </w:tr>
      <w:tr>
        <w:trPr>
          <w:trHeight w:val="185"/>
        </w:trPr>
        <w:tc>
          <w:tcPr>
            <w:tcW w:w="4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679"/>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579"/>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195"/>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r>
      <w:tr>
        <w:trPr>
          <w:trHeight w:val="22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(136,015)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235"/>
              <w:spacing w:after="0"/>
              <w:rPr>
                <w:sz w:val="20"/>
                <w:szCs w:val="20"/>
                <w:color w:val="auto"/>
              </w:rPr>
            </w:pPr>
            <w:r>
              <w:rPr>
                <w:rFonts w:ascii="Arial" w:cs="Arial" w:eastAsia="Arial" w:hAnsi="Arial"/>
                <w:sz w:val="18"/>
                <w:szCs w:val="18"/>
                <w:color w:val="auto"/>
              </w:rPr>
              <w:t>(28,868)</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(3,572)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(30,856)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center"/>
              <w:ind w:left="235"/>
              <w:spacing w:after="0"/>
              <w:rPr>
                <w:sz w:val="20"/>
                <w:szCs w:val="20"/>
                <w:color w:val="auto"/>
              </w:rPr>
            </w:pPr>
            <w:r>
              <w:rPr>
                <w:rFonts w:ascii="Arial" w:cs="Arial" w:eastAsia="Arial" w:hAnsi="Arial"/>
                <w:sz w:val="18"/>
                <w:szCs w:val="18"/>
                <w:color w:val="auto"/>
              </w:rPr>
              <w:t>(22,107)</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255"/>
              <w:spacing w:after="0"/>
              <w:rPr>
                <w:sz w:val="20"/>
                <w:szCs w:val="20"/>
                <w:color w:val="auto"/>
              </w:rPr>
            </w:pPr>
            <w:r>
              <w:rPr>
                <w:rFonts w:ascii="Arial" w:cs="Arial" w:eastAsia="Arial" w:hAnsi="Arial"/>
                <w:sz w:val="18"/>
                <w:szCs w:val="18"/>
                <w:color w:val="auto"/>
                <w:w w:val="98"/>
              </w:rPr>
              <w:t>65,788</w:t>
            </w:r>
          </w:p>
        </w:tc>
      </w:tr>
    </w:tbl>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Cash from Operating Activities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Comparison of the Three Months Ended March 31, 2025 and 2024</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used in operating activities was $153.0 million for the three months ended March 31, 2025. Our main sources of cash provided by operating activities for the three months ended March 31, 2025 were $994.9 million of proceeds from loan sales, gross of interests retained in securitized loans and net of loan repurchases, $96.0 million of principal repayments on loans held for sale, and $7.0 million of receipts of servicing fees received. Our main uses of cash in our operating activities included $ 680.4 million paid to originate loans held for sale, $516.9 million of loans purchased and held for sale, $32.0 million to purchase interests retained in securitized loans as marketable securities, $17.2 million paid for employee compensation, and $10.8 million of marketing costs.</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used in operating activities was $31.1 million for the three months ended March 31, 2024. Our main sources of cash provided by operating activities for the year ended March 31, 2024 were $1.1 billion of proceeds from loan sales, gross of interests retained in securitized loans and net of loan repurchases, $ 106.5 million of principal repayments on loans held for sale, and $5.0 million of servicing fee receipts. Our main uses of cash in our operating activities included $670.0 million paid to originate loans held for sale, $512.6 million of loans purchased and held for sale, $17.7 million paid for employee compensation, $16.1 million to purchase interests retained in securitized loans as marketable securities, and $8.6 million of marketing costs.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Comparison of the Years Ended December 31, 2024 and 2023</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Net cash used in operating activities was $136.0 million for the year ended December 31, 2024. Our main sources of cash provided by operating activities for the year ended December 31, 2024 were $4.8 billion proceeds from loan sales, gross of interests retained in securitized loans and net of loan repurchases, $422.9 million principal repayments on loans held for sale, $24.7 million of receipts of servicing fees received, $20.0 million of white label fee receipts, and $15.3 million of payments on marketable securities. Our main uses of cash in our operating activities included $3.2 billion paid to originate loans held for sale, $2.0 billion of loans purchased and held for sale, $140.6 million to purchase interests retained in securitized loans as marketable securities, $75.6 million paid for employee compensation, and $42.6 million of marketing costs.</w:t>
      </w:r>
    </w:p>
    <w:p>
      <w:pPr>
        <w:spacing w:after="0" w:line="12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Net cash used in operating activities was $28.9 million for the year ended December 31, 2023. Our main sources of cash provided by operating activities for the year ended December 31, 2023 were $3.3 billion proceeds from loan sales, gross of interests retained in securitized loans and net of loan repurchases, $315.3 million principal repayments on loans held for sale, $19.0 million of servicing fee receipts, $5.8 million received from white label fees, and $3.8 million of payments on marketable securities. Our main uses of cash in our operating activities included $2.0 billion paid to originate loans held for sale, $1.5 billion of loans purchased and held for sale, $70.8 million paid for employee compensation, $42.1 million to purchase interests retained in securitized loans as marketable securities, and $42.1 million of marketing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Cash from Investing Activities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Comparison of the Three Months Ended March 31, 2025 and 2024</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Net cash used in investing activities was $3.6 million for the three months ended March 31, 2025, during which we primarily used $2.1 million to purchase digital assets, and $4.4 million to develop software that we capitalized, partially offset by $2.9 million of proceeds from digital asset sales.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Net cash used in investing activities was $5.8 million for the three months ended March 31, 2024, during which we primarily used $4.2 million to develop software that we capitalized.</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Comparison of the Years Ended December 31, 2024 and 2023</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Net cash used in investing activities was $30.9 million for the year ended December 31, 2024, during which we used $ 26.8 million to purchase digital assets, $16.6 million to develop software that we capitalized, and invested $3.3 million in a nonconsolidated fund, partially offset by $16.1 million of proceeds from digital asset sales.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Net cash used in investing activities was $ 22.1 million for the year ended December 31, 2023, during which we used $17.3 million to develop software that we capitalized, lent $4.0 million to the Provenance Blockchain Foundation Inc. (the “Provenance Foundation”), and purchased $0.8 million of digital assets.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Cash from Financing Activities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Comparison of the Three Months Ended March 31, 2025 and 2024</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Net cash provided by financing activities was $196.0 million for the three months ended March 31, 2025, during which we borrowed $1.0 billion, gross of $0.9 billion repaid, and increased the amount outstanding to third-party loan owners by $49.9 million.</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Net cash provided by financing activities was $119.8 million for the three months ended March 31, 2024, during which we borrowed $1.0 billion, gross of $1.0 billion repaid, increased the amount outstanding to third-party loan owners by $27.9 million, and raised $52.1 million from the issuance of preferred stock.</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Comparison of the Years Ended December 31, 2024 and 2023</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Net cash provided by financing activities was $336.1 million for the year ended December 31, 2024, during which we borrowed $4.6 billion, gross of $4.4 billion repaid, increased the amount outstanding to third-party loan owners by $81.9 million, and raised $71.8 million in proceeds from the issuance of preferred stock, net of offering costs.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Net cash provided by financing activities was $65.8 million for the year ended December 31, 2023, during which we borrowed $2.8 billion, gross of $2.8 billion repaid, increased the amount outstanding to third-party loan owners by $53.0 million, and borrowed $10.0 million from a related party that we repaid in full during the period.</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Changes in Financial Position</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Noncontrolling interest was $8.4 million for the three months ended March 31, 2025, an increase of $0.1 million from the year ended December 31, 2024, primarily due to an increase in net income attributable to the noncontrolling interest.</w:t>
      </w:r>
    </w:p>
    <w:p>
      <w:pPr>
        <w:spacing w:after="0" w:line="9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Noncontrolling interest was $ 8.3 million for the year ended December 31, 2024, an increase of $2.9 million from the year ended December 31, 2023, primarily due to an increase in net income attributable to the noncontrolling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 Affecting Liquidity and Capital Resources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Lease Obligations</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operating lease obligations consist of our lease of real property from third parties under noncancellable operating leases, including the lease of its current office spaces. Operating lease expense for our office space was $0.6 million and $0.7 million for the three months ended March 31, 2025 and 2024, respectively, and $2.8 million and $2.9 million for the years ended December 31, 2024 and 2023, respectively. Our office leases are scheduled to expire between 2025 and 2026.</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Liquidity and Capital Resources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2025, our cash, cash equivalents, and restricted cash was $384.5 million, which included $234.5 million of cash held for the benefit of third parties. As of December 31, 2024, our cash, cash equivalents, and restricted cash was $345.0 million, which included $209.9 million of cash held for the benefit of third parties. The restricted cash held by us primarily relates to cash held by us on behalf of third-party loan sellers or buyers that represent collection of principal and interest from loan borrowers that we remit to those third parties as servicer of those loans.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order to better help understand our financial performance, we use several key performance metrics that should be viewed independently of GAAP items, as these metrics are not intended to be combined with those items. Our determination and presentation of these metrics may differ from that of other companies. The presentation of these metrics is meant to be considered in addition to, not as a substitute for or in isolation from, our financial measures prepared in accordance with GAAP.</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Revenue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Adjusted Net Revenue is a non-GAAP financial measure used by our management to evaluate operating performance. Accordingly, we believe this measure provides useful information to investors and others in understanding and evaluating our operating results in the same manner as our management and board of directors. In addition, Adjusted Net Revenue provides a useful measure for period-to-period comparisons of our business, as it removes the effect of a non-cash, non-realized adjustment that is included in net revenue. Adjusted Net Revenue is defined as net revenue excluding the change in fair value of MSR associated with changes in our estimates that management has determined are not reflective of our operating performance.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Adjusted EBITDA is a non-GAAP financial measure used by our management to evaluate operating performance, generate future operating plans, and make strategic decisions, including those relating to operating expenses and the allocation of internal resources. Accordingly, we believe this measure provides useful information to investors and others in understanding and evaluating our operating results in the same manner as our management and board of directors. In addition, Adjusted EBITDA provides a useful measure for period-to-period comparisons of our business, as it removes the effect of certain non-cash items, variable charges, non-recurring items, unrealized gains or losses or other similar non-cash items that are included in net income or expenses associated with the early stages of the business that are expected to ultimately terminate, pursuant to the terms of certain existing contractual arrangements or expected to continue at levels materially below the historical level, or that otherwise do not contribute directly to management’s evaluation of its operating results. Adjusted EBITDA is defined as net income excluding interest expense incurred in connection with our debt obligations other than debt associated with our funding of loans held for sale, income taxes, amortization and depreciation expense, stock-based compensation expense, non-cash changes in certain financial instruments, and other items that management has determined are not reflective of our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3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table presents a reconciliation of net revenue to Adjusted Net Revenue and net income to Adjusted EBITDA for the three months ended March 31, 2025 and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97"/>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2024</w:t>
            </w:r>
          </w:p>
        </w:tc>
      </w:tr>
      <w:tr>
        <w:trPr>
          <w:trHeight w:val="224"/>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Net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84,510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75,264</w:t>
            </w:r>
          </w:p>
        </w:tc>
      </w:tr>
      <w:tr>
        <w:trPr>
          <w:trHeight w:val="229"/>
        </w:trPr>
        <w:tc>
          <w:tcPr>
            <w:tcW w:w="79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Plus: Valuation Changes in Fair Value of MSRs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4,703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(5,292)</w:t>
            </w:r>
          </w:p>
        </w:tc>
      </w:tr>
      <w:tr>
        <w:trPr>
          <w:trHeight w:val="221"/>
        </w:trPr>
        <w:tc>
          <w:tcPr>
            <w:tcW w:w="79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Adjusted Net Revenue</w:t>
            </w:r>
          </w:p>
        </w:tc>
        <w:tc>
          <w:tcPr>
            <w:tcW w:w="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ind w:right="152"/>
              <w:spacing w:after="0" w:line="196" w:lineRule="exact"/>
              <w:rPr>
                <w:sz w:val="20"/>
                <w:szCs w:val="20"/>
                <w:color w:val="auto"/>
              </w:rPr>
            </w:pPr>
            <w:r>
              <w:rPr>
                <w:rFonts w:ascii="Arial" w:cs="Arial" w:eastAsia="Arial" w:hAnsi="Arial"/>
                <w:sz w:val="18"/>
                <w:szCs w:val="18"/>
                <w:b w:val="1"/>
                <w:bCs w:val="1"/>
                <w:color w:val="auto"/>
              </w:rPr>
              <w:t>89,213</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51"/>
              <w:spacing w:after="0" w:line="196" w:lineRule="exact"/>
              <w:rPr>
                <w:sz w:val="20"/>
                <w:szCs w:val="20"/>
                <w:color w:val="auto"/>
              </w:rPr>
            </w:pPr>
            <w:r>
              <w:rPr>
                <w:rFonts w:ascii="Arial" w:cs="Arial" w:eastAsia="Arial" w:hAnsi="Arial"/>
                <w:sz w:val="18"/>
                <w:szCs w:val="18"/>
                <w:b w:val="1"/>
                <w:bCs w:val="1"/>
                <w:color w:val="auto"/>
              </w:rPr>
              <w:t>69,972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(28,461)</w:t>
            </w:r>
          </w:p>
        </w:tc>
      </w:tr>
      <w:tr>
        <w:trPr>
          <w:trHeight w:val="229"/>
        </w:trPr>
        <w:tc>
          <w:tcPr>
            <w:tcW w:w="7960" w:type="dxa"/>
            <w:vAlign w:val="bottom"/>
          </w:tcPr>
          <w:p>
            <w:pPr>
              <w:ind w:left="80"/>
              <w:spacing w:after="0"/>
              <w:rPr>
                <w:sz w:val="20"/>
                <w:szCs w:val="20"/>
                <w:color w:val="auto"/>
              </w:rPr>
            </w:pPr>
            <w:r>
              <w:rPr>
                <w:rFonts w:ascii="Arial" w:cs="Arial" w:eastAsia="Arial" w:hAnsi="Arial"/>
                <w:sz w:val="18"/>
                <w:szCs w:val="18"/>
                <w:color w:val="auto"/>
              </w:rPr>
              <w:t>Plus: Valuation Changes in Fair Value of MSRs</w:t>
            </w:r>
          </w:p>
        </w:tc>
        <w:tc>
          <w:tcPr>
            <w:tcW w:w="220" w:type="dxa"/>
            <w:vAlign w:val="bottom"/>
          </w:tcPr>
          <w:p>
            <w:pPr>
              <w:spacing w:after="0"/>
              <w:rPr>
                <w:sz w:val="19"/>
                <w:szCs w:val="19"/>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4,703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(5,292)</w:t>
            </w:r>
          </w:p>
        </w:tc>
      </w:tr>
      <w:tr>
        <w:trPr>
          <w:trHeight w:val="230"/>
        </w:trPr>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Plus: Change in Fair Value of Digital Assets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9,962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7960" w:type="dxa"/>
            <w:vAlign w:val="bottom"/>
          </w:tcPr>
          <w:p>
            <w:pPr>
              <w:ind w:left="240"/>
              <w:spacing w:after="0"/>
              <w:rPr>
                <w:sz w:val="20"/>
                <w:szCs w:val="20"/>
                <w:color w:val="auto"/>
              </w:rPr>
            </w:pPr>
            <w:r>
              <w:rPr>
                <w:rFonts w:ascii="Arial" w:cs="Arial" w:eastAsia="Arial" w:hAnsi="Arial"/>
                <w:sz w:val="18"/>
                <w:szCs w:val="18"/>
                <w:color w:val="auto"/>
              </w:rPr>
              <w:t>Plus: Impairment of Capitalized Software</w:t>
            </w:r>
          </w:p>
        </w:tc>
        <w:tc>
          <w:tcPr>
            <w:tcW w:w="22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8,591</w:t>
            </w:r>
          </w:p>
        </w:tc>
      </w:tr>
      <w:tr>
        <w:trPr>
          <w:trHeight w:val="230"/>
        </w:trPr>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Plus: Impairment of Digital Assets</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5,850</w:t>
            </w:r>
          </w:p>
        </w:tc>
      </w:tr>
      <w:tr>
        <w:trPr>
          <w:trHeight w:val="229"/>
        </w:trPr>
        <w:tc>
          <w:tcPr>
            <w:tcW w:w="7960" w:type="dxa"/>
            <w:vAlign w:val="bottom"/>
          </w:tcPr>
          <w:p>
            <w:pPr>
              <w:ind w:left="240"/>
              <w:spacing w:after="0"/>
              <w:rPr>
                <w:sz w:val="20"/>
                <w:szCs w:val="20"/>
                <w:color w:val="auto"/>
              </w:rPr>
            </w:pPr>
            <w:r>
              <w:rPr>
                <w:rFonts w:ascii="Arial" w:cs="Arial" w:eastAsia="Arial" w:hAnsi="Arial"/>
                <w:sz w:val="18"/>
                <w:szCs w:val="18"/>
                <w:color w:val="auto"/>
              </w:rPr>
              <w:t>Plus: Other Asset Impairment Charge</w:t>
            </w:r>
          </w:p>
        </w:tc>
        <w:tc>
          <w:tcPr>
            <w:tcW w:w="22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Plus: Services Exchanged for Issuance of Warrants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2,970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81</w:t>
            </w:r>
          </w:p>
        </w:tc>
      </w:tr>
      <w:tr>
        <w:trPr>
          <w:trHeight w:val="230"/>
        </w:trPr>
        <w:tc>
          <w:tcPr>
            <w:tcW w:w="7960" w:type="dxa"/>
            <w:vAlign w:val="bottom"/>
          </w:tcPr>
          <w:p>
            <w:pPr>
              <w:ind w:left="240"/>
              <w:spacing w:after="0"/>
              <w:rPr>
                <w:sz w:val="20"/>
                <w:szCs w:val="20"/>
                <w:color w:val="auto"/>
              </w:rPr>
            </w:pPr>
            <w:r>
              <w:rPr>
                <w:rFonts w:ascii="Arial" w:cs="Arial" w:eastAsia="Arial" w:hAnsi="Arial"/>
                <w:sz w:val="18"/>
                <w:szCs w:val="18"/>
                <w:color w:val="auto"/>
              </w:rPr>
              <w:t>Plus: Expenses Incurred in YLDS Registration</w:t>
            </w:r>
          </w:p>
        </w:tc>
        <w:tc>
          <w:tcPr>
            <w:tcW w:w="220" w:type="dxa"/>
            <w:vAlign w:val="bottom"/>
          </w:tcPr>
          <w:p>
            <w:pPr>
              <w:spacing w:after="0"/>
              <w:rPr>
                <w:sz w:val="19"/>
                <w:szCs w:val="19"/>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1,519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Plus: Restructuring Costs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758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2,034</w:t>
            </w:r>
          </w:p>
        </w:tc>
      </w:tr>
      <w:tr>
        <w:trPr>
          <w:trHeight w:val="229"/>
        </w:trPr>
        <w:tc>
          <w:tcPr>
            <w:tcW w:w="7960" w:type="dxa"/>
            <w:vAlign w:val="bottom"/>
          </w:tcPr>
          <w:p>
            <w:pPr>
              <w:ind w:left="240"/>
              <w:spacing w:after="0"/>
              <w:rPr>
                <w:sz w:val="20"/>
                <w:szCs w:val="20"/>
                <w:color w:val="auto"/>
              </w:rPr>
            </w:pPr>
            <w:r>
              <w:rPr>
                <w:rFonts w:ascii="Arial" w:cs="Arial" w:eastAsia="Arial" w:hAnsi="Arial"/>
                <w:sz w:val="18"/>
                <w:szCs w:val="18"/>
                <w:color w:val="auto"/>
              </w:rPr>
              <w:t>Plus: Stock-Based Compensation Expense</w:t>
            </w:r>
          </w:p>
        </w:tc>
        <w:tc>
          <w:tcPr>
            <w:tcW w:w="220" w:type="dxa"/>
            <w:vAlign w:val="bottom"/>
          </w:tcPr>
          <w:p>
            <w:pPr>
              <w:spacing w:after="0"/>
              <w:rPr>
                <w:sz w:val="19"/>
                <w:szCs w:val="19"/>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2,411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23,209</w:t>
            </w:r>
          </w:p>
        </w:tc>
      </w:tr>
      <w:tr>
        <w:trPr>
          <w:trHeight w:val="230"/>
        </w:trPr>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Plus: Amortization of Internally Developed Software Costs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3,917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5,095</w:t>
            </w:r>
          </w:p>
        </w:tc>
      </w:tr>
      <w:tr>
        <w:trPr>
          <w:trHeight w:val="229"/>
        </w:trPr>
        <w:tc>
          <w:tcPr>
            <w:tcW w:w="7960" w:type="dxa"/>
            <w:vAlign w:val="bottom"/>
          </w:tcPr>
          <w:p>
            <w:pPr>
              <w:ind w:left="240"/>
              <w:spacing w:after="0"/>
              <w:rPr>
                <w:sz w:val="20"/>
                <w:szCs w:val="20"/>
                <w:color w:val="auto"/>
              </w:rPr>
            </w:pPr>
            <w:r>
              <w:rPr>
                <w:rFonts w:ascii="Arial" w:cs="Arial" w:eastAsia="Arial" w:hAnsi="Arial"/>
                <w:sz w:val="18"/>
                <w:szCs w:val="18"/>
                <w:color w:val="auto"/>
              </w:rPr>
              <w:t>Plus: Non-Funding Interest Expense</w:t>
            </w:r>
          </w:p>
        </w:tc>
        <w:tc>
          <w:tcPr>
            <w:tcW w:w="220" w:type="dxa"/>
            <w:vAlign w:val="bottom"/>
          </w:tcPr>
          <w:p>
            <w:pPr>
              <w:spacing w:after="0"/>
              <w:rPr>
                <w:sz w:val="19"/>
                <w:szCs w:val="19"/>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3,732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439</w:t>
            </w:r>
          </w:p>
        </w:tc>
      </w:tr>
      <w:tr>
        <w:trPr>
          <w:trHeight w:val="230"/>
        </w:trPr>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Plus: Income Tax Provision</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1,230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(24)</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30,589</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11,522</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3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following table presents a reconciliation of net revenue to Adjusted Net Revenue and net income to Adjusted EBITDA for the years ended December 31, 2024 and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97"/>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Net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340,885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209,549</w:t>
            </w:r>
          </w:p>
        </w:tc>
        <w:tc>
          <w:tcPr>
            <w:tcW w:w="0" w:type="dxa"/>
            <w:vAlign w:val="bottom"/>
          </w:tcPr>
          <w:p>
            <w:pPr>
              <w:spacing w:after="0"/>
              <w:rPr>
                <w:sz w:val="1"/>
                <w:szCs w:val="1"/>
                <w:color w:val="auto"/>
              </w:rPr>
            </w:pPr>
          </w:p>
        </w:tc>
      </w:tr>
      <w:tr>
        <w:trPr>
          <w:trHeight w:val="229"/>
        </w:trPr>
        <w:tc>
          <w:tcPr>
            <w:tcW w:w="79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Plus: Valuation Changes in Fair Value of MSRs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(1,703)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21"/>
        </w:trPr>
        <w:tc>
          <w:tcPr>
            <w:tcW w:w="79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Adjusted Net Revenue</w:t>
            </w: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152"/>
              <w:spacing w:after="0" w:line="196" w:lineRule="exact"/>
              <w:rPr>
                <w:sz w:val="20"/>
                <w:szCs w:val="20"/>
                <w:color w:val="auto"/>
              </w:rPr>
            </w:pPr>
            <w:r>
              <w:rPr>
                <w:rFonts w:ascii="Arial" w:cs="Arial" w:eastAsia="Arial" w:hAnsi="Arial"/>
                <w:sz w:val="18"/>
                <w:szCs w:val="18"/>
                <w:b w:val="1"/>
                <w:bCs w:val="1"/>
                <w:color w:val="auto"/>
              </w:rPr>
              <w:t>339,182</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51"/>
              <w:spacing w:after="0" w:line="196" w:lineRule="exact"/>
              <w:rPr>
                <w:sz w:val="20"/>
                <w:szCs w:val="20"/>
                <w:color w:val="auto"/>
              </w:rPr>
            </w:pPr>
            <w:r>
              <w:rPr>
                <w:rFonts w:ascii="Arial" w:cs="Arial" w:eastAsia="Arial" w:hAnsi="Arial"/>
                <w:sz w:val="18"/>
                <w:szCs w:val="18"/>
                <w:b w:val="1"/>
                <w:bCs w:val="1"/>
                <w:color w:val="auto"/>
              </w:rPr>
              <w:t>214,168</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19,915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(52,443)</w:t>
            </w:r>
          </w:p>
        </w:tc>
        <w:tc>
          <w:tcPr>
            <w:tcW w:w="0" w:type="dxa"/>
            <w:vAlign w:val="bottom"/>
          </w:tcPr>
          <w:p>
            <w:pPr>
              <w:spacing w:after="0"/>
              <w:rPr>
                <w:sz w:val="1"/>
                <w:szCs w:val="1"/>
                <w:color w:val="auto"/>
              </w:rPr>
            </w:pPr>
          </w:p>
        </w:tc>
      </w:tr>
      <w:tr>
        <w:trPr>
          <w:trHeight w:val="229"/>
        </w:trPr>
        <w:tc>
          <w:tcPr>
            <w:tcW w:w="7960" w:type="dxa"/>
            <w:vAlign w:val="bottom"/>
          </w:tcPr>
          <w:p>
            <w:pPr>
              <w:ind w:left="240"/>
              <w:spacing w:after="0"/>
              <w:rPr>
                <w:sz w:val="20"/>
                <w:szCs w:val="20"/>
                <w:color w:val="auto"/>
              </w:rPr>
            </w:pPr>
            <w:r>
              <w:rPr>
                <w:rFonts w:ascii="Arial" w:cs="Arial" w:eastAsia="Arial" w:hAnsi="Arial"/>
                <w:sz w:val="18"/>
                <w:szCs w:val="18"/>
                <w:color w:val="auto"/>
              </w:rPr>
              <w:t>Plus: Valuation Changes in Fair Value of MSRs</w:t>
            </w:r>
          </w:p>
        </w:tc>
        <w:tc>
          <w:tcPr>
            <w:tcW w:w="280" w:type="dxa"/>
            <w:vAlign w:val="bottom"/>
          </w:tcPr>
          <w:p>
            <w:pPr>
              <w:spacing w:after="0"/>
              <w:rPr>
                <w:sz w:val="19"/>
                <w:szCs w:val="19"/>
                <w:color w:val="auto"/>
              </w:rPr>
            </w:pP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(1,703)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Plus: Change in Fair Value of Digital Assets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(10,674)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60" w:type="dxa"/>
            <w:vAlign w:val="bottom"/>
          </w:tcPr>
          <w:p>
            <w:pPr>
              <w:ind w:left="240"/>
              <w:spacing w:after="0"/>
              <w:rPr>
                <w:sz w:val="20"/>
                <w:szCs w:val="20"/>
                <w:color w:val="auto"/>
              </w:rPr>
            </w:pPr>
            <w:r>
              <w:rPr>
                <w:rFonts w:ascii="Arial" w:cs="Arial" w:eastAsia="Arial" w:hAnsi="Arial"/>
                <w:sz w:val="18"/>
                <w:szCs w:val="18"/>
                <w:color w:val="auto"/>
              </w:rPr>
              <w:t>Plus: Impairment of Capitalized Software</w:t>
            </w:r>
          </w:p>
        </w:tc>
        <w:tc>
          <w:tcPr>
            <w:tcW w:w="28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8,591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Plus: Impairment of Digital Assets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5,859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60" w:type="dxa"/>
            <w:vAlign w:val="bottom"/>
          </w:tcPr>
          <w:p>
            <w:pPr>
              <w:ind w:left="240"/>
              <w:spacing w:after="0"/>
              <w:rPr>
                <w:sz w:val="20"/>
                <w:szCs w:val="20"/>
                <w:color w:val="auto"/>
              </w:rPr>
            </w:pPr>
            <w:r>
              <w:rPr>
                <w:rFonts w:ascii="Arial" w:cs="Arial" w:eastAsia="Arial" w:hAnsi="Arial"/>
                <w:sz w:val="18"/>
                <w:szCs w:val="18"/>
                <w:color w:val="auto"/>
              </w:rPr>
              <w:t>Plus: Other Asset Impairment Charge</w:t>
            </w:r>
          </w:p>
        </w:tc>
        <w:tc>
          <w:tcPr>
            <w:tcW w:w="28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4,970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Plus: Services Exchanged for Issuance of Warrants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6,584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60" w:type="dxa"/>
            <w:vAlign w:val="bottom"/>
          </w:tcPr>
          <w:p>
            <w:pPr>
              <w:ind w:left="240"/>
              <w:spacing w:after="0"/>
              <w:rPr>
                <w:sz w:val="20"/>
                <w:szCs w:val="20"/>
                <w:color w:val="auto"/>
              </w:rPr>
            </w:pPr>
            <w:r>
              <w:rPr>
                <w:rFonts w:ascii="Arial" w:cs="Arial" w:eastAsia="Arial" w:hAnsi="Arial"/>
                <w:sz w:val="18"/>
                <w:szCs w:val="18"/>
                <w:color w:val="auto"/>
              </w:rPr>
              <w:t>Plus: Restructuring Costs</w:t>
            </w:r>
          </w:p>
        </w:tc>
        <w:tc>
          <w:tcPr>
            <w:tcW w:w="28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2,498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Plus: Stock-Based Compensation Expense</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38,726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13,450</w:t>
            </w:r>
          </w:p>
        </w:tc>
        <w:tc>
          <w:tcPr>
            <w:tcW w:w="0" w:type="dxa"/>
            <w:vAlign w:val="bottom"/>
          </w:tcPr>
          <w:p>
            <w:pPr>
              <w:spacing w:after="0"/>
              <w:rPr>
                <w:sz w:val="1"/>
                <w:szCs w:val="1"/>
                <w:color w:val="auto"/>
              </w:rPr>
            </w:pPr>
          </w:p>
        </w:tc>
      </w:tr>
      <w:tr>
        <w:trPr>
          <w:trHeight w:val="230"/>
        </w:trPr>
        <w:tc>
          <w:tcPr>
            <w:tcW w:w="7960" w:type="dxa"/>
            <w:vAlign w:val="bottom"/>
          </w:tcPr>
          <w:p>
            <w:pPr>
              <w:ind w:left="240"/>
              <w:spacing w:after="0"/>
              <w:rPr>
                <w:sz w:val="20"/>
                <w:szCs w:val="20"/>
                <w:color w:val="auto"/>
              </w:rPr>
            </w:pPr>
            <w:r>
              <w:rPr>
                <w:rFonts w:ascii="Arial" w:cs="Arial" w:eastAsia="Arial" w:hAnsi="Arial"/>
                <w:sz w:val="18"/>
                <w:szCs w:val="18"/>
                <w:color w:val="auto"/>
              </w:rPr>
              <w:t>Plus: Amortization of Internally Developed Software Costs</w:t>
            </w:r>
          </w:p>
        </w:tc>
        <w:tc>
          <w:tcPr>
            <w:tcW w:w="28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17,113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19,384</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Plus: Non-Funding Interest Expense</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7,387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9"/>
        </w:trPr>
        <w:tc>
          <w:tcPr>
            <w:tcW w:w="79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Plus: Income Tax Provision</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2,177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101,443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(12,370)</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29.9 %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combined financial statements and the related notes included elsewhere in this prospectus are prepared in accordance with GAAP. The preparation of combined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operating results, and cash flows will be affected.</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believe that the accounting policies described below involve a significant degree of judgment and complexity. Accordingly, we believe these are the most critical to aid in fully understanding and evaluating our consolidated financial condition and results of operations. For more information, see Note 2 to our combined, consolidated financial statements included elsewhere in this prospectus.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Valuation of Loans, Securities, and Servicing Assets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Details of our processes for determining fair value are set out in Note 2 of our combined, consolidated financial statements included elsewhere in this prospectus. Estimating fair value requires the application of significant judgment. The type and level of judgment required is largely dependent on the amount of observable market information available to us. Assets and liabilities valued using internally developed valuation models and other valuation techniques that use significant unobservable inputs are classified at level 3, the lowest level in the fair value hierarchy defined under GAAP, and judgments used to estimate fair value of those assets and liabilities are more significant than those required when estimating the fair value of assets and liabilities classified within levels 1 and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3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arriving at an estimate of fair value for an asset or liability within level 3, we must first determine the appropriate valuation model or other valuation technique to use. Second, the lack of observability of certain significant inputs requires us to assess relevant empirical data in deriving valuation inputs including, for example, prepayment speeds, default rates, loss severities, discount rates, and valuations of comparable assets and liabilities. The methods used to estimate fair value may not result in an amount that is indicative of net realizable value or reflective of future fair values. Changes in market conditions, as well as changes in the assumptions or methodology used to determine fair value, could result in a significant increase or decrease in fair value.</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Refer to Note 2 of our combined, consolidated financial statements for a further discussion of the valuation of level 3 instruments, including unobservable inputs used, and Note 11 of our combined, consolidated financial statements for quantification of the significant inputs used to value level 3 assets and liabilities, as well as sensitivities of their effects on fair value.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recognize interest income on certain assets, including certain interests retained in securitizations, using the prospective effective yield method in accordance with GAAP. This method requires we estimate the future expected cash flows over the life of the asset and to compute an effective yield that amortizes any purchase discount or premium into interest income over the expected term. Estimating future cash flows involves significant judgment and is inherently uncertain, including assumptions of prepayment rates, default rates, loss severity, and timing of cash flows, all of which can be influenced by changes in economic conditions, interest rates, and borrower behavior. We regularly review and, if necessary, update our cash flow projections to reflect changes in these assumptions. When such updates occur, we adjust the effective yield prospectively, which affects the amount of interest income recognized in future periods. Changes in our estimates of future cash flows can have a material impact on our financial results. For example, an increase in expected prepayment speeds would generally accelerate the recognition of any purchase discount into interest income, while an increase in expected credit losses would reduce the expected cash flows and thus lower the effective yield, decreasing interest income in future periods.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Internally Developed Software</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capitalize software development costs based on the intended use of the software. Costs for software developed for external-use are expensed during the research and development phase until technological feasibility has been established, which requires judgement and is typically when all high-risk development issues have been resolved through coding and testing, which generally occurs shortly before release to production. After that point, qualifying costs are capitalized until the product is ready for its intended use and amortized to cost of revenue over the estimated useful life, which estimate is subjective and dependent upon our expectations regarding the continued use of the software for its intended purpose. For internal-use software, costs are capitalized during the application development stage and expensed during preliminary project and post-implementation phases. Once the software is ready for use, capitalized costs are amortized on a straight-line basis over the estimated useful life and presented within technology and product development expenses. Capitalized software costs are evaluated for impairment at least quarterly or sooner if indicators of impairment arise.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Estimates of Our Equity Value</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equity has not historically traded on active markets and the value of our equity relies upon significant judgement and estimates based on unobservable inputs. We estimate the fair value of our equity, with assistance from independent third-party valuation consultants, as determined in accordance with the guidelines outlined by the American Institute of Certified Public Accountants. The valuation of our equity involves estimates based on (a) the expectation of future cash flows that we will generate, discounted to the present using a rate based on rates of return available from alternative investments of similar type, quality, and risk and (b) application of a valuation multiple derived from a comparison of us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publicly traded comparable entities’ valuation (as adjusted for observable differences in growth, profitability, risk, and operations).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grant equity-based compensation awards that vest contingent upon time-based service and/ or performance conditions based upon a qualifying sale of our equity or achieving certain contractual thresholds. We generally expense the grant-date fair value of these equity-based compensation awards over the required service period, but not before we deem applicable performance conditions probable.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subject to income taxes in the United States. The evaluation of our uncertain tax positions involves significant judgment in the interpretation and application of GAAP and complex laws, including the realizable portions of our net operating loss deductions and research and development tax credits. Although we believe our reserves are reasonable, no assurance can be given that the final outcome of these uncertainties will not be different from that which is reflected in our reserves. Reserves are adjusted considering changing facts and circumstances, such as the closing of a tax examination. Resolution of these uncertainties in a manner inconsistent with our expectations could have a material impact on our financial condition and operating results.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determination of whether or not to consolidate a VIE under GAAP requires a significant amount of judgment concerning the degree of control over an entity by its holders of variable interests. To make these judgments, we conduct an analysis, on a case-by-case basis, of whether we are the primary beneficiary, the party who has the power to direct the activities of a VIE that most significantly impact its economic performance and who has the obligation to absorb losses or the right to receive benefits from the VIE that could potentially be significant to the VIE, and are therefore required to consolidate the entity. Management continually reconsiders whether we should consolidate a variable interest entity. Upon the occurrence of certain events, management will reconsider its conclusion regarding the status of an entity as a variable interest entity.</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and Other Contingencies</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an “emerging growth company,” the JOBS Act allows us to delay adoption of new or revised accounting pronouncements applicable to public companies until such pronouncements are made applicable to private companies. We have elected to use this extended transition period under the JOBS Act.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See Note 2 to our combined, consolidated financial statements included elsewhere in this prospectus for recently adopted accounting pronouncements and recently issued accounting pronouncements not yet adopted as of the dates of the statement of financial position included in this prospectus.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Market risk is the exposure to loss resulting from changes in interest rates, credit spreads, foreign currency exchange rates, commodity prices, equity prices, and other market-based risks. The primary market risks that we are exposed to are interest rate risk, prepayment speed risk, credit spread risk and credit risk through loans and securities held on our consolidated balance sheets, access to the securitization markets, investor demand for loans facilitated through our platform, and availability of funding under our current credit facilities. These risks are highly sensitive to many factors, including governmental monetary and tax policies, domestic and international economic and political considerations and other factors beyond our control. All of our market risk sensitive assets, liabilities and derivative positions are for non-trading purposes only. Our inability or failure to manage market risks could harm our business, financial condition, or results of operations. For a further understanding of how market risk may affect our financial position or results of operations, please refer to “—Critical Accounting Policies and Estimates.”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Credit risk refers to the risk of loss arising from individual customer default due to inability or unwillingness to meet their financial obligations during the period that we own the loans. The performance of certain financial instruments, including loans, on our combined, consolidated balance sheets are dependent on the credit performance of loans facilitated by us. To manage this risk, we use software technology to actively monitor customer payment performance and upon delinquency or signs of a delinquency, troubleshoot payment issues and engage in customer communication to encourage timely payments. We actively monitor the payments made by borrowers on our loans, and via third-party data we also monitor the payment and delinquency activity of loans in the first-lien position on the properties for which our loans are in the second- or third-lien position. We also monitor the balances of the loans in the first-lien position to determine the amount of equity available in the home, which impacts our credit risk management strategy. Many of our origination partners have their loans serviced by us, and therefore these loans benefit from the same credit risk monitoring technology and procedures.</w:t>
      </w:r>
    </w:p>
    <w:p>
      <w:pPr>
        <w:spacing w:after="0" w:line="12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fair values of these loans are estimated based on a discounted cash flow model which involves the use of significant unobservable inputs and assumptions. These instruments are sensitive to changes in credit risk.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Changes in interest rates, including changes in expected interest rates, affect (a) our net interest income, which is the difference between the interest income earned on assets and the interest expense incurred in connection with our debt obligations, and (b) the price of our investments and loans as impacted by yields required by the marketplace participants on interest rate instruments. Interest rates are highly sensitive to many factors, including fiscal and monetary policies and domestic and international economic and political considerations, as well as other factors beyond our control.</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interest rates charged on the loans that we and our partners originate are determined based upon a margin above a market benchmark at the time of onboarding. Increases in the market benchmark would result in increases in the interest rates on new loans. Increased interest rates may adversely impact the spending levels of our individual customers and their ability and willingness to borrow money. Higher interest rates lead to higher payment obligations, which may reduce the ability of individual customers to remain current on their obligations and, therefore, lead to increased delinquencies, defaults,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customer bankruptcies and charge-offs, and decreasing recoveries, all of which could have a material adverse effect on our business.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subject to margin calls on our repurchase agreements, and changes in interest rates may impact our cost of borrowing. Future funding activities under the revolving credit facilities may increase our exposure to interest rate risk, as the interest rates payable on such funding are tied to short-term market rates. Furthermore, we may, from time to time, be a party to derivative agreements or financing arrangements that are subject to margin calls based on the value of such instruments. We seek to maintain adequate cash reserves and other sources of available liquidity to meet any margin calls resulting from decreases in value related to, in management's opinion, a reasonably possible change in interest rates.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Crypto Risk</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Volatility in digital assets could significantly impact our business. Negative market sentiment towards digital assets could decrease demand for our products and services, including the utilization of Figure Exchange, and impact our revenue. Changes in regulations regarding crypto and digital assets could cause us to modify our business practices or cease offering certain services leading to increased costs or loss of revenue. Security breaches or technological vulnerabilities in the underlying blockchain networks could erode customer trust and negatively impact our reputation and business operations in the event of potential loss of digital assets due to hacking, theft or loss of private keys. Fluctuations in the liquidity of digital assets could affect our ability to execute transactions and manage our holdings effectively, potentially leading to financial losses.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may not be able to timely trade our servicing assets, retained interests in securitized loans, and certain digital assets restricted from sale as they are not generally traded on public, liquid markets and may be subject to legal and other restrictions on resale and/ or otherwise less liquid than publicly-traded securities. The illiquidity of our assets may make it difficult for us to sell such assets if the need or desire arises, including in response to changes in economic and other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Figure is building the future of capital markets using blockchain-based technology.</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Figure’s proprietary technology powers next-generation lending, trading and investing activities in areas such as consumer credit and digital assets. Our application of the blockchain ledger allows us to better serve our end-customers, improve speed and efficiency, and enhance standardization and liquidity. Using our technology, we continue to develop dynamic, vertically-integrated marketplaces across the approximately $2 trillion consumer credit market and the rapidly growing approximately $3 trillion cryptocurrency and digital asset market. As a result, Figure has grown quickly and profitably, with net loss of $1 million and Adjusted EBITDA of $ 31 million, for the three months ended March 31, 2025, and accumulated deficit of $322 million and total stockholders’ equity of $369 million, as of March 31, 2025, and net income of $20 million and Adjusted EBITDA of $101 million, for the year ended December 31, 2024, and accumulated deficit of $321 million and total stockholders’ equity of $363 million, as of December 31, 2024.</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infrastructure supporting capital markets today is fragmented and operates on legacy systems which employ antiquated processes for loan approvals and transaction processing. This creates process and cost inefficiencies in serving consumer credit markets and limits the development of alternative marketplaces. Furthermore, the manual elements underpinning the records of ownership and transfer of financial and real assets constrain liquidity, maintain elevated costs, and are error-prone.</w:t>
      </w:r>
    </w:p>
    <w:p>
      <w:pPr>
        <w:spacing w:after="0" w:line="12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Figure aims to address these challenges by using blockchain-based technology to innovate beyond legacy processes. We built a transformative, scaled and fast growing technology platform that displaces trust with truth in the financial ecosystem. Our platform also supports legacy systems, and our goal is to shift customer adoption towards blockchain-based solutions. Furthermore, our technology significantly reduces complexity and increases speed for market participants across the application, underwriting, funding and subsequent capital markets processes. Using our LOS, the time it takes to fund a home equity loan from application has been reduced to a median of 11 days from an industry median of approximately 42 days (based on data from industry sources) as of March 31, 2025. In comparison, for asset classes outside of mortgages, such as personal loans, there are many loan originators that utilize digitized, fast and automated processes that can fund as fast as same-day or often in as little as three to five days. Additionally, the average production cost per loan was reduced to approximately $730 for the year ended December 31, 2024 from a mortgage industry average of $11,230 for the quarter ended December 31, 2024, according to the MBA. This is a result of our entirely automated application process that takes as little as five minutes to complete and as few as five days to fund. Our platform automates income verification and offers customers the ability to redraw without incurring closing or out-of-pocket costs. Additionally, our platform employs an automatic valuation model, replacing the traditional, time-consuming appraisal process, and utilizes a digital lien matching process instead of the traditional analog title search. It also facilitates remote closings, including remote notaries, in jurisdictions where permitted by applicable laws. Importantly, we offer a liquid capital market for loans in connection with this low cost, automated and blockchain-based origination engine.</w:t>
      </w:r>
    </w:p>
    <w:p>
      <w:pPr>
        <w:spacing w:after="0" w:line="1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technology enables the immutable recording of all assets and their key information on Provenance Blockchain. Provenance Blockchain, an independent Layer 1 blockchain, provides the scale, security, speed and cost structure to facilitate activity across the broad financial services landscape as a record of truth for assets. Using loans as an example, this authenticity record provides a validation mechanism to support the traditional, off-chain processes we use for tracking and monitoring loan transactions. This record provides verified information regarding the chain of ownership for all of the loans originated on our platform. Adoption of our technology has scaled significantly with every asset passing through Figure’s system being recorded on Provenance Blockchain and accumulating over $ 50 billion in both real-world and digital asset transactions from our launch in late 2018 to March 31, 2025. According to data from RWA.xyz, our real-world assets total value locked is approximately $10 billion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June 1, 2025 and our share of tokenized private credit is approximately 75% based on the value of outstanding loans originated as of June 18, 2025. Further, 71% of loans originated through our LOS, which include loans originated by Figure as well as by our partners, for the quarter ended March 31, 2025 utilized our DART platform, our lien and eNote registry that is built on Provenance Blockchain, compared to only 2% of loan originations for the year ended December 31, 2024. Loans originated by our partners utilizing DART accounted for 65% of Partner-branded loans and 49% of all loans originated by our LOS (including wholesale (brokered) transactions) for the three months ended March 31, 2025. We pay a minimal amount in the form of HASH for our use of the Provenance Blockchain. HASH is the utility token of the Provenance Blockchain and therefore gas fees (usage fees) are paid in HASH. A small amount of HASH is required to complete each transaction, and we pay these fees on behalf of all participants for any activity they complete with our assets. The average gas fee has been less than one HASH since 2018, which is equivalent to approximately $0.026.</w:t>
      </w:r>
    </w:p>
    <w:p>
      <w:pPr>
        <w:spacing w:after="0" w:line="12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Provenance Blockchain is a public Layer 1 blockchain that is the underlying infrastructure for our solutions such as DART, YLDS, Figure Exchange, and Democratized Prime. HASH is the utility token used for gas fees to effect transactions and staking on the Provenance Blockchain. The Provenance Blockchain uses a proof of stake consensus mechanism using CometBFT, the maximum blocksize is 0.5 gigabytes, and the transaction speed is approximately 3.4 seconds per block. The validator network is typical of any proof-of-stake network, where validator nodes are responsible for verifying and adding new transactions to the blockchain. Validators ensure network security and consensus by confirming transactions, earning HASH rewards for good behavior and potentially losing their stake for malicious behavior. HASH is currently not minted nor burned. All of our products use the Provenance Blockchain through application programming interfaces.</w:t>
      </w:r>
    </w:p>
    <w:p>
      <w:pPr>
        <w:spacing w:after="0" w:line="12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with many blockchain foundations, the Provenance Foundation coordinates governance, advocacy, and development for the core Provenance Blockchain. The Provenance Foundation’s responsibilities include but are not limited to: network oversight, technical management (protocol upgrades and enhancements) and ecosystem development (expanding use cases, incentives for new users, and technology and business partnerships).</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began addressing the consumer credit market in 2018 with our Figure-branded product, which catered to direct-to-consumer home equity loans. We then expanded further through Partner-branded strategies, in which a growing number of partners use our technology to independently originate home equity loans. For the quarter ended March 31, 2025, we facilitated over $1 billion of home equity lending, representing an increase of 14% compared to the quarter ended March 31, 2024. For the year ended December 31, 2024, we facilitated approximately $5 billion of home equity lending, representing an increase of 51% compared to the year ended December 31, 2023, and a compound annual growth rate of 83% since March 31, 2021. As of March 31, 2025 we had 144 active partners.</w:t>
      </w:r>
    </w:p>
    <w:p>
      <w:pPr>
        <w:spacing w:after="0" w:line="12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relationship with our partners is based on our partners’ right to use our solutions. Once a partner is approved and onboarded, the partner enters into a contractual agreement with us for the right to use our LOS and Figure Connect marketplace in exchange for fees. These agreements typically have a fixed term with auto-renewals unless notice is given to terminate, are non-exclusive and do not obligate our partners to use our solutions.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earn percentage fees from our partners as part of our revenue model. For partners utilizing Figure Connect, we receive a percentage fee on the Consumer Loan Marketplace, based on the loan origination volume and the volume associated with facilitating loan sales. Similarly, for partners not using Figure Connect, we earn a percentage fee on the Consumer Loan Marketplace, also based on loan origination volume and the volume for facilitating loan sales. Additionally, for partners engaged on Democratized Prime, we earn a percentage fee based on the asset balance.</w:t>
      </w:r>
    </w:p>
    <w:p>
      <w:pPr>
        <w:spacing w:after="0" w:line="1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June 2024, we launched Figure Connect, an electronic marketplace that employs blockchain technology, to directly connect sellers and buyers of loans. During the short period of 10 months from launch in June 2024 to March 2025, approximately $260 million in HELOC volume was transacted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Figure Connect by third parties and 23 total marketplace participants (across loan originators, buyers and investors) were onboarded as of March 31, 2025.</w:t>
      </w:r>
    </w:p>
    <w:p>
      <w:pPr>
        <w:spacing w:after="0" w:line="9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With our technology applicable to the broader capital markets, we are expanding beyond our foundational solutions by developing trading and investing products. One example is Figure Exchange, a digital asset marketplace that provides customers advantages for crypto-trading, such as cross-asset collateralization for margin lending. Another example is YLDS, a groundbreaking interest-bearing peer-to-peer transferable stablecoin that is both native to a public blockchain and a security registered with the SEC. YLDS has many use cases resulting from its status as a security, including yielding collateral for institutions, cross-border payments and serving as the de-facto currency of Figure Exchange. For the three months ended March 31, 2025, we did not generate revenue from Figure Exchange and revenue generated from YLDS was less than $1 thousand.</w:t>
      </w:r>
    </w:p>
    <w:p>
      <w:pPr>
        <w:spacing w:after="0" w:line="12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believe that we have established a regulatory and licensing apparatus which sets us apart from our competitors and enables us to continue expanding our diverse product offering. We currently have more than 180 lending and servicing licenses, 48 money transmitter licenses, and are an SEC-registered broker-dealer with authority to operate an ATS, which operations are conducted in accordance with SEC and FINRA rules and regulations.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generate revenue from the volume transacted on our marketplaces and through the use of our proprietary technology. We earn volume-based fees from partners and users who utilize our technology solutions to transact in our ecosystem. Within this usage-based model, we target positive unit economics in each of our solutions. In addition to our growing stream of ecosystem and technology fees, we also earn origination, gain on sale, and servicing revenue from assets generated through our LOS. During the three months ended March 31, 2025, HELOCs comprised over 99% of our total loan originations.</w:t>
      </w:r>
    </w:p>
    <w:p>
      <w:pPr>
        <w:spacing w:after="0" w:line="1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For the year ended December 31, 2024, approximately 82% of our total net revenue was generated from origination fees, gain on sale of loans, servicing fees and interest income from assets generated through our LOS from both Figure and our network of partners. For the three months ended March 31, 2025, this represented approximately 81% of total net revenue, as revenue from Figure Connect and other new products grew faster than the solely LOS-driven revenue sources.</w:t>
      </w:r>
    </w:p>
    <w:p>
      <w:pPr>
        <w:spacing w:after="0" w:line="12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grown quickly in a capital-efficient manner since our founding, and more recently have achieved strong and growing profitability. For the three months ended March 31, 2025 and 2024, we generated net revenue of $ 85 million and $75 million, respectively, Adjusted Net Revenue of $89 million and $ 70 million, respectively, net loss of $ 1 million and net loss of $28 million, respectively, and Adjusted EBITDA of $31 million and $12 million, respectively, and as of March 31, 2025 and 2024, accumulated deficit of $322 million and $368 million, respectively, and total stockholders’ equity of $369 million and $272 million, respectively. For the years ended December 31, 2024 and 2023, we generated net revenue of $341 million and $210 million, respectively, Adjusted Net Revenue of $339 million and $214 million, respectively, net income of $20 million and net loss of $52 million, respectively, and Adjusted EBITDA of $101 million and $(12) million, respectively, and as of December 31, 2024 and 2023, accumulated deficit of $321 million and $338 million, respectively, and total stockholders’ equity of $363 million and $222 million, respectively. See the section titled “Management’s Discussion and Analysis of Financial Condition and Results of Operations—Non-GAAP Financial Measures” for information regarding our use of Adjusted Net Revenue and Adjusted EBITDA and a reconciliation of such non-GAAP financial measures to certain directly comparable financial measures calculated in accordance with GAAP.</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Industry Dynamics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There is a need for a vertically integrated capital markets infrastructure platform that provides one-stop digital technology solutions from asset origination to asset exchange. The industry currently operates via disparate, legacy approaches to consumer credit asset origination and funding and trading of those assets. These approaches are manual, time-consuming, expensive, error-prone and are unable to fully access market funding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Friction in Access and Extension of Consumer Credit, with Challenging and Antiquated Funding Markets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There is significant friction in the process of accessing and extending consumer credit, which ultimately impacts even the highest quality borrowers. The vast majority of consumer credit today is extended by financial institutions that rely on manual, difficult-to-navigate processes burdened by dated technology.</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Loan application processes that involve excessive paperwork, physical appraisals, expensive title processes and manual income verification result in slow timelines to approval and funding. For example, home equity loans can take approximately 42 days to complete, driving incremental costs for borrowers, according to industry sources.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Similarly, the legacy asset transfer process is paper-intensive, presents several burdens associated with manual assignments and document management, and relies heavily upon conventional loan-tracking databases, which are error-prone. Digitizing this process increases safeguards, provides greater transparency, and improves efficiency.</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in order to access off-balance sheet sources of funding today, originators seek institutional funding partners bilaterally and one-by-one. Often due to the lack of information transparency around assets and funding sources, the liquidity potential to facilitate incremental asset origination growth has not been fully unlocked. As an example, and based on data from industry sources, while the quantum of private credit capital raised globally grew by a compound annual growth rate of approximately 14% over the five-year period ended December 31, 2023 to reach over $ 1 trillion, and is estimated to reach $ 3 trillion by 2028, access to private credit remains challenging for originators. Similarly, investors struggle to obtain expeditious and consistent access to reliable, quality assets.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Limited Real-World Success of Blockchain Technology</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There are limited examples of real-world success using blockchain technology. We believe that on-chain digital real-world assets continue to represent a greenfield of opportunity of significant scale. According to data from RWA.xyz and other industry sources as of April 2025, less than 1% of real-world assets are currently on blockchain. Using a blockchain-native ecosystem would reduce costs, improve liquidity and expand access to capital.</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Additionally, there is a scarcity of interest-bearing stablecoins. Stablecoins offer a digitally native way to hold fiat value on-chain. They are designed to maintain a stable value, typically $1.00 per token, and are generally backed by bank deposits or government securities such as U.S. Treasury bonds held in trust by the stablecoin issuer. However, unlike a bank account, money market account, U.S. Treasury bonds, or corporate debt, most stablecoins do not pay their holder any yield. As of March 31, 2025, only 2% of the $240 billion of stablecoins in circulation yielded interest, according to CoinGecko. Paying any type of yield could cause a stablecoin to be subject to securities laws, including being required to be registered as a security. Figure has created YLDS to solve this by designing a digitally native blockchain-based stablecoin that is registered as a security with the SEC and offers a yield to token holders, which we believe should result in an uptick in adoption as compared to non-yielding stablecoins.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Figure has built a vertically integrated suite of blockchain-based solutions that powers our marketplaces, including lending, trading, and investing activities in areas such as consumer credit and digital assets. Our solutions produce greater efficiency and liquidity across asset classes and markets. Provenance Blockchain is the sole system of record for our major solutions across DART, Figure Connect, YLDS and, except for all personally identifiable information of the borrower, our LOS.</w:t>
      </w:r>
    </w:p>
    <w:p>
      <w:pPr>
        <w:spacing w:after="0" w:line="12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vision is to create a one-stop, vertically integrated capital markets trading platform for consumer assets. As a first step, we developed a next-generation, proprietary LOS that drives fast, transparent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homogeneous loan origination. We have since paired this LOS with a loan distribution marketplace, Figure Connect, to enable access to a broad and growing pool of capital markets partners. Additionally, we created DART, our registry technology built on Provenance Blockchain, to provide certainty and transparency in asset ownership.</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foundation for our differentiated infrastructure has been in the HELOC market. We entered the market through our own Figure-branded strategy, which we utilize to originate loans directly to borrowers, and have subsequently developed a Partner-branded strategy through which mortgage originators, servicers, banks, wholesale brokers, and credit unions can use our technology to originate and distribute their own loans. We facilitated approximately $5 billion in loans in 2024, up 50% from 2023, accumulating more than $ 14 billion in cumulative originations since the product was launched in late 2018 to March 31, 2025 and achieving the #1 market share in the non-bank HELOC lending market in 2024, as reported by Home Equity Lending News.</w:t>
      </w:r>
    </w:p>
    <w:p>
      <w:pPr>
        <w:spacing w:after="0" w:line="1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months ended March 31, 2025, HELOC originations through our LOS utilization of Figure Connect and sales of loans contributed to 71% of our revenue and 72% of Adjusted Net Revenue including 15% from transactions via Figure Connect, and Servicing and Interest Income Revenue contributed the remaining 27%. All of our loan originations are recorded on the Provenance Blockchain, as a hashed record and, through our DART application, in county land records. Ownership of loans is updated on the Provenance Blockchain as loans are bought and sold in our marketplace.</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since developed and extended our infrastructure into additional use cases, including launching Figure Exchange, developing an ATS, and issuing the YLDS stablecoin. YLDS is a SEC-registered face amount certificate and is freely transferable peer-to-peer to wallets that have gone through a KYC and anti-money laundering onboarding process, consistent with applicable U.S. federal and state financial regulatory requirements. This process is administered directly by us or through a registered transfer agent and includes the collection of personally identifiable information such as name, date of birth, address, social security number, and contact information. Going forward, we believe our infrastructure is portable across a broad array of activities on our roadmap, ultimately allowing us to deliver powerful synergies across our vertically integrated platform. Our Ecosystem Volume experienced a compound annual growth rate of 86% from the year ended December 31, 2020 to the year ended December 31, 2024. See “Management’s Discussion and Analysis of Financial Condition and Results of Operations—Key Operating Metrics” for the definition of Ecosystem Volume and how we calculate it.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Proprietary Loan Origination System</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July 2018, we launched our proprietary LOS, which uses modern technology to help deliver efficiency, speed and lower costs at each stage of the loan origination process. Leveraging AVMs, digital title and lien matching, and digital income verification via data aggregators, we are able to offer HELOC loan approval in as little as five minutes and funding in as few as five days (median of 11 days during the three months ended March 31, 2025). In the three months ended March 31, 2025, 86% of the loans we facilitated were fully automated from the start of the application to the underwriting stage of the loan process.</w:t>
      </w:r>
    </w:p>
    <w:p>
      <w:pPr>
        <w:spacing w:after="0" w:line="1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contrast to legacy lending infrastructure, our LOS is built upon a differentiated technology stack that digitizes key aspects of underwriting, including credit, income, and property. Our underwriting process is streamlined through a fully digital and paperless user interface that is simple, fast, and offers a superior user experience. Our operational processes reduce the work effort and error rate of applications and provide greater transparency and functionality for end-customers and partners. By deploying our modern LOS, we believe we are the first company to develop and offer a consumer-friendly HELOC product that can compete with unsecured personal loan alternatives and cash-out mortgage refinance products.</w:t>
      </w:r>
    </w:p>
    <w:p>
      <w:pPr>
        <w:spacing w:after="0" w:line="128"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Our LOS excels in handling secured asset classes, such as HELOCs and mortgages, due to its robust infrastructure for data capture and verification. These capabilities are enhanced by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immutability and process compliance, as all loans and related data (except for all personally identifiable information of the borrower) are recorded on a public blockchain, Provenance Blockchain. Our LOS also extends well to unsecured loans, such as personal loans and credit lines, given the automated underwriting that swiftly assesses borrower creditworthiness.</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AVMs, digital title and lien matching, and digital income verification via data aggregators are used to satisfy credit policy, as well as consumer protection requirements. AVMs provide a reasonable estimation of value of the subject property, digital title and lien matching provide confirmation of title ownership, vesting language and the existence of any liens on the subject property, and digital income verification confirms the borrower’s income based on actual data. These tools are provided at arm's length by third-party service providers who regularly monitor data for accuracy. The traditional mortgage origination model uses full Uniform Residential Appraisal Reports interior / exterior field appraisals, full title abstracts and policies of insurance, and manual income verification through the use of pay stubs and phone calls made to the borrower’s place of employment. Substantial evidence exists that these are not always necessary.</w:t>
      </w:r>
    </w:p>
    <w:p>
      <w:pPr>
        <w:spacing w:after="0" w:line="1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Furthermore, we and our service providers work closely with record offices in counties around the United States to ensure all recordings are properly submitted. We use in-person notaries residing in the property state or county when remote notary services are not accepted by such state or county to mitigate the risk that a remote online notary session may be deemed invalid. We regularly update our policy to require in-person notaries in particular counties when such county rejects security instruments based upon improper notarization by a notary located in another state. In states and counties whose laws or recording processes do not support the use of our remote notaries, we use traditional, in-person notaries who notarize electronically signed closing documents. Currently, the majority of states allow the use of remote online notaries for security instruments securing liens on real property, although not every county in those states allows this practice. As of December 31, 2024, we used our remote online notaries to notarize security instruments in 63% of all of the counties where we recorded security instruments and 83% of all of the counties where we have recorded security instruments allow electronic recording of security instruments.</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While there are other fintech and online platforms that may leverage some aspects of our LOS, including similar third-party services to determine property value, lien position and income, to our knowledge there is no other platform using these services that simultaneously offers an integrated, diversified, liquid capital marketplace with loan sale execution and takeout. Similarly, there are jurisdictions where county lien registries do not allow remote notary services or otherwise allow digital verification and our lien registry approach is therefore less differentiated. However, because the vast majority of our origination partners originate loans nationally, the fact that we offer a highly automated process in as many jurisdictions as we do is a differentiating factor for them to use our LOS.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4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8"/>
          <w:szCs w:val="18"/>
          <w:i w:val="1"/>
          <w:iCs w:val="1"/>
          <w:u w:val="single" w:color="auto"/>
          <w:color w:val="auto"/>
        </w:rPr>
        <w:t>We have reduced the time from HELOC application to funding from an industry median of approximately 42 days, according to industry sources, to a median of 11 days 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75565</wp:posOffset>
            </wp:positionV>
            <wp:extent cx="5349240" cy="213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4924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typical end-customers for HELOCs are homeowners with high creditworthiness, as seen through an average FICO score of 749 and average income of approximately $187,000 for originations during the year ended December 31, 2024. Our customer base values financial products that reflect their strong financial standing. We provide a HELOC product that is fast and convenient to our end-customers, and is an alternative to taking out personal loans or holding credit card balances. During the quarter ended March 31, 2025, 14% of the total principal amount of loans originated via our LOS were first-lien.</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deploy our LOS through two strategies:</w:t>
      </w:r>
    </w:p>
    <w:p>
      <w:pPr>
        <w:spacing w:after="0" w:line="171" w:lineRule="exact"/>
        <w:rPr>
          <w:sz w:val="20"/>
          <w:szCs w:val="20"/>
          <w:color w:val="auto"/>
        </w:rPr>
      </w:pPr>
    </w:p>
    <w:p>
      <w:pPr>
        <w:jc w:val="both"/>
        <w:ind w:left="660" w:hanging="328"/>
        <w:spacing w:after="0" w:line="262"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Partner-branded</w:t>
      </w:r>
      <w:r>
        <w:rPr>
          <w:rFonts w:ascii="Arial" w:cs="Arial" w:eastAsia="Arial" w:hAnsi="Arial"/>
          <w:sz w:val="18"/>
          <w:szCs w:val="18"/>
          <w:color w:val="auto"/>
        </w:rPr>
        <w:t>: Our partners are mortgage originators, servicers, banks, wholesale brokers, and credit unions. These partners</w:t>
      </w:r>
      <w:r>
        <w:rPr>
          <w:rFonts w:ascii="Arial" w:cs="Arial" w:eastAsia="Arial" w:hAnsi="Arial"/>
          <w:sz w:val="18"/>
          <w:szCs w:val="18"/>
          <w:b w:val="1"/>
          <w:bCs w:val="1"/>
          <w:color w:val="auto"/>
        </w:rPr>
        <w:t xml:space="preserve"> </w:t>
      </w:r>
      <w:r>
        <w:rPr>
          <w:rFonts w:ascii="Arial" w:cs="Arial" w:eastAsia="Arial" w:hAnsi="Arial"/>
          <w:sz w:val="18"/>
          <w:szCs w:val="18"/>
          <w:color w:val="auto"/>
        </w:rPr>
        <w:t>use our consumer-facing application portal, which is branded in the partner’s name and provides homogeneous automated underwriting, loan-decisioning software, and loan closing tools. The offering is used by both retail and wholesale lenders. Our lending and distribution platform is designed to support the diverse business models of our network of lending partners.</w:t>
      </w:r>
    </w:p>
    <w:p>
      <w:pPr>
        <w:spacing w:after="0" w:line="122" w:lineRule="exact"/>
        <w:rPr>
          <w:rFonts w:ascii="Arial" w:cs="Arial" w:eastAsia="Arial" w:hAnsi="Arial"/>
          <w:sz w:val="18"/>
          <w:szCs w:val="18"/>
          <w:color w:val="auto"/>
        </w:rPr>
      </w:pPr>
    </w:p>
    <w:p>
      <w:pPr>
        <w:jc w:val="both"/>
        <w:ind w:left="660" w:right="20"/>
        <w:spacing w:after="0" w:line="268" w:lineRule="auto"/>
        <w:rPr>
          <w:rFonts w:ascii="Arial" w:cs="Arial" w:eastAsia="Arial" w:hAnsi="Arial"/>
          <w:sz w:val="18"/>
          <w:szCs w:val="18"/>
          <w:color w:val="auto"/>
        </w:rPr>
      </w:pPr>
      <w:r>
        <w:rPr>
          <w:rFonts w:ascii="Arial" w:cs="Arial" w:eastAsia="Arial" w:hAnsi="Arial"/>
          <w:sz w:val="18"/>
          <w:szCs w:val="18"/>
          <w:color w:val="auto"/>
        </w:rPr>
        <w:t>Partner-branded loan originations have grown from $37 million for the last twelve months ended March 31, 2022 to approximately $4 billion for the last twelve months ended March 31, 2025. For the three months ended March 31, 2025, Partner-branded loans comprised 77% of our total loan originations.</w:t>
      </w:r>
    </w:p>
    <w:p>
      <w:pPr>
        <w:spacing w:after="0" w:line="116"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Our network of partners has grown from four partners as of December 31, 2021, to 144 as of March 31, 2025, with our top 10 partners contributing 54% and 52% of our origination volume for the three months ended March 31, 2025 and the year ended December 31, 2024, respectively. Our top 10 partners are medium to large non-bank finance companies in the mortgage industry. They are concentrated in the United States, with some having a nationwide presence and others focusing on specific regional markets.</w:t>
      </w:r>
    </w:p>
    <w:p>
      <w:pPr>
        <w:spacing w:after="0" w:line="1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Figure-branded</w:t>
      </w:r>
      <w:r>
        <w:rPr>
          <w:rFonts w:ascii="Arial" w:cs="Arial" w:eastAsia="Arial" w:hAnsi="Arial"/>
          <w:sz w:val="18"/>
          <w:szCs w:val="18"/>
          <w:color w:val="auto"/>
        </w:rPr>
        <w:t>: We utilize the Figure-branded strategy to launch new asset classes through our LOS, which enables us to prove</w:t>
      </w:r>
      <w:r>
        <w:rPr>
          <w:rFonts w:ascii="Arial" w:cs="Arial" w:eastAsia="Arial" w:hAnsi="Arial"/>
          <w:sz w:val="18"/>
          <w:szCs w:val="18"/>
          <w:b w:val="1"/>
          <w:bCs w:val="1"/>
          <w:color w:val="auto"/>
        </w:rPr>
        <w:t xml:space="preserve"> </w:t>
      </w:r>
      <w:r>
        <w:rPr>
          <w:rFonts w:ascii="Arial" w:cs="Arial" w:eastAsia="Arial" w:hAnsi="Arial"/>
          <w:sz w:val="18"/>
          <w:szCs w:val="18"/>
          <w:color w:val="auto"/>
        </w:rPr>
        <w:t>demand and product efficacy and validate results of upgrades and modifications.</w:t>
      </w:r>
    </w:p>
    <w:p>
      <w:pPr>
        <w:spacing w:after="0" w:line="98" w:lineRule="exact"/>
        <w:rPr>
          <w:rFonts w:ascii="Arial" w:cs="Arial" w:eastAsia="Arial" w:hAnsi="Arial"/>
          <w:sz w:val="18"/>
          <w:szCs w:val="18"/>
          <w:color w:val="auto"/>
        </w:rPr>
      </w:pPr>
    </w:p>
    <w:p>
      <w:pPr>
        <w:jc w:val="both"/>
        <w:ind w:left="660"/>
        <w:spacing w:after="0" w:line="268" w:lineRule="auto"/>
        <w:rPr>
          <w:rFonts w:ascii="Arial" w:cs="Arial" w:eastAsia="Arial" w:hAnsi="Arial"/>
          <w:sz w:val="18"/>
          <w:szCs w:val="18"/>
          <w:color w:val="auto"/>
        </w:rPr>
      </w:pPr>
      <w:r>
        <w:rPr>
          <w:rFonts w:ascii="Arial" w:cs="Arial" w:eastAsia="Arial" w:hAnsi="Arial"/>
          <w:sz w:val="18"/>
          <w:szCs w:val="18"/>
          <w:color w:val="auto"/>
        </w:rPr>
        <w:t>As we refined our HELOC product, we worked quickly to develop a proof of concept through Figure-branded loans, with origination volume for Figure-branded loans growing from $309 million for the last twelve months ended March 31, 2019 to approximately $2 billion for the last twelve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39"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months ended March 31, 2025. For the three months ended March 31, 2025, Figure-branded loans comprised 23% of our total loan originations.</w:t>
      </w:r>
    </w:p>
    <w:p>
      <w:pPr>
        <w:spacing w:after="0" w:line="99"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A number of our partners are not licensed to originate mortgage loans in each state, and as such, rely on our Figure-branded strategy. Over time, as these partners generate sufficient Figure-branded volume, it becomes a worthwhile investment for them to obtain required lending licenses, which enables them to shift to Partner-branded strategies and take control over their origination funnel.</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LOS ensures a uniform underwriting process that helps generate standardized assets with enhanced transparency around collateral composition. As a result, loans originated through our LOS, both Partner-branded and Figure-branded, are highly attractive for loan purchasers and investors. In comparison, with bespoke non-conforming loans, investors can pick and choose, which makes it a long process that is difficult for originators and investors. Figure maintains high quality through its disciplined underwriting process, which automates credit decisions across 28 different criteria. As of March 31, 2025, Figure’s originated loans had loss rates of less than 1% of volume.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Figure Connect</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June 2024, we launched Figure Connect. Figure Connect is our custom-built marketplace platform that facilitates buying and selling of standardized assets that are originated through our LOS. These transactions utilize uniform underwriting, common documentation (such as loan agreements and credit policies), standardized representations and warranties, and are automatically recorded on Provenance Blockchain. Figure Connect enhances liquidity for loans originated through our LOS. Additional tools such as Portfolio Manager, which provide private credit loan purchasers seamless visibility into the current performance of their loans, foster further adoption and participation in our ecosystem. For the first 10 months since we launched Figure Connect in June 2024 to March 2025, approximately $260 million of loan volume was traded.</w:t>
      </w:r>
    </w:p>
    <w:p>
      <w:pPr>
        <w:spacing w:after="0" w:line="1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Sellers of loans transacted on Figure Connect pay a fee for utilizing our technology for origination, as well as a fulfillment fee associated with the execution of loan sales on our platform. Our pricing structure and unit economics are designed to further incentivize customers to transact on Figure Connect, as revenue received has historically exceeded costs incurred by a margin of at least 2%. This margin calculation is comprised of target revenue to the originator (origination fees and gain on sale of loans) and fees that the originator pays for the utilization of the Figure Connect marketplace. Sellers of loans on Figure Connect typically pay a volume-based fee for utilizing our technology solution to originate loans and to place these loans for sale on Figure Connect, as well as a sale volume-based fulfillment fee associated with the execution of loan sales to a buyer. We do not incur additional expenses to transact these loans on Figure Connect; however, we have built the technology that supports this marketplace and continue to incur technology-related costs to maintain the marketplace. For the years ended December 31, 2024 and 2023, net revenue generated from Figure Connect was $0.2 million and $0, respectively. For the three months ended March 31, 2025, net revenue generated from Figure Connect was $13 million.</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Sellers are incentivized to transact on Figure Connect, as the average per loan net revenue they would generate on our marketplace (gain on sale of loans and origination fees to the sellers less fees paid to us for using Figure Connect) is higher than the per loan net revenue the sellers would earn from originating these loans and selling them to us as a loan intermediary buyer. Such difference was on average over 1% of the unpaid loan principal balance during the three months ended March 31, 2025.</w:t>
      </w:r>
    </w:p>
    <w:p>
      <w:pPr>
        <w:spacing w:after="0" w:line="12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February 2025, we formed a joint venture with Sixth Street Partners, Fig SIX Mortgage LLC, to purchase HELOC loans through our LOS and sold through Figure Connect. Sixth Street Partners is a global investment firm that invests in credit products, among other strategies. Fig SIX Mortgage LLC is capitalized with 95% Sixth Street equity and 5% Figure equity. We refer to this joint venture and its activities as a “Guarantor Vehicle.” The Guarantor Vehicle is expected to wholly own the loans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purchases and subsequently sell these loans into Figure HELOC securitizations. Both we and Sixth Street Partners expect to continue to contribute equity into the joint venture up to a total $210.5 million commitment. As of June 30, 2025, Figure had contributed $1 million of equity into the Guarantor Vehicle out of a total $10.5 million initial commitment, and Sixth Street Partners had contributed $ 24 million out of a total $200 million initial commitment. We do not consolidate the financial statements of the Guarantor Vehicle. Our aim with Figure Connect is to enhance liquidity for loans originated on our LOS, and we believe the Guarantor Vehicle will significantly advance this goal.</w:t>
      </w:r>
    </w:p>
    <w:p>
      <w:pPr>
        <w:spacing w:after="0" w:line="1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June 30, 2025, the Guarantor Vehicle has yet to purchase HELOCs via Figure Connect, but has instead purchased $25 million of residual equity from Figure’s securitization that was completed in May 2025. The Guarantor Vehicle is an entity that was established to purchase HELOCs sold on Figure Connect (which it then contributes to a securitization, retaining the residual equity). Once the Guarantor Vehicle begins purchasing HELOCs via Figure Connect, this will increase the amount of liquidity available to our network of partners selling their assets on Figure Connect. While the Guarantor Vehicle does not directly provide a guarantee or backing of the loans, its presence as a dedicated buyer on the Figure Connect marketplace provides sellers on Figure Connect a greater degree of transaction execution than existed prior to its 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93345</wp:posOffset>
            </wp:positionV>
            <wp:extent cx="5349240" cy="255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4924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Digital Asset Registry Technologies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April 2024, we launched DART, our lien and eNote registry technology that is built on Provenance Blockchain for originators and investors to manage and track the ownership of loans as they move throughout the capital markets. DART addresses a significant market pain point in the mortgage industry—the complexities associated with manual assignments and systems, such as MERS. DART effectively “listens” to the immutable activity on Provenance Blockchain and automatically updates loan ownership information accordingly. Thus, by integrating this service into our proprietary technology platform, lenders can originate, pledge, and sell loans using Figure's secure technological framework, which includes the on-chain DART monitoring service, to ensure the efficient transfer of assets.</w:t>
      </w:r>
    </w:p>
    <w:p>
      <w:pPr>
        <w:spacing w:after="0" w:line="12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For the quarter ended March 31, 2025, 71% of loans originated through our LOS (including both Figure-branded and Partner-branded) were boarded onto DART, up from 2%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Figure Exchange</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August 2024, we launched Figure Exchange, our real-time digital asset exchange that supports the efficient trading of various tokens including leading digital assets (e.g. BTC, ETH). Figure Exchange matches buyers and sellers, allowing for bilateral, self-settling and self-clearing trades that remove counterparty and settlement risk. In its first eight months since launch, Figure Exchange facilitated the trading of $962 million in volume without meaningful marketing efforts, of which $213 million was in the three months ended March 31, 2025.</w:t>
      </w:r>
    </w:p>
    <w:p>
      <w:pPr>
        <w:spacing w:after="0" w:line="12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central tenet of Figure Exchange is to provide users with a one-stop shop for trading, lending, and borrowing across a wide variety of digital assets. With this goal in mind, our offering stands out from our competitors’ offerings due to:</w:t>
      </w:r>
    </w:p>
    <w:p>
      <w:pPr>
        <w:spacing w:after="0" w:line="99" w:lineRule="exact"/>
        <w:rPr>
          <w:sz w:val="20"/>
          <w:szCs w:val="20"/>
          <w:color w:val="auto"/>
        </w:rPr>
      </w:pPr>
    </w:p>
    <w:p>
      <w:pPr>
        <w:jc w:val="both"/>
        <w:ind w:left="660" w:hanging="328"/>
        <w:spacing w:after="0" w:line="252" w:lineRule="auto"/>
        <w:tabs>
          <w:tab w:leader="none" w:pos="628"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Democratized Prime</w:t>
      </w:r>
      <w:r>
        <w:rPr>
          <w:rFonts w:ascii="Arial" w:cs="Arial" w:eastAsia="Arial" w:hAnsi="Arial"/>
          <w:sz w:val="18"/>
          <w:szCs w:val="18"/>
          <w:color w:val="auto"/>
        </w:rPr>
        <w:t>: A pillar of our value proposition is the Democratized Prime offering, which disrupts the traditional prime</w:t>
      </w:r>
      <w:r>
        <w:rPr>
          <w:rFonts w:ascii="Arial" w:cs="Arial" w:eastAsia="Arial" w:hAnsi="Arial"/>
          <w:sz w:val="18"/>
          <w:szCs w:val="18"/>
          <w:b w:val="1"/>
          <w:bCs w:val="1"/>
          <w:color w:val="auto"/>
        </w:rPr>
        <w:t xml:space="preserve"> </w:t>
      </w:r>
      <w:r>
        <w:rPr>
          <w:rFonts w:ascii="Arial" w:cs="Arial" w:eastAsia="Arial" w:hAnsi="Arial"/>
          <w:sz w:val="18"/>
          <w:szCs w:val="18"/>
          <w:color w:val="auto"/>
        </w:rPr>
        <w:t>brokerage infrastructure by allowing users to lend their assets or excess cash into the ecosystem at a market-clearing rate. Democratized Prime is a marketplace for asset lenders and borrowers to meet, connecting sources and uses of assets and capital. It allows lenders to earn a yield on digital assets such as Bitcoin, and it provides borrowers access to these assets at a market-clearing rate. There is no intermediary, and instead pricing is set every hour by a Dutch-style auction. This structure allows users to not only capture incremental value from assets that they already hold but also to optimize allocation because the user can choose the most appropriate and efficient pool for their unique use case. Democratized Prime provides a forum in which anyone—individual or institution—can lend assets to those seeking capital or assets in a decentralized marketplace. Our current offerings on Democratized Prime include providing margin funding against digital assets and offering digital asset-loans for borrowing or shorting for the exchange or funding of our loans. Typical borrowers are institutions (such as loan originators or loan buyers) who will borrow against the loans they hold. Typical lenders are institutions with idle or excess cash that they are willing to lend, asset managers putting capital to work and retail customers who want to lend their capital. We launched Democratized Prime in November 2024, and as of March 31, 2025, it had approximately $0.8 million in assets on the platform. The applicable fees and associated revenue for Democratized Prime is 50 basis points and are paid by the borrower. As of March 31, 2025, Democratized Prime had not generated revenue as we have provided the initial assets to support the platform while we build out funding distribution. Once Democratized Prime starts generating revenues, we expect them to be included in Ecosystem and Technology Fees. We expect Democratized Prime to grow as users begin to recognize its benefits. See “Prospectus Summary—Our Growth Strategy.”</w:t>
      </w:r>
    </w:p>
    <w:p>
      <w:pPr>
        <w:spacing w:after="0" w:line="138"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Digital Asset Cross-Collateralization</w:t>
      </w:r>
      <w:r>
        <w:rPr>
          <w:rFonts w:ascii="Arial" w:cs="Arial" w:eastAsia="Arial" w:hAnsi="Arial"/>
          <w:sz w:val="18"/>
          <w:szCs w:val="18"/>
          <w:color w:val="auto"/>
        </w:rPr>
        <w:t>: Inherently linked to our Democratized Prime offering is the ability our customers are</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to have to cross-collateralize their assets for their borrowing needs, as our on-chain platform allows for the streamlining of margin trading across multiple assets, reducing friction and minimizing each customer’s specific liquidity needs. This feature is not yet operational but we anticipate that it will be available to our users by the end of 2025.</w:t>
      </w:r>
    </w:p>
    <w:p>
      <w:pPr>
        <w:spacing w:after="0" w:line="122"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Access to Digital and Real-World Assets</w:t>
      </w:r>
      <w:r>
        <w:rPr>
          <w:rFonts w:ascii="Arial" w:cs="Arial" w:eastAsia="Arial" w:hAnsi="Arial"/>
          <w:sz w:val="18"/>
          <w:szCs w:val="18"/>
          <w:color w:val="auto"/>
        </w:rPr>
        <w:t>: The real world assets purchased by our deep and liquid capital marketplace can only be</w:t>
      </w:r>
      <w:r>
        <w:rPr>
          <w:rFonts w:ascii="Arial" w:cs="Arial" w:eastAsia="Arial" w:hAnsi="Arial"/>
          <w:sz w:val="18"/>
          <w:szCs w:val="18"/>
          <w:b w:val="1"/>
          <w:bCs w:val="1"/>
          <w:color w:val="auto"/>
        </w:rPr>
        <w:t xml:space="preserve"> </w:t>
      </w:r>
      <w:r>
        <w:rPr>
          <w:rFonts w:ascii="Arial" w:cs="Arial" w:eastAsia="Arial" w:hAnsi="Arial"/>
          <w:sz w:val="18"/>
          <w:szCs w:val="18"/>
          <w:color w:val="auto"/>
        </w:rPr>
        <w:t>originated with our exclusive tokenization infrastructure. Our position as a leading HELOC originator and funding platform, coupled with our capabilities as a real-time digital asset exchange and yield-bearing stablecoin issuer, is difficult to replicate. We believe this unique combination will enable us to attract partner issuers, originators and asset owners who will use our solutions to tokenize and sell real-world assets in a manner that competitors may not be able to match. As our asset offering available for trading on Figure Exchange increases, the attractiveness of trading on our platform expands as we build towards the ultimate goal of becoming “the exchange for everything.”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rely on Figure Exchange and our ATS as the technology and infrastructure that allow customers to trade digitally native securities and tokenized real-world assets. Figure Exchange and our ATS are designed to comply with all U.S. regulations relevant to them as a regulated Money Services Business that holds Money Transmission Licenses, and as a U.S. Broker Dealer with authority to operate an ATS, respectively. Outside of the United States, through our subsidiaries, Figure holds several crypto licenses, including a VASP registration in both the Cayman Islands and Ireland, and a securities investment business license in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91440</wp:posOffset>
            </wp:positionV>
            <wp:extent cx="5143500" cy="31629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YLDS</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February 2025, we launched YLDS, a groundbreaking interest-bearing transferable stablecoin that is both native to a public blockchain, Provenance Blockchain, and a security registered with the SEC. As of March 31, 2025, YLDS outstanding stood at approximately $3 million. While YLDS is currently fully operational and generates revenues, given it is a recently launched product, its revenue recorded in interest income for the quarter ending March 31, 2025 was approximately $1.0 thousand. Fee revenue recorded in interest income is earned by our subsidiary, Figure Certificate Company (“FCC”). This revenue is paid from the interest payments generated by the investment securities that FCC holds. We anticipate revenues from YLDS to grow as adoption increases. See “Prospectus Summary—Our Growth Strategy.”</w:t>
      </w:r>
    </w:p>
    <w:p>
      <w:pPr>
        <w:spacing w:after="0" w:line="1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FCC is registered with the SEC under the Investment Company Act as a face-amount certificate company. FCC’s Figure Certificates are registered with the SEC. YLDS are the Figure Certificates’ corresponding digital representation.</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Built on Provenance Blockchain, YLDS offers investors a more stable and secure digital asset. It is backed by cash and cash equivalents, akin to prime money market funds. Since inception, YLDS has paid a constant interest rate of SOFR minus 0.50%. Transactions can be conducted 24 hours a day, seven days a week using U.S. dollars and other stablecoins on Figure Exchange, with the option to off-ramp to fiat during U.S. banking hours after a redemption has settled to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3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YLDS has many use cases. Benefiting from its status as a security, YLDS can be used as yielding collateral for institutions, which can also be utilized for trade settlement or payments. Further, FCC's registration statement on Form S-1 that was declared effective by the SEC includes the minting of YLDS on multiple Layer 1 blockchains, including Provenance, Solana, Ethereum and Avalanche. FCC may seek additional Layer 1 blockchains through amendments to such registration statement. Our goal is for YLDS to become the de-facto currency of Figure Exchange, to provide fiat currency off-ramps for YLDS during local banking hours and 24-hour conversion of YLDS to other stablecoins via transactions on Figure Exchange. While transactions were entirely in fiat currency for the six months ended June 30, 2025, our goal is to have an increasing number of these transactions settle in YLDS as we encourage warehouse lenders and loan buyers to utilize YLDS on Figure Connect and Figure Exchange. Furthermore, we believe that third-party interest in using YLDS has the potential to displace traditional money movement, particularly in DeFi, payments, and other applications such as exchange collateral.</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Customers can buy YLDS from or sell it back to FCC. However, FCC is not permitted to hold digital assets like USDC and USDT. Consequently, purchases and redemptions of YLDS using USDC and USDT are facilitated by Figure Payments Corporation, which handles the sending and receiving of these digital currencies. In the meantime, Figure Exchange and Figure Payments Corporation make it possible to buy BTC with YLDS by first swapping USD for YLDS and then using YLDS to buy BTC. This process allows YLDS holders to use YLDS as a form of payment when purchasing BTC.</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Ecosystem’s Value Proposition</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technology platform is designed to power our ecosystem of lending, trading and investing activities in areas such as consumer credit and digital assets. Embedded in our ecosystem’s value proposition is our use of blockchain-based technology to innovate beyond legacy processes. By enabling the immutable recording of all assets and their key information on Provenance Blockchain, our platform is able to displace trust with truth in the financial system, offering a reliable registry and source of asset ownership records.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Value Proposition to Partners</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 xml:space="preserve">Digital Loan Origination System and Capital Markets Capabilities with Minimal Upfront Investment </w:t>
      </w:r>
      <w:r>
        <w:rPr>
          <w:rFonts w:ascii="Arial" w:cs="Arial" w:eastAsia="Arial" w:hAnsi="Arial"/>
          <w:sz w:val="18"/>
          <w:szCs w:val="18"/>
          <w:color w:val="auto"/>
        </w:rPr>
        <w:t>— We offer partners a turnkey LOS so</w:t>
      </w:r>
      <w:r>
        <w:rPr>
          <w:rFonts w:ascii="Arial" w:cs="Arial" w:eastAsia="Arial" w:hAnsi="Arial"/>
          <w:sz w:val="18"/>
          <w:szCs w:val="18"/>
          <w:i w:val="1"/>
          <w:iCs w:val="1"/>
          <w:color w:val="auto"/>
        </w:rPr>
        <w:t xml:space="preserve"> </w:t>
      </w:r>
      <w:r>
        <w:rPr>
          <w:rFonts w:ascii="Arial" w:cs="Arial" w:eastAsia="Arial" w:hAnsi="Arial"/>
          <w:sz w:val="18"/>
          <w:szCs w:val="18"/>
          <w:color w:val="auto"/>
        </w:rPr>
        <w:t>they can provide fully automated and end-to-end solutions to their customers. Through our digital application, underwriting, and closing process, we have significantly reduced processing times for new originations and dramatically simplified the entire application process for end customers. We believe that our platform allows our partners to efficiently enter consumer credit markets, expanding their origination capabilities with minimal investments in technology, operations, resources, or ongoing maintenance support. Partners have the ability to offer their originated loans for sale directly through Figure Connect, accessing committed liquidity with transparent pricing, further mitigating their balance sheet and liquidity constraints.</w:t>
      </w:r>
    </w:p>
    <w:p>
      <w:pPr>
        <w:spacing w:after="0" w:line="12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auto"/>
        </w:rPr>
        <w:t xml:space="preserve">Direct Access to Figure’s Broad and Deep Capital Markets Buyer Universe </w:t>
      </w:r>
      <w:r>
        <w:rPr>
          <w:rFonts w:ascii="Arial" w:cs="Arial" w:eastAsia="Arial" w:hAnsi="Arial"/>
          <w:sz w:val="18"/>
          <w:szCs w:val="18"/>
          <w:color w:val="auto"/>
        </w:rPr>
        <w:t>— Through Figure Connect, our partners have greater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execution certainty on the sale of their originated loans. Partners can sell their loans directly to investors or deliver pools of loans into securitization vehicles without the need to find their counterparties bilaterally. The liquidity of our marketplace is further enhanced by the presence of our Guarantor Vehicle as a consistent loan buyer.</w:t>
      </w:r>
    </w:p>
    <w:p>
      <w:pPr>
        <w:spacing w:after="0" w:line="12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auto"/>
        </w:rPr>
        <w:t xml:space="preserve">Ease of Onboarding </w:t>
      </w:r>
      <w:r>
        <w:rPr>
          <w:rFonts w:ascii="Arial" w:cs="Arial" w:eastAsia="Arial" w:hAnsi="Arial"/>
          <w:sz w:val="18"/>
          <w:szCs w:val="18"/>
          <w:color w:val="auto"/>
        </w:rPr>
        <w:t>— Our flexible platform was built to easily and quickly onboard partners, typically taking as little as one week from</w:t>
      </w:r>
      <w:r>
        <w:rPr>
          <w:rFonts w:ascii="Arial" w:cs="Arial" w:eastAsia="Arial" w:hAnsi="Arial"/>
          <w:sz w:val="18"/>
          <w:szCs w:val="18"/>
          <w:i w:val="1"/>
          <w:iCs w:val="1"/>
          <w:color w:val="auto"/>
        </w:rPr>
        <w:t xml:space="preserve"> </w:t>
      </w:r>
      <w:r>
        <w:rPr>
          <w:rFonts w:ascii="Arial" w:cs="Arial" w:eastAsia="Arial" w:hAnsi="Arial"/>
          <w:sz w:val="18"/>
          <w:szCs w:val="18"/>
          <w:color w:val="auto"/>
        </w:rPr>
        <w:t>signing to launch. This flexibility enables partners to take advantage of market opportunities as they emerge, particularly those partners that do not have robust lending infrastructure or technology budgets. Our platform provides a fully packaged solution that allows our partners to launch with minimal technology spend and limited dedicated resources from their business.</w:t>
      </w:r>
    </w:p>
    <w:p>
      <w:pPr>
        <w:spacing w:after="0" w:line="1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i w:val="1"/>
          <w:iCs w:val="1"/>
          <w:color w:val="auto"/>
        </w:rPr>
        <w:t xml:space="preserve">Deepen Relationships with Existing Customers and Expand Target Market </w:t>
      </w:r>
      <w:r>
        <w:rPr>
          <w:rFonts w:ascii="Arial" w:cs="Arial" w:eastAsia="Arial" w:hAnsi="Arial"/>
          <w:sz w:val="18"/>
          <w:szCs w:val="18"/>
          <w:color w:val="auto"/>
        </w:rPr>
        <w:t>— Our platforms enable our partners to deepen relationships</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their existing customers and reach a broader market through the use of a Partner-branded product. Our partners and their lending officers are able to capture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 sources while incurring only a minimal increase in overhead costs. This can help transform our partners’ product-based sales teams, which have historically been dependent on infrequent transactions, into advisors with multi-product and more frequent sales opportunities based on customer needs.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auto"/>
        </w:rPr>
        <w:t xml:space="preserve">Seamlessly Introduce New Products with Additional Revenue Sources </w:t>
      </w:r>
      <w:r>
        <w:rPr>
          <w:rFonts w:ascii="Arial" w:cs="Arial" w:eastAsia="Arial" w:hAnsi="Arial"/>
          <w:sz w:val="18"/>
          <w:szCs w:val="18"/>
          <w:color w:val="auto"/>
        </w:rPr>
        <w:t>— The modular and flexible nature of our technology can enable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 to more easily deploy new products. We believe the success of our foundational HELOC product is indicative of our ability to capture a larger opportunity as we seek to expand our product offering into new areas such as DSCR loans, personal loans, and student loans. We believe our infrastructure will effectively fulfill the product development function for our partners across lending markets in the future.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Value Proposition to Loan Purchasers and Securitization Investors</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auto"/>
        </w:rPr>
        <w:t xml:space="preserve">Enhanced Investor Reporting and Distribution </w:t>
      </w:r>
      <w:r>
        <w:rPr>
          <w:rFonts w:ascii="Arial" w:cs="Arial" w:eastAsia="Arial" w:hAnsi="Arial"/>
          <w:sz w:val="18"/>
          <w:szCs w:val="18"/>
          <w:color w:val="auto"/>
        </w:rPr>
        <w:t>— Our loan purchasers and securitization investors benefit from increased transparency,</w:t>
      </w:r>
      <w:r>
        <w:rPr>
          <w:rFonts w:ascii="Arial" w:cs="Arial" w:eastAsia="Arial" w:hAnsi="Arial"/>
          <w:sz w:val="18"/>
          <w:szCs w:val="18"/>
          <w:i w:val="1"/>
          <w:iCs w:val="1"/>
          <w:color w:val="auto"/>
        </w:rPr>
        <w:t xml:space="preserve"> </w:t>
      </w:r>
      <w:r>
        <w:rPr>
          <w:rFonts w:ascii="Arial" w:cs="Arial" w:eastAsia="Arial" w:hAnsi="Arial"/>
          <w:sz w:val="18"/>
          <w:szCs w:val="18"/>
          <w:color w:val="auto"/>
        </w:rPr>
        <w:t>on-time asset performance, and enhanced distribution capabilities. We standardize our funded loans into homogeneous pools that can be efficiently distributed to loan purchasers on the private credit market and securitization investors. Utilizing Portfolio Manager to manage ledgers for our loans, we are able to provide faster and more accurate performance reporting to loan purchasers using the tool.</w:t>
      </w:r>
    </w:p>
    <w:p>
      <w:pPr>
        <w:spacing w:after="0" w:line="12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auto"/>
        </w:rPr>
        <w:t xml:space="preserve">Access to our Marketplace of Homogeneous, Standardized Collateral — </w:t>
      </w:r>
      <w:r>
        <w:rPr>
          <w:rFonts w:ascii="Arial" w:cs="Arial" w:eastAsia="Arial" w:hAnsi="Arial"/>
          <w:sz w:val="18"/>
          <w:szCs w:val="18"/>
          <w:color w:val="auto"/>
        </w:rPr>
        <w:t>Investors onboarded to Figure Connect have the opportunity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loans from multiple origination partners without the need for bilateral sourcing. Access to our marketplace, fully composed of loans originated through our LOS, increases the certainty of collateral composition to loan buyers and provides them with extended visibility for capital deployment.</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Attractive Risk Adjusted Returns </w:t>
      </w:r>
      <w:r>
        <w:rPr>
          <w:rFonts w:ascii="Arial" w:cs="Arial" w:eastAsia="Arial" w:hAnsi="Arial"/>
          <w:sz w:val="18"/>
          <w:szCs w:val="18"/>
          <w:color w:val="auto"/>
        </w:rPr>
        <w:t>— Our current loan products offer a sophisticated asset diversification strategy for investors with strong</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 value compared to personal loans and mortgages. Investors prefer our loan products because it has a yield similar to a personal loan plus a collateral benefit. Our loans have attractive underlying borrower profiles, characterized by high credit scores and stable credit performance. Credit losses of loans underwritten through our LOS have consistently remained approximately 1% or less, as of March 31, 2025.</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History of Issuing Rated HELOC Securitizations </w:t>
      </w:r>
      <w:r>
        <w:rPr>
          <w:rFonts w:ascii="Arial" w:cs="Arial" w:eastAsia="Arial" w:hAnsi="Arial"/>
          <w:sz w:val="18"/>
          <w:szCs w:val="18"/>
          <w:color w:val="auto"/>
        </w:rPr>
        <w:t>— The HELOCs originated on our platform have been contributed into 13 securitizations</w:t>
      </w:r>
      <w:r>
        <w:rPr>
          <w:rFonts w:ascii="Arial" w:cs="Arial" w:eastAsia="Arial" w:hAnsi="Arial"/>
          <w:sz w:val="18"/>
          <w:szCs w:val="18"/>
          <w:i w:val="1"/>
          <w:iCs w:val="1"/>
          <w:color w:val="auto"/>
        </w:rPr>
        <w:t xml:space="preserve"> </w:t>
      </w:r>
      <w:r>
        <w:rPr>
          <w:rFonts w:ascii="Arial" w:cs="Arial" w:eastAsia="Arial" w:hAnsi="Arial"/>
          <w:sz w:val="18"/>
          <w:szCs w:val="18"/>
          <w:color w:val="auto"/>
        </w:rPr>
        <w:t>sponsored or co-sponsored by FL LLC or other HELOC investors since April 2023. All securitizations were rated and had tranches that received a AAA rating. Our ability to issue rated HELOC securitizations enables loan purchasers with specific ratings requirements to invest in our products, while also providing a vehicle by which loan purchasers can contribute owned HELOC assets into our securitizations. Our ability to issue rated securitizations also improves the liquidity and marketability of our HELOCs in the secondary market.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Value Proposition to Exchange Customers</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i w:val="1"/>
          <w:iCs w:val="1"/>
          <w:color w:val="auto"/>
        </w:rPr>
        <w:t xml:space="preserve">Full Asset Ownership and Control </w:t>
      </w:r>
      <w:r>
        <w:rPr>
          <w:rFonts w:ascii="Arial" w:cs="Arial" w:eastAsia="Arial" w:hAnsi="Arial"/>
          <w:sz w:val="18"/>
          <w:szCs w:val="18"/>
          <w:color w:val="auto"/>
        </w:rPr>
        <w:t>— Our MPC wallets protect cryptographic keys, allowing investors to maintain custody of their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added reassurance that their keys are not easily misplaced.</w:t>
      </w:r>
    </w:p>
    <w:p>
      <w:pPr>
        <w:spacing w:after="0" w:line="99"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Our MPC wallets protect cryptographic keys, allowing investors to maintain custody of their assets with the added reassurance that their keys are not easily misplaced. This differs from a traditional cryptocurrency wallet, where the complete private key required to authorize a transaction is either stored with a trusted custodian/exchange or held by the investor.</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i w:val="1"/>
          <w:iCs w:val="1"/>
          <w:color w:val="auto"/>
        </w:rPr>
        <w:t xml:space="preserve">Access to Exclusive Tokenized Real-World Assets </w:t>
      </w:r>
      <w:r>
        <w:rPr>
          <w:rFonts w:ascii="Arial" w:cs="Arial" w:eastAsia="Arial" w:hAnsi="Arial"/>
          <w:sz w:val="18"/>
          <w:szCs w:val="18"/>
          <w:color w:val="auto"/>
        </w:rPr>
        <w:t>— Through our platform, Figure has the capacity to generate investable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representations of real-world assets, in many instances creating liquidity for otherwise illiquid assets. Many of these now investable assets will be exclusively offered through Figure Exchange, increasing the benefit to users of participating in our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3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i w:val="1"/>
          <w:iCs w:val="1"/>
          <w:color w:val="auto"/>
        </w:rPr>
        <w:t xml:space="preserve">Disintermediated Lending and Borrowing </w:t>
      </w:r>
      <w:r>
        <w:rPr>
          <w:rFonts w:ascii="Arial" w:cs="Arial" w:eastAsia="Arial" w:hAnsi="Arial"/>
          <w:sz w:val="18"/>
          <w:szCs w:val="18"/>
          <w:color w:val="auto"/>
        </w:rPr>
        <w:t>— Anchored on our MPC-enabled self-custody technology, users are able to directly lend</w:t>
      </w:r>
      <w:r>
        <w:rPr>
          <w:rFonts w:ascii="Arial" w:cs="Arial" w:eastAsia="Arial" w:hAnsi="Arial"/>
          <w:sz w:val="18"/>
          <w:szCs w:val="18"/>
          <w:i w:val="1"/>
          <w:iCs w:val="1"/>
          <w:color w:val="auto"/>
        </w:rPr>
        <w:t xml:space="preserve"> </w:t>
      </w:r>
      <w:r>
        <w:rPr>
          <w:rFonts w:ascii="Arial" w:cs="Arial" w:eastAsia="Arial" w:hAnsi="Arial"/>
          <w:sz w:val="18"/>
          <w:szCs w:val="18"/>
          <w:color w:val="auto"/>
        </w:rPr>
        <w:t>assets to borrowers within the ecosystem, effectively allowing for the monetization of assets set directly by a marketplace rather than based on pre-determined rates.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auto"/>
        </w:rPr>
        <w:t xml:space="preserve">Digital Asset Cross-Collateralization </w:t>
      </w:r>
      <w:r>
        <w:rPr>
          <w:rFonts w:ascii="Arial" w:cs="Arial" w:eastAsia="Arial" w:hAnsi="Arial"/>
          <w:sz w:val="18"/>
          <w:szCs w:val="18"/>
          <w:color w:val="auto"/>
        </w:rPr>
        <w:t>— Through our use of MPC wallets, users of our platform are enabled to borrow against any assets</w:t>
      </w:r>
      <w:r>
        <w:rPr>
          <w:rFonts w:ascii="Arial" w:cs="Arial" w:eastAsia="Arial" w:hAnsi="Arial"/>
          <w:sz w:val="18"/>
          <w:szCs w:val="18"/>
          <w:i w:val="1"/>
          <w:iCs w:val="1"/>
          <w:color w:val="auto"/>
        </w:rPr>
        <w:t xml:space="preserve"> </w:t>
      </w:r>
      <w:r>
        <w:rPr>
          <w:rFonts w:ascii="Arial" w:cs="Arial" w:eastAsia="Arial" w:hAnsi="Arial"/>
          <w:sz w:val="18"/>
          <w:szCs w:val="18"/>
          <w:color w:val="auto"/>
        </w:rPr>
        <w:t>held in their self-custody wallet. To obtain a loan, investors simply need to specify the asset and amounts they would like to offer as collateral. The collateral remains visible in the investor’s self-custody account, with a control hold placed on the assets while the loan proceeds are deposited into their account.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Value Proposition to YLDS Holders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i w:val="1"/>
          <w:iCs w:val="1"/>
          <w:color w:val="auto"/>
        </w:rPr>
        <w:t xml:space="preserve">SEC Registered Security </w:t>
      </w:r>
      <w:r>
        <w:rPr>
          <w:rFonts w:ascii="Arial" w:cs="Arial" w:eastAsia="Arial" w:hAnsi="Arial"/>
          <w:sz w:val="18"/>
          <w:szCs w:val="18"/>
          <w:color w:val="auto"/>
        </w:rPr>
        <w:t>— YLDS’ status as a security registered with the SEC enables institutional investors to incorporate it into their</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We believe SEC registration differentiates YLDS from competitors in a market where achieving mass adoption is critical for long term success.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i w:val="1"/>
          <w:iCs w:val="1"/>
          <w:color w:val="auto"/>
        </w:rPr>
        <w:t xml:space="preserve">Interest-Bearing Stablecoin </w:t>
      </w:r>
      <w:r>
        <w:rPr>
          <w:rFonts w:ascii="Arial" w:cs="Arial" w:eastAsia="Arial" w:hAnsi="Arial"/>
          <w:sz w:val="18"/>
          <w:szCs w:val="18"/>
          <w:color w:val="auto"/>
        </w:rPr>
        <w:t>— Most stablecoins offered by our competitors do not directly pay their holder any yield from the underlying</w:t>
      </w:r>
      <w:r>
        <w:rPr>
          <w:rFonts w:ascii="Arial" w:cs="Arial" w:eastAsia="Arial" w:hAnsi="Arial"/>
          <w:sz w:val="18"/>
          <w:szCs w:val="18"/>
          <w:i w:val="1"/>
          <w:iCs w:val="1"/>
          <w:color w:val="auto"/>
        </w:rPr>
        <w:t xml:space="preserve"> </w:t>
      </w:r>
      <w:r>
        <w:rPr>
          <w:rFonts w:ascii="Arial" w:cs="Arial" w:eastAsia="Arial" w:hAnsi="Arial"/>
          <w:sz w:val="18"/>
          <w:szCs w:val="18"/>
          <w:color w:val="auto"/>
        </w:rPr>
        <w:t>assets backing the stablecoin’s value, as paying a yield would require a stablecoin to be registered as a security. YLDS is a solution that offers yield to token holders, which we believe should accelerate adoption.</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i w:val="1"/>
          <w:iCs w:val="1"/>
          <w:color w:val="auto"/>
        </w:rPr>
        <w:t xml:space="preserve">Fully Transferable 24/7 Means of Payment </w:t>
      </w:r>
      <w:r>
        <w:rPr>
          <w:rFonts w:ascii="Arial" w:cs="Arial" w:eastAsia="Arial" w:hAnsi="Arial"/>
          <w:sz w:val="18"/>
          <w:szCs w:val="18"/>
          <w:color w:val="auto"/>
        </w:rPr>
        <w:t>— Contrary to legacy alternatives and fiat payment infrastructure, YLDS is transferable 24</w:t>
      </w:r>
      <w:r>
        <w:rPr>
          <w:rFonts w:ascii="Arial" w:cs="Arial" w:eastAsia="Arial" w:hAnsi="Arial"/>
          <w:sz w:val="18"/>
          <w:szCs w:val="18"/>
          <w:i w:val="1"/>
          <w:iCs w:val="1"/>
          <w:color w:val="auto"/>
        </w:rPr>
        <w:t xml:space="preserve"> </w:t>
      </w:r>
      <w:r>
        <w:rPr>
          <w:rFonts w:ascii="Arial" w:cs="Arial" w:eastAsia="Arial" w:hAnsi="Arial"/>
          <w:sz w:val="18"/>
          <w:szCs w:val="18"/>
          <w:color w:val="auto"/>
        </w:rPr>
        <w:t>hours a day, every day of the year, with instant settlement.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Partner-Branded Strategy</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view our Partner-branded strategy as the engine for our future growth and they are the focus of our long-term customer acquisition strategy. We focus on developing new partner relationships and growing engagement with our existing partners, including supporting their training and marketing efforts. We have a dedicated Partnerships team to drive our Partner-branded strategy. This team is focused on expanding our partner network, onboarding new partners, and assisting our partners in supporting their own customers and loan originators.</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work closely with our partners to help them deploy quickly to begin realizing benefits from our platform. By investing in the success of our partners, we believe we are building a strong foundation for long-term relationships. Partners are supported by onboarding specialists that work to complete partner deployments. Depending on the type of relationship, onboarding can take as little as one week, including integrations to ensure funding and data flows are developed for each specific partner. To reduce friction during the sales process, there are no upfront costs charged to our partners to onboard or test. Deployment services are free to all partners and they are only assessed a delayed implementation fee if they fail to meet a minimum number of loans originated through the platform. Once onboarded, our customer success team remains connected to our partners to track partner performance, resolve customer or platform issues, solicit feedback, communicate changes, and drive future improvements. We also provide training services and maintain an online knowledge base with best practices and training information to help our partners educate their loan originators and market to their customers.</w:t>
      </w:r>
    </w:p>
    <w:p>
      <w:pPr>
        <w:spacing w:after="0" w:line="12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Figure Connect platform enables loan originators to obtain forward commitments from buyers, secure active bids, and manage loan pricing. This system allows for the delivery of loan pools into commitments using standardized sale terms and documentation. The platform is designed to provide loan origination partners with control over their operations, supported by liquidity and transparent loan pricing management.</w:t>
      </w:r>
    </w:p>
    <w:p>
      <w:pPr>
        <w:spacing w:after="0" w:line="12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Figure Connect utilizes the Provenance Blockchain, a distributed proof-of-stake blockchain, to improve efficiencies for loan buyers and sellers. This integration reduces the settlement process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months to days. By standardizing key characteristics of loan pools and sale terms, Figure Connect aims to provide price certainty before loan origination, contributing to market liquidity by ensuring funding certainty for loan originators and clarity in collateral composition for loan buyers.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Partner retention is very high. 93% of the number of origination partners who accounted for 97% of the Partner branded LOS volume in 2023 remained on the platform in 2024. Furthermore, we experienced a 185% net volume retention in 2024. We are not only retaining our origination partners but also enabling them to continuously expand usage and volume.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Figure-Branded Strategy</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Figure -branded growth and marketing initiatives are primarily focused on bringing customers to our platform, where they can learn if they qualify for one of our loan products, namely a HELOC, and obtain approval in as little as five minutes and funding in as little as five days. Our Figure-branded products utilize a combination of online and offline, as well as paid and unpaid, marketing strategies. We continue to expand and enhance our customer acquisition strategies, and our largest Figure-branded customer acquisition channels include:</w:t>
      </w:r>
    </w:p>
    <w:p>
      <w:pPr>
        <w:spacing w:after="0" w:line="122" w:lineRule="exact"/>
        <w:rPr>
          <w:sz w:val="20"/>
          <w:szCs w:val="20"/>
          <w:color w:val="auto"/>
        </w:rPr>
      </w:pPr>
    </w:p>
    <w:p>
      <w:pPr>
        <w:jc w:val="both"/>
        <w:ind w:left="660" w:hanging="328"/>
        <w:spacing w:after="0" w:line="268"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Marketing affiliates </w:t>
      </w:r>
      <w:r>
        <w:rPr>
          <w:rFonts w:ascii="Arial" w:cs="Arial" w:eastAsia="Arial" w:hAnsi="Arial"/>
          <w:sz w:val="18"/>
          <w:szCs w:val="18"/>
          <w:color w:val="auto"/>
        </w:rPr>
        <w:t>— We advertise our products on the websites of a variety of online media partners, such as digital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comparison shopping platforms and other marketing websites. We have worked with 12 such online media partners as of March 31, 2025.</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Direct mail </w:t>
      </w:r>
      <w:r>
        <w:rPr>
          <w:rFonts w:ascii="Arial" w:cs="Arial" w:eastAsia="Arial" w:hAnsi="Arial"/>
          <w:sz w:val="18"/>
          <w:szCs w:val="18"/>
          <w:color w:val="auto"/>
        </w:rPr>
        <w:t>— We direct mail based on customer credit data that is matched to housing data to identify individuals who both qualify</w:t>
      </w:r>
      <w:r>
        <w:rPr>
          <w:rFonts w:ascii="Arial" w:cs="Arial" w:eastAsia="Arial" w:hAnsi="Arial"/>
          <w:sz w:val="18"/>
          <w:szCs w:val="18"/>
          <w:i w:val="1"/>
          <w:iCs w:val="1"/>
          <w:color w:val="auto"/>
        </w:rPr>
        <w:t xml:space="preserve"> </w:t>
      </w:r>
      <w:r>
        <w:rPr>
          <w:rFonts w:ascii="Arial" w:cs="Arial" w:eastAsia="Arial" w:hAnsi="Arial"/>
          <w:sz w:val="18"/>
          <w:szCs w:val="18"/>
          <w:color w:val="auto"/>
        </w:rPr>
        <w:t>for and may have a need for a HELOC. Our approach employs proprietary AI attributes, strengthened by our six-year operating history. This enables us to send precisely targeted, prescreened credit offers that are customized for each recipient. These offers include tailored messaging and creative positioning, resulting in a significant performance edge compared to other marketing channels.</w:t>
      </w:r>
    </w:p>
    <w:p>
      <w:pPr>
        <w:spacing w:after="0" w:line="1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Paid marketing</w:t>
      </w:r>
      <w:r>
        <w:rPr>
          <w:rFonts w:ascii="Arial" w:cs="Arial" w:eastAsia="Arial" w:hAnsi="Arial"/>
          <w:sz w:val="18"/>
          <w:szCs w:val="18"/>
          <w:color w:val="auto"/>
        </w:rPr>
        <w:t>—We have extensive campaigns in paid search on both brand and non-brand, accounting for approximately 30% of</w:t>
      </w:r>
      <w:r>
        <w:rPr>
          <w:rFonts w:ascii="Arial" w:cs="Arial" w:eastAsia="Arial" w:hAnsi="Arial"/>
          <w:sz w:val="18"/>
          <w:szCs w:val="18"/>
          <w:i w:val="1"/>
          <w:iCs w:val="1"/>
          <w:color w:val="auto"/>
        </w:rPr>
        <w:t xml:space="preserve"> </w:t>
      </w:r>
      <w:r>
        <w:rPr>
          <w:rFonts w:ascii="Arial" w:cs="Arial" w:eastAsia="Arial" w:hAnsi="Arial"/>
          <w:sz w:val="18"/>
          <w:szCs w:val="18"/>
          <w:color w:val="auto"/>
        </w:rPr>
        <w:t>our Figure-branded monthly volume for the three months ended March 31, 2025.</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Organic social media</w:t>
      </w:r>
      <w:r>
        <w:rPr>
          <w:rFonts w:ascii="Arial" w:cs="Arial" w:eastAsia="Arial" w:hAnsi="Arial"/>
          <w:sz w:val="18"/>
          <w:szCs w:val="18"/>
          <w:color w:val="auto"/>
        </w:rPr>
        <w:t>—As our brand recognition and reputation grow, an increasing number of potential customers come to our</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through our social media presence.</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Email marketing</w:t>
      </w:r>
      <w:r>
        <w:rPr>
          <w:rFonts w:ascii="Arial" w:cs="Arial" w:eastAsia="Arial" w:hAnsi="Arial"/>
          <w:sz w:val="18"/>
          <w:szCs w:val="18"/>
          <w:color w:val="auto"/>
        </w:rPr>
        <w:t>—We have an automated email program that sends customized messages and reminders to potential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once they have created accounts to encourage them to complete their HELOC application.</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Online advertising</w:t>
      </w:r>
      <w:r>
        <w:rPr>
          <w:rFonts w:ascii="Arial" w:cs="Arial" w:eastAsia="Arial" w:hAnsi="Arial"/>
          <w:sz w:val="18"/>
          <w:szCs w:val="18"/>
          <w:color w:val="auto"/>
        </w:rPr>
        <w:t>—Search engines and social media channels enable targeted outreach to potential customers with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messages.</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utilize these customer acquisition channels to launch Figure-branded products, test demand and product efficacy. We leverage diversified sales and lead channels, machine learning, and customer propensity data to ensure we have the broadest, most economical access to high-quality customers, and we invest in sales and customer success teams to support the partners that utilize our platform. Our Figure-branded products accounted for approximately 23% of our originations for the three months ended March 31, 2025.</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Exchange Customers and YLDS</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growth and user adoption in Figure Exchange has been, from a marketing standpoint, fully organic and product-led without investing in customer acquisition, evidencing the value add of our solutions. Going forward, we anticipate ramping up our adoption strategy as we undertake a two-pronged approach for sales and marketing. On one end, we plan to build out an institutional sales team set to target asset managers, fintechs, banks, market makers, exchanges, and other financial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participants that are set to benefit from our Figure Exchange offering and the multiple use cases of YLDS. On the retail side, we plan to target potential users through different online channels including social media and paid advertisement.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technology solutions are applicable to a broad range of lending and capital markets activities that are experiencing important trends and market dynamics. We target specific focus areas where we can address friction points and improve efficiency and liquidity by leveraging blockchain-based technology solutions. We consider our addressable market to be the volume of loans that can be originated using our LOS as well as the volume that can be transacted on our marketplaces for loans and digital assets. When taken together, we estimate that our addressable market today represents an approximately $185 billion dollar opportunity, as described in further detail below.</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Origination and Distribution Marketplace</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LOS platform and marketplace are set to displace legacy loan origination and delivery technology across consumer asset classes. While the home equity market is where we demonstrated proof of concept, we see the ability to deliver more streamlined financing solutions across other consumer assets. Our Figure Connect marketplace provides the technology and processes that enable our origination partners to sell their loans directly to a network of whole loan buyers, including the Guarantor Vehicle, as well as directly into a securitization arranged by Figure. Similar to our LOS, our Figure Connect marketplace is expandable to broader consumer loan assets.</w:t>
      </w:r>
    </w:p>
    <w:p>
      <w:pPr>
        <w:spacing w:after="0" w:line="1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example, Figure Connect currently supports assets originating within the Figure ecosystem, including DSCR and digital asset-backed loans, with potential expansion to auto loans, personal loans and student loans. Figure’s DSCR LOS is integrated with Figure Connect and supports the origination of “Debt Service Covenant Ratio” or DSCR loans, which are business-purpose loans made to borrowers against rental properties. Our DSCR LOS requires similar borrower information as does our HELOC LOS, with the additional requirement to provide proof of rental income, often in the form of a lease. Our DSCR LOS offers loans up to $1 million in size and the average loan balance of recent DSCR originations was $174,000 as of June 30, 2025. Total Figure LOS DSCR origination was $347,000 in the three months ended June 30, 2025.</w:t>
      </w:r>
    </w:p>
    <w:p>
      <w:pPr>
        <w:spacing w:after="0" w:line="12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the near future, we anticipate that Figure Connect will accommodate consumer loan asset sales from third-party originators, broadening the range of consumer loan assets available on our platform. Such sales are expected to include residential transition loan assets, sometimes known in the industry as “fix and flip” loans. We have active dialogue with a number of residential transition loan originators that are considering Figure Connect as a method to find additional investors for their loan origination. To facilitate this expansion, we are developing a layer to enable non-Figure LOS originators to integrate their loans into our ecosystem and granting them access to Portfolio Manager. Additionally, our validator layer will ensure the integrity of third-party loans by verifying that they meet underwriting criteria, including validating the decision logic and the underlying input data used in credit decisions.</w:t>
      </w:r>
    </w:p>
    <w:p>
      <w:pPr>
        <w:spacing w:after="0" w:line="1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estimated total addressable market for our LOS and Figure Connect marketplace represents a $80 billion annual revenue opportunity. This is based on approximately $2 trillion of annual originations across consumer asset classes, including HELOCs, mortgage refinance, personal, credit card, and auto, according to the February 2025 - Equifax U.S. National Consumer Credit Trends Report - Originations and MBA, and an assumed take rate of approximately 4% based on our targeted pricing and our historical take rate revenue comprised of ecosystem and technology fees, origination fees, gain on sale, and capitalized servicing rights on a per volume basis.According to the Federal Reserve, the United States currently has approximately $35 trillion in outstanding home equity as of January 1, 2025.</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take rate for the three months ended March 31, 2025 is derived from the sum of ecosystem and technology fees, origination fees, gain on sale of loans, net and gain on servicing asset, net from our consolidated statement of operations. These items represent revenue generated from Figure-branded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and Partner-branded volume. Valuation changes in fair value of mortgage servicing rights, which we believe is not indicative of operating performance, and marketing expenses are deducted. This amount is divided by overall consumer loan marketplace volume for that period to arrive at approximately 4% for the three months ended March 31, 2025. We expect to maintain a take rate of approximately 4% even as our volume mix shifts to Figure Connect.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Tokenization and Trading</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Tokenization is the process by which real-world assets are digitally represented on a blockchain, enabling ownership of an underlying asset through ownership of a token. Our platform’s technology and infrastructure, particularly through Figure Exchange, allows for the trading of native digital assets and tokens. We believe that the market opportunity for tokenized securities is as large as the existing securities market and that the transition, once it begins, will happen quickly.</w:t>
      </w:r>
    </w:p>
    <w:p>
      <w:pPr>
        <w:spacing w:after="0" w:line="1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According to forecasts from industry sources, the asset tokenization opportunity is expected to expand to $16 trillion by 2030. These forecasts reveal a significant opportunity with tokenization, where Figure has a first-mover advantage. With an assumed take rate of 0.5%, based on the pricing that we plan to implement, the revenue opportunity could be over $80 billion.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Peer to Peer Transferable Stablecoins</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view the market opportunity of stablecoins as encapsulating elements of the global monetary supply. By removing layers of the current legacy systems, we believe the market opportunity is large. According to forecasts from Citigroup, the stablecoin market could reach $5 trillion by 2030. With an assumed take rate of 0.5%, based on the pricing of the Figure Certificates issued by our subsidiary, FCC, this revenue opportunity could be as large as $25 billion.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integrated loan origination and distribution technology solution faces competition from other originators’ proprietary systems and from third-party digital origination technology solutions providers. In particular, we compete with a variety of technology companies that aim to help legacy financial institutions with the digital transformation of their businesses, particularly with respect to originating, servicing, financing, and selling loans. This includes new products from legacy bank technology providers as well as newer companies focused entirely on lending software infrastructure for financial institutions. Within consumer loans, the extension of credit is highly competitive and increasingly dynamic as emerging technologies continue to enter into the marketplace. Our Partner-branded and Figure-branded originated loans compete in varying degrees with all other sources of secured and unsecured consumer credit, including depository and non-depository lenders (including retail and wholesale-based lenders) as well as other financial technology lending platforms.</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may also face competition from companies that have not previously competed in the consumer lending or financial services market, including companies with significant resources, large and experienced data science teams, and access to vast amounts of consumer-related information, including to information to which we do not have access, that could be used in the development of competing platforms and credit risk models.</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none of our competitors provide an offering equivalent to our platform, which we believe displaces legacy infrastructure at each stage of the loan lifecycle based on the principles of efficiency, customer experience, transparency, scalability, and flexibility. Specifically, we believe we distinguish ourselves from our competition through our technology and automation, streamlined originations, partner-accessible platform, and digitally native underwriting, which allows us and our partners to offer loan approvals in as little as five minutes and funding in as little as five days (subject to regulatory waiting periods), a fully electronic closing process, where allowed, a broad distribution network, and our embedded servicing and capital markets technology delivered via our blockchain-based ecosystem.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we compete favorably based on the following competitive factors:</w:t>
      </w:r>
    </w:p>
    <w:p>
      <w:pPr>
        <w:spacing w:after="0" w:line="171"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speed and ease of use enabled through our blockchain-based technology;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overall customer experience, including convenient access, product functionality, and transparency throughout the transaction;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partner satisfaction, including ease of onboarding, scope of offering, and value-add to all parties in our ecosystem;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flexibility, scalability, and the ability to innovate and improve rapidly;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ability to competitively price loan products for customers, partners, and loan purchasers on the secondary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ability to offer and sell loans efficiently and transparently in the capital markets;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brand awareness and reputation across the ecosystem.</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still relatively nascent industry, the digital asset landscape continues to be shaped by evolving regulation, a shift in the composition of major players and expanding avenues for growth and business lines. For Figure Exchange, the closest competitors are incumbent centralized cryptocurrency and digital asset exchanges. YLDS faces direct competition from other stablecoin issuers, although the scope of YLDS is set to broaden as we aim to displace legacy fiat payment rails and traditional stores of value like money market funds. Furthermore, as regulatory sentiment is increasingly perceived as more favorable in the United States, we anticipate heightened competitive tension on the back of new entrants.</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Exchange firms focused on digital assets are expanding their business latitude, evolving beyond basic cryptocurrency trading platforms to offer bundled services and products that aim to capture incremental portions of the value chain. At the same time, the collapse and retreat of major participants has left market vacuums to be occupied by new players, altering pre-established competitive dynamics.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Stablecoin issuance has seen a marked increase as regulatory sentiment towards cryptocurrencies has become more favorable in the United States. With the inherent volatility in cryptocurrencies, there is a demand for coins that can act as a reliable store of value, a first step if their ultimate goal is to displace fiat currency payments infrastructure and, effectively, decentralize finance. As such, participants are focused on achieving mass adoption and boosting activity as the market presents significant network effects that could suggest partial winner-takes-all dynamics.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this context, we believe Figure Exchange and YLDS offers differentiated solutions based on the following factors:</w:t>
      </w:r>
    </w:p>
    <w:p>
      <w:pPr>
        <w:spacing w:after="0" w:line="171"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decentralized custody where investors remain in full control of their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unique tokenized real-world assets that will be exclusive to Figure Exchange;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disintermediated monetization of user assets via our Democratized Prime offering;</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platform infrastructure that allows users to cross collateralize assets, efficiently reducing margin requirements, the implied drag on returns, and increasing their overall access to secured credit;</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regulatory and licensing moat that limits our competitors capacity to offer our full comprehensive suite of products;</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YLDS status as a registered security permits institutional investors to hold it, with the increased attractiveness of receiving interest payments; and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YLDS use cases for trade settlement and payments with transferability 24 hours, 7 days a week.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technology platform operates as the interface that drives efficiency, transparency, and certainty into the end-to-end loan origination and distribution process for our customers, partners, and our loan purchasers. We invest substantial resources in research and development to expand our platform by developing new components, features, and product offerings. Our product, engineering, and design teams build our platform and products in light of direct customer feedback, partner dialogue, market opportunity, and investor requirements. In addition, we continuously monitor our funnel to gain a deep understanding of the tasks and workflows we can make more efficient and user-friendly. We analyze the data from tens of thousands of applications flowing through our system to understand opportunities for driving further automation and improvements. We expect costs related to our research and development activities to increase in absolute dollars but decline as a percentage of total revenue as we continue to grow our business. We intend to leverage our existing platform in addition to hiring product, engineering, and design teams to expand our technology and launch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1"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We believe that our success depends in part on our ability to obtain, establish, enforce, and defend intellectual property rights in our core technology and innovations. We rely on a combination of trademark, service mark, trade secret, patent, and copyright laws in the United States and other jurisdictions, as well as license agreements, contractual restrictions, non</w:t>
      </w:r>
      <w:r>
        <w:rPr>
          <w:rFonts w:ascii="MS PGothic" w:cs="MS PGothic" w:eastAsia="MS PGothic" w:hAnsi="MS PGothic"/>
          <w:sz w:val="18"/>
          <w:szCs w:val="18"/>
          <w:color w:val="auto"/>
        </w:rPr>
        <w:t>‑</w:t>
      </w:r>
      <w:r>
        <w:rPr>
          <w:rFonts w:ascii="Arial" w:cs="Arial" w:eastAsia="Arial" w:hAnsi="Arial"/>
          <w:sz w:val="18"/>
          <w:szCs w:val="18"/>
          <w:color w:val="auto"/>
        </w:rPr>
        <w:t xml:space="preserve"> disclosure agreements, employee confidentiality, and intellectual property assignment agreements, and other contractual protections and confidentiality procedures, to obtain, establish, enforce, and defend our intellectual property rights. We seek to control access to our proprietary technology by entering into confidentiality and invention assignment agreements with our employees and contractors, and confidentiality agreements with third parties. Though we rely in part upon these legal, contractual, and procedural protections, we believe that factors such as the technological and creative skills of our personnel, creation of new services, features, and functionality, and frequent enhancements to our software platform are more essential to establishing and maintaining our technology leadership position. In addition, we use open source software in certain aspects of our platform. The terms of various open source licenses have not been interpreted by U.S. or foreign courts, and there is a risk that such licenses could be construed in a manner that imposes unanticipated conditions or restrictions on our services. For additional information, see the section titled “Risk Factors—Risks Related to Intellectual Property—Our software contains third-party open source software components, which could subject our proprietary software to general release, restrict our ability to sell our products and subject us to possible litigation, claims or proceedings.”</w:t>
      </w:r>
    </w:p>
    <w:p>
      <w:pPr>
        <w:spacing w:after="0" w:line="14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December 31, 2024, we had pending patent applications for certain aspects of our proprietary technology in the U.S. and various other countries. We filed these applications through two international patent applications under the Patent Cooperation Treaty, which allows the applicant to seek patent protection for an invention in a large number of countries simultaneously. These patent applications are pending, and we do not yet have patent protection for the inventions that they cover. The examination of the patent application in any particular jurisdiction may not be successful. We may, in the future, seek patent protection for additional technology that we develop. As of December 31, 2024, we had registered the term FIGURE as a trademark in Australia, Canada, the European Union, Hong Kong, India, Japan, the United Kingdom, and the United States, and also registered the FIGURE logo as a trademark in China. We have also obtained trademark registrations for certain of our other business names and trademarks and may in the future seek additional trademark registrations in jurisdictions where we operate. In addition, we have registered domain names used in, or related to, our business, most importantly figure.com.</w:t>
      </w:r>
    </w:p>
    <w:p>
      <w:pPr>
        <w:spacing w:after="0" w:line="91" w:lineRule="exact"/>
        <w:rPr>
          <w:sz w:val="20"/>
          <w:szCs w:val="20"/>
          <w:color w:val="auto"/>
        </w:rPr>
      </w:pPr>
    </w:p>
    <w:p>
      <w:pPr>
        <w:jc w:val="both"/>
        <w:ind w:firstLine="324"/>
        <w:spacing w:after="0" w:line="232" w:lineRule="exact"/>
        <w:rPr>
          <w:sz w:val="20"/>
          <w:szCs w:val="20"/>
          <w:color w:val="auto"/>
        </w:rPr>
      </w:pPr>
      <w:r>
        <w:rPr>
          <w:rFonts w:ascii="Arial" w:cs="Arial" w:eastAsia="Arial" w:hAnsi="Arial"/>
          <w:sz w:val="18"/>
          <w:szCs w:val="18"/>
          <w:color w:val="auto"/>
        </w:rPr>
        <w:t>We intend to pursue additional intellectual property protection to the extent we believe it would be beneficial and cost</w:t>
      </w:r>
      <w:r>
        <w:rPr>
          <w:rFonts w:ascii="MS PGothic" w:cs="MS PGothic" w:eastAsia="MS PGothic" w:hAnsi="MS PGothic"/>
          <w:sz w:val="18"/>
          <w:szCs w:val="18"/>
          <w:color w:val="auto"/>
        </w:rPr>
        <w:t>‑</w:t>
      </w:r>
      <w:r>
        <w:rPr>
          <w:rFonts w:ascii="Arial" w:cs="Arial" w:eastAsia="Arial" w:hAnsi="Arial"/>
          <w:sz w:val="18"/>
          <w:szCs w:val="18"/>
          <w:color w:val="auto"/>
        </w:rPr>
        <w:t>effective. Intellectual property laws, procedures, and restrictions provide only limited protection, and despite our commercially reasonable efforts to protect our current and future intellectual property rights, they may not be respected in the future or may be invalidated, circumvented, challenged, infringed, misappropriated, or otherwise violated. Further, the laws of certain countries do not protect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3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proprietary rights to the same extent as the laws of the United States, and, therefore, in certain jurisdictions, we may be unable to protect our proprietary technology, brand, or other intellectual property rights. We cannot guarantee that our existing and future patents, copyrights, trademarks, service marks, trade secrets, know</w:t>
      </w:r>
      <w:r>
        <w:rPr>
          <w:rFonts w:ascii="MS PGothic" w:cs="MS PGothic" w:eastAsia="MS PGothic" w:hAnsi="MS PGothic"/>
          <w:sz w:val="18"/>
          <w:szCs w:val="18"/>
          <w:color w:val="auto"/>
        </w:rPr>
        <w:t>‑</w:t>
      </w:r>
      <w:r>
        <w:rPr>
          <w:rFonts w:ascii="Arial" w:cs="Arial" w:eastAsia="Arial" w:hAnsi="Arial"/>
          <w:sz w:val="18"/>
          <w:szCs w:val="18"/>
          <w:color w:val="auto"/>
        </w:rPr>
        <w:t>how, domain names, and other intellectual property rights will provide us with competitive advantages, distinguish our products from those of our competitors, or prevent competitors from launching comparable products. Further, we may not be able to prevent third parties from infringing, diluting, misappropriating, or otherwise violating our intellectual property rights, and we may face challenges to the validity or enforceability of our intellectual property rights. Although we are not presently involved in intellectual property lawsuits, we may face allegations from third parties, including our competitors and “non</w:t>
      </w:r>
      <w:r>
        <w:rPr>
          <w:rFonts w:ascii="MS PGothic" w:cs="MS PGothic" w:eastAsia="MS PGothic" w:hAnsi="MS PGothic"/>
          <w:sz w:val="18"/>
          <w:szCs w:val="18"/>
          <w:color w:val="auto"/>
        </w:rPr>
        <w:t>‑</w:t>
      </w:r>
      <w:r>
        <w:rPr>
          <w:rFonts w:ascii="Arial" w:cs="Arial" w:eastAsia="Arial" w:hAnsi="Arial"/>
          <w:sz w:val="18"/>
          <w:szCs w:val="18"/>
          <w:color w:val="auto"/>
        </w:rPr>
        <w:t xml:space="preserve"> practicing entities,” that we have infringed, misappropriated, or otherwise violated their intellectual property rights. For additional information, see the section titled “Risk Factors—Risks Related to Our Intellectual Property.”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the loans facilitated through our platform, whether by us or our partners, and the other products and services we offer, are subject to a wide array of extensive and complex laws and regulations. Compliance with these laws and regulations may be subject to examination by various federal, state, and local government authorities. Failure to comply with applicable laws and regulations can lead to severe consequences, such as the revocation of necessary licenses or registration, loss of approved status, nullification or rescission of the loan contracts, class action lawsuits and other litigation, investigations, enforcement actions, and other regulatory and legal action and penalties, including civil and criminal liability. Moreover, we, along with our partners, vendors, and other service providers must comply with laws and regulatory frameworks that apply both directly to us and indirectly to our service providers. This includes compliance in areas such as privacy, data security, and data protection, especially given our role as a technology provider to financial services firms. Our contractual relationships with our customers also necessitate strict adherence to these legal and regulatory standards to ensure the integrity and security of our operations and services.</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hold licenses and currently offer (i) HELOCs directly to consumers through our Figure-branded solutions in Washington D.C. and all states other than Hawaii, and (ii) digital assets-secured personal loans in all states other than Idaho, Illinois, Kentucky, Maryland, Mississippi, South Dakota, Texas, Vermont, and Virginia. Our partners offer HELOCs and other loans directly to consumers using our technology in all states where they are appropriately licensed. In addition, we hold various licenses and registrations for the other financial services we offer at the federal and state level, including those related to consumer credit transactions, mortgage lending, loan servicing and collection activities, money transmission and digital assets transactions, the purchase and sale of whole loans, and other related transactions.</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Below, we summarize several of the material federal and state lending, servicing, financial services, consumer protection, and related laws applicable to our business. Many states have laws and regulations that are similar to the federal laws referred to below, but the degree and nature of such laws and regulations vary from state to state:</w:t>
      </w:r>
    </w:p>
    <w:p>
      <w:pPr>
        <w:spacing w:after="0" w:line="117" w:lineRule="exact"/>
        <w:rPr>
          <w:sz w:val="20"/>
          <w:szCs w:val="20"/>
          <w:color w:val="auto"/>
        </w:rPr>
      </w:pPr>
    </w:p>
    <w:p>
      <w:pPr>
        <w:jc w:val="both"/>
        <w:ind w:left="660" w:hanging="328"/>
        <w:spacing w:after="0" w:line="262"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TILA, including the Home Equity and Ownership Protection Act, and Regulation Z promulgated thereunder and similar state laws, which require certain disclosures to borrowers regarding the terms and conditions of their loans and credit transactions, require creditors to comply with certain lending practice restrictions, and limit the ability of a creditor to impose certain loan terms, take certain actions, or change the terms of a HELOC or other loans we make after origination.</w:t>
      </w:r>
    </w:p>
    <w:p>
      <w:pPr>
        <w:spacing w:after="0" w:line="122" w:lineRule="exact"/>
        <w:rPr>
          <w:rFonts w:ascii="Arial" w:cs="Arial" w:eastAsia="Arial" w:hAnsi="Arial"/>
          <w:sz w:val="18"/>
          <w:szCs w:val="18"/>
          <w:color w:val="auto"/>
        </w:rPr>
      </w:pPr>
    </w:p>
    <w:p>
      <w:pPr>
        <w:jc w:val="both"/>
        <w:ind w:left="660" w:hanging="328"/>
        <w:spacing w:after="0" w:line="222" w:lineRule="exact"/>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FDCPA, which provides guidelines and limitations on the conduct of certain debt collectors in connection with the collection of consumer debts. The FDCPA limits certain communications with third parties, imposes notice and debt validation requirements, and prohibits threatening, harassing, or abusive conduct in the course of debt collection. While the FDCPA primarily applies to third</w:t>
      </w:r>
      <w:r>
        <w:rPr>
          <w:rFonts w:ascii="MS PGothic" w:cs="MS PGothic" w:eastAsia="MS PGothic" w:hAnsi="MS PGothic"/>
          <w:sz w:val="18"/>
          <w:szCs w:val="18"/>
          <w:color w:val="auto"/>
        </w:rPr>
        <w:t>‑</w:t>
      </w:r>
      <w:r>
        <w:rPr>
          <w:rFonts w:ascii="Arial" w:cs="Arial" w:eastAsia="Arial" w:hAnsi="Arial"/>
          <w:sz w:val="18"/>
          <w:szCs w:val="18"/>
          <w:color w:val="auto"/>
        </w:rPr>
        <w:t>party debt collectors, debt collection laws of certain states impose similar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39" w:lineRule="exact"/>
        <w:rPr>
          <w:sz w:val="20"/>
          <w:szCs w:val="20"/>
          <w:color w:val="auto"/>
        </w:rPr>
      </w:pPr>
    </w:p>
    <w:p>
      <w:pPr>
        <w:ind w:left="328"/>
        <w:spacing w:after="0" w:line="239" w:lineRule="exact"/>
        <w:rPr>
          <w:sz w:val="20"/>
          <w:szCs w:val="20"/>
          <w:color w:val="auto"/>
        </w:rPr>
      </w:pPr>
      <w:r>
        <w:rPr>
          <w:rFonts w:ascii="Arial" w:cs="Arial" w:eastAsia="Arial" w:hAnsi="Arial"/>
          <w:sz w:val="18"/>
          <w:szCs w:val="18"/>
          <w:color w:val="auto"/>
        </w:rPr>
        <w:t>more broadly on creditors who collect their own debts. In addition, the CFPB prohibits unfair, deceptive, or abusive acts or practices (“UDAAPs”) in debt collection, including first</w:t>
      </w:r>
      <w:r>
        <w:rPr>
          <w:rFonts w:ascii="MS PGothic" w:cs="MS PGothic" w:eastAsia="MS PGothic" w:hAnsi="MS PGothic"/>
          <w:sz w:val="18"/>
          <w:szCs w:val="18"/>
          <w:color w:val="auto"/>
        </w:rPr>
        <w:t>‑</w:t>
      </w:r>
      <w:r>
        <w:rPr>
          <w:rFonts w:ascii="Arial" w:cs="Arial" w:eastAsia="Arial" w:hAnsi="Arial"/>
          <w:sz w:val="18"/>
          <w:szCs w:val="18"/>
          <w:color w:val="auto"/>
        </w:rPr>
        <w:t>party debt collection.</w:t>
      </w:r>
    </w:p>
    <w:p>
      <w:pPr>
        <w:spacing w:after="0" w:line="116" w:lineRule="exact"/>
        <w:rPr>
          <w:sz w:val="20"/>
          <w:szCs w:val="20"/>
          <w:color w:val="auto"/>
        </w:rPr>
      </w:pPr>
    </w:p>
    <w:p>
      <w:pPr>
        <w:jc w:val="both"/>
        <w:ind w:left="328" w:hanging="328"/>
        <w:spacing w:after="0" w:line="259" w:lineRule="auto"/>
        <w:tabs>
          <w:tab w:leader="none" w:pos="323"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RESPA and Regulation X promulgated thereunder, which require certain disclosures to be made to the borrower at application and closing, prohibit giving or accepting any fee, kickback, or other thing of value for the referral of real estate settlement services or accepting a portion or split of a settlement fee other than as fair market value for services actually provided, place limitations on affiliated business arrangements, and require mortgage servicers to comply with certain servicing practice obligations, including with respect to escrow account administration and maintenance.</w:t>
      </w:r>
    </w:p>
    <w:p>
      <w:pPr>
        <w:spacing w:after="0" w:line="125" w:lineRule="exact"/>
        <w:rPr>
          <w:rFonts w:ascii="Arial" w:cs="Arial" w:eastAsia="Arial" w:hAnsi="Arial"/>
          <w:sz w:val="18"/>
          <w:szCs w:val="18"/>
          <w:color w:val="auto"/>
        </w:rPr>
      </w:pPr>
    </w:p>
    <w:p>
      <w:pPr>
        <w:jc w:val="both"/>
        <w:ind w:left="328" w:hanging="328"/>
        <w:spacing w:after="0" w:line="262" w:lineRule="auto"/>
        <w:tabs>
          <w:tab w:leader="none" w:pos="323" w:val="left"/>
        </w:tabs>
        <w:numPr>
          <w:ilvl w:val="0"/>
          <w:numId w:val="62"/>
        </w:numPr>
        <w:rPr>
          <w:rFonts w:ascii="Arial" w:cs="Arial" w:eastAsia="Arial" w:hAnsi="Arial"/>
          <w:sz w:val="18"/>
          <w:szCs w:val="18"/>
          <w:color w:val="auto"/>
        </w:rPr>
      </w:pPr>
      <w:r>
        <w:rPr>
          <w:rFonts w:ascii="Arial" w:cs="Arial" w:eastAsia="Arial" w:hAnsi="Arial"/>
          <w:sz w:val="18"/>
          <w:szCs w:val="18"/>
          <w:color w:val="auto"/>
        </w:rPr>
        <w:t>ECOA and Regulation B promulgated thereunder, and similar state fair lending laws, which prohibit creditors from discouraging or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w:t>
      </w:r>
    </w:p>
    <w:p>
      <w:pPr>
        <w:spacing w:after="0" w:line="122" w:lineRule="exact"/>
        <w:rPr>
          <w:rFonts w:ascii="Arial" w:cs="Arial" w:eastAsia="Arial" w:hAnsi="Arial"/>
          <w:sz w:val="18"/>
          <w:szCs w:val="18"/>
          <w:color w:val="auto"/>
        </w:rPr>
      </w:pPr>
    </w:p>
    <w:p>
      <w:pPr>
        <w:jc w:val="both"/>
        <w:ind w:left="328" w:hanging="328"/>
        <w:spacing w:after="0" w:line="262" w:lineRule="auto"/>
        <w:tabs>
          <w:tab w:leader="none" w:pos="323" w:val="left"/>
        </w:tabs>
        <w:numPr>
          <w:ilvl w:val="0"/>
          <w:numId w:val="62"/>
        </w:numPr>
        <w:rPr>
          <w:rFonts w:ascii="Arial" w:cs="Arial" w:eastAsia="Arial" w:hAnsi="Arial"/>
          <w:sz w:val="18"/>
          <w:szCs w:val="18"/>
          <w:color w:val="auto"/>
        </w:rPr>
      </w:pPr>
      <w:r>
        <w:rPr>
          <w:rFonts w:ascii="Arial" w:cs="Arial" w:eastAsia="Arial" w:hAnsi="Arial"/>
          <w:sz w:val="18"/>
          <w:szCs w:val="18"/>
          <w:color w:val="auto"/>
        </w:rPr>
        <w:t>FCRA and Regulation V promulgated thereunder, which impose certain obligations on consumer reporting agencies, users of consumer reports and those that furnish information to consumer reporting agencies, including obligations relating to obtaining consumer reports, marketing using consumer reports, taking adverse action based on consumer report information, addressing risks of identity theft and fraud, and protecting the privacy and security of consumer reports and consumer report information.</w:t>
      </w:r>
    </w:p>
    <w:p>
      <w:pPr>
        <w:spacing w:after="0" w:line="122" w:lineRule="exact"/>
        <w:rPr>
          <w:rFonts w:ascii="Arial" w:cs="Arial" w:eastAsia="Arial" w:hAnsi="Arial"/>
          <w:sz w:val="18"/>
          <w:szCs w:val="18"/>
          <w:color w:val="auto"/>
        </w:rPr>
      </w:pPr>
    </w:p>
    <w:p>
      <w:pPr>
        <w:jc w:val="both"/>
        <w:ind w:left="328" w:hanging="328"/>
        <w:spacing w:after="0" w:line="224" w:lineRule="exact"/>
        <w:tabs>
          <w:tab w:leader="none" w:pos="323"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Section 5 of the FTC Act, which prohibits unfair and deceptive acts or practices in or affecting commerce, and Section 1031 of the Dodd</w:t>
      </w:r>
      <w:r>
        <w:rPr>
          <w:rFonts w:ascii="MS PGothic" w:cs="MS PGothic" w:eastAsia="MS PGothic" w:hAnsi="MS PGothic"/>
          <w:sz w:val="18"/>
          <w:szCs w:val="18"/>
          <w:color w:val="auto"/>
        </w:rPr>
        <w:t>‑</w:t>
      </w:r>
      <w:r>
        <w:rPr>
          <w:rFonts w:ascii="Arial" w:cs="Arial" w:eastAsia="Arial" w:hAnsi="Arial"/>
          <w:sz w:val="18"/>
          <w:szCs w:val="18"/>
          <w:color w:val="auto"/>
        </w:rPr>
        <w:t>Frank Act, which prohibits UDAAPs in connection with any consumer financial product or service, and analogous state laws prohibiting unfair, deceptive, or abusive acts or practices.</w:t>
      </w:r>
    </w:p>
    <w:p>
      <w:pPr>
        <w:spacing w:after="0" w:line="139" w:lineRule="exact"/>
        <w:rPr>
          <w:rFonts w:ascii="Arial" w:cs="Arial" w:eastAsia="Arial" w:hAnsi="Arial"/>
          <w:sz w:val="18"/>
          <w:szCs w:val="18"/>
          <w:color w:val="auto"/>
        </w:rPr>
      </w:pPr>
    </w:p>
    <w:p>
      <w:pPr>
        <w:jc w:val="both"/>
        <w:ind w:left="328" w:hanging="328"/>
        <w:spacing w:after="0" w:line="257" w:lineRule="auto"/>
        <w:tabs>
          <w:tab w:leader="none" w:pos="323" w:val="left"/>
        </w:tabs>
        <w:numPr>
          <w:ilvl w:val="0"/>
          <w:numId w:val="62"/>
        </w:numPr>
        <w:rPr>
          <w:rFonts w:ascii="Arial" w:cs="Arial" w:eastAsia="Arial" w:hAnsi="Arial"/>
          <w:sz w:val="18"/>
          <w:szCs w:val="18"/>
          <w:color w:val="auto"/>
        </w:rPr>
      </w:pPr>
      <w:r>
        <w:rPr>
          <w:rFonts w:ascii="Arial" w:cs="Arial" w:eastAsia="Arial" w:hAnsi="Arial"/>
          <w:sz w:val="18"/>
          <w:szCs w:val="18"/>
          <w:color w:val="auto"/>
        </w:rPr>
        <w:t>GLBA and Regulation P promulgated thereunder, which include limitations on financial services firms’ disclosure of nonpublic personal information about a consumer to nonaffiliated third parties, in certain circumstances require financial services firms to limit the use and further disclosure of nonpublic personal information by nonaffiliated third parties to whom they disclose such information and require financial services firms to disclose certain privacy notices and practices with respect to information sharing with affiliated and unaffiliated entities as well as to safeguard personal borrower information, and other state and federal laws and regulations relating to privacy and cybersecurity.</w:t>
      </w:r>
    </w:p>
    <w:p>
      <w:pPr>
        <w:spacing w:after="0" w:line="128" w:lineRule="exact"/>
        <w:rPr>
          <w:rFonts w:ascii="Arial" w:cs="Arial" w:eastAsia="Arial" w:hAnsi="Arial"/>
          <w:sz w:val="18"/>
          <w:szCs w:val="18"/>
          <w:color w:val="auto"/>
        </w:rPr>
      </w:pPr>
    </w:p>
    <w:p>
      <w:pPr>
        <w:jc w:val="both"/>
        <w:ind w:left="328" w:hanging="328"/>
        <w:spacing w:after="0" w:line="262" w:lineRule="auto"/>
        <w:tabs>
          <w:tab w:leader="none" w:pos="323" w:val="left"/>
        </w:tabs>
        <w:numPr>
          <w:ilvl w:val="0"/>
          <w:numId w:val="62"/>
        </w:numPr>
        <w:rPr>
          <w:rFonts w:ascii="Arial" w:cs="Arial" w:eastAsia="Arial" w:hAnsi="Arial"/>
          <w:sz w:val="18"/>
          <w:szCs w:val="18"/>
          <w:color w:val="auto"/>
        </w:rPr>
      </w:pPr>
      <w:r>
        <w:rPr>
          <w:rFonts w:ascii="Arial" w:cs="Arial" w:eastAsia="Arial" w:hAnsi="Arial"/>
          <w:sz w:val="18"/>
          <w:szCs w:val="18"/>
          <w:color w:val="auto"/>
        </w:rPr>
        <w:t>SCRA, which allows military members to suspend or postpone certain civil obligations, requires creditors to reduce the interest rate to 6.0% on loans incurred before a servicemember entered active duty, and imposes certain obligations and restrictions on the enforcement of loans to servicemembers, including limitations on foreclosure or repossession of property securing certain loans, so that military members can focus on their duties.</w:t>
      </w:r>
    </w:p>
    <w:p>
      <w:pPr>
        <w:spacing w:after="0" w:line="122" w:lineRule="exact"/>
        <w:rPr>
          <w:rFonts w:ascii="Arial" w:cs="Arial" w:eastAsia="Arial" w:hAnsi="Arial"/>
          <w:sz w:val="18"/>
          <w:szCs w:val="18"/>
          <w:color w:val="auto"/>
        </w:rPr>
      </w:pPr>
    </w:p>
    <w:p>
      <w:pPr>
        <w:ind w:left="328" w:right="20" w:hanging="328"/>
        <w:spacing w:after="0" w:line="287" w:lineRule="auto"/>
        <w:tabs>
          <w:tab w:leader="none" w:pos="323" w:val="left"/>
        </w:tabs>
        <w:numPr>
          <w:ilvl w:val="0"/>
          <w:numId w:val="62"/>
        </w:numPr>
        <w:rPr>
          <w:rFonts w:ascii="Arial" w:cs="Arial" w:eastAsia="Arial" w:hAnsi="Arial"/>
          <w:sz w:val="18"/>
          <w:szCs w:val="18"/>
          <w:color w:val="auto"/>
        </w:rPr>
      </w:pPr>
      <w:r>
        <w:rPr>
          <w:rFonts w:ascii="Arial" w:cs="Arial" w:eastAsia="Arial" w:hAnsi="Arial"/>
          <w:sz w:val="18"/>
          <w:szCs w:val="18"/>
          <w:color w:val="auto"/>
        </w:rPr>
        <w:t>MLA, which provides disclosure requirements, interest rate limitations, substantive conduct obligations and prohibitions on certain behavior relating to loans made to covered borrowers, which include both servicemembers and their dependents.</w:t>
      </w:r>
    </w:p>
    <w:p>
      <w:pPr>
        <w:spacing w:after="0" w:line="98"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62"/>
        </w:numPr>
        <w:rPr>
          <w:rFonts w:ascii="Arial" w:cs="Arial" w:eastAsia="Arial" w:hAnsi="Arial"/>
          <w:sz w:val="18"/>
          <w:szCs w:val="18"/>
          <w:color w:val="auto"/>
        </w:rPr>
      </w:pPr>
      <w:r>
        <w:rPr>
          <w:rFonts w:ascii="Arial" w:cs="Arial" w:eastAsia="Arial" w:hAnsi="Arial"/>
          <w:sz w:val="18"/>
          <w:szCs w:val="18"/>
          <w:color w:val="auto"/>
        </w:rPr>
        <w:t>FHA and similar state fair lending laws, which prohibit discrimination in housing on the basis of race, sex, national origin, and certain other characteristics.</w:t>
      </w:r>
    </w:p>
    <w:p>
      <w:pPr>
        <w:spacing w:after="0" w:line="98" w:lineRule="exact"/>
        <w:rPr>
          <w:rFonts w:ascii="Arial" w:cs="Arial" w:eastAsia="Arial" w:hAnsi="Arial"/>
          <w:sz w:val="18"/>
          <w:szCs w:val="18"/>
          <w:color w:val="auto"/>
        </w:rPr>
      </w:pPr>
    </w:p>
    <w:p>
      <w:pPr>
        <w:ind w:left="328" w:hanging="328"/>
        <w:spacing w:after="0"/>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Secure and Fair Enforcement for Mortgage Licensing Act, which imposes state licensing requirements on mortgage loan originators.</w:t>
      </w:r>
    </w:p>
    <w:p>
      <w:pPr>
        <w:spacing w:after="0" w:line="171" w:lineRule="exact"/>
        <w:rPr>
          <w:rFonts w:ascii="Arial" w:cs="Arial" w:eastAsia="Arial" w:hAnsi="Arial"/>
          <w:sz w:val="18"/>
          <w:szCs w:val="18"/>
          <w:color w:val="auto"/>
        </w:rPr>
      </w:pPr>
    </w:p>
    <w:p>
      <w:pPr>
        <w:ind w:left="328" w:right="20" w:hanging="328"/>
        <w:spacing w:after="0" w:line="239" w:lineRule="exact"/>
        <w:tabs>
          <w:tab w:leader="none" w:pos="32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HMDA and Regulation C promulgated thereunder, which require financial institutions to maintain, report, and publicly disclose loan</w:t>
      </w:r>
      <w:r>
        <w:rPr>
          <w:rFonts w:ascii="MS PGothic" w:cs="MS PGothic" w:eastAsia="MS PGothic" w:hAnsi="MS PGothic"/>
          <w:sz w:val="18"/>
          <w:szCs w:val="18"/>
          <w:color w:val="auto"/>
        </w:rPr>
        <w:t>‑</w:t>
      </w:r>
      <w:r>
        <w:rPr>
          <w:rFonts w:ascii="Arial" w:cs="Arial" w:eastAsia="Arial" w:hAnsi="Arial"/>
          <w:sz w:val="18"/>
          <w:szCs w:val="18"/>
          <w:color w:val="auto"/>
        </w:rPr>
        <w:t>level information about their mortgage lending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0908"/>
          </w:cols>
          <w:pgMar w:left="652" w:top="1440" w:right="339" w:bottom="1440" w:gutter="0" w:footer="0" w:header="0"/>
        </w:sectPr>
      </w:pPr>
    </w:p>
    <w:bookmarkStart w:id="199" w:name="page200"/>
    <w:bookmarkEnd w:id="199"/>
    <w:p>
      <w:pPr>
        <w:spacing w:after="0" w:line="139" w:lineRule="exact"/>
        <w:rPr>
          <w:sz w:val="20"/>
          <w:szCs w:val="20"/>
          <w:color w:val="auto"/>
        </w:rPr>
      </w:pPr>
    </w:p>
    <w:p>
      <w:pPr>
        <w:jc w:val="both"/>
        <w:ind w:left="328"/>
        <w:spacing w:after="0" w:line="232" w:lineRule="exact"/>
        <w:rPr>
          <w:sz w:val="20"/>
          <w:szCs w:val="20"/>
          <w:color w:val="auto"/>
        </w:rPr>
      </w:pPr>
      <w:r>
        <w:rPr>
          <w:rFonts w:ascii="Arial" w:cs="Arial" w:eastAsia="Arial" w:hAnsi="Arial"/>
          <w:sz w:val="18"/>
          <w:szCs w:val="18"/>
          <w:color w:val="auto"/>
        </w:rPr>
        <w:t>in order to help determine whether financial institutions are serving the housing needs of their communities, assist public officials in distributing public</w:t>
      </w:r>
      <w:r>
        <w:rPr>
          <w:rFonts w:ascii="MS PGothic" w:cs="MS PGothic" w:eastAsia="MS PGothic" w:hAnsi="MS PGothic"/>
          <w:sz w:val="18"/>
          <w:szCs w:val="18"/>
          <w:color w:val="auto"/>
        </w:rPr>
        <w:t>‑</w:t>
      </w:r>
      <w:r>
        <w:rPr>
          <w:rFonts w:ascii="Arial" w:cs="Arial" w:eastAsia="Arial" w:hAnsi="Arial"/>
          <w:sz w:val="18"/>
          <w:szCs w:val="18"/>
          <w:color w:val="auto"/>
        </w:rPr>
        <w:t>sector investment so as to attract private investment to areas where it is needed, and assist in the enforcement of fair lending and anti</w:t>
      </w:r>
      <w:r>
        <w:rPr>
          <w:rFonts w:ascii="MS PGothic" w:cs="MS PGothic" w:eastAsia="MS PGothic" w:hAnsi="MS PGothic"/>
          <w:sz w:val="18"/>
          <w:szCs w:val="18"/>
          <w:color w:val="auto"/>
        </w:rPr>
        <w:t>‑</w:t>
      </w:r>
      <w:r>
        <w:rPr>
          <w:rFonts w:ascii="Arial" w:cs="Arial" w:eastAsia="Arial" w:hAnsi="Arial"/>
          <w:sz w:val="18"/>
          <w:szCs w:val="18"/>
          <w:color w:val="auto"/>
        </w:rPr>
        <w:t>discrimination laws.</w:t>
      </w:r>
    </w:p>
    <w:p>
      <w:pPr>
        <w:spacing w:after="0" w:line="117" w:lineRule="exact"/>
        <w:rPr>
          <w:sz w:val="20"/>
          <w:szCs w:val="20"/>
          <w:color w:val="auto"/>
        </w:rPr>
      </w:pPr>
    </w:p>
    <w:p>
      <w:pPr>
        <w:ind w:left="328" w:hanging="328"/>
        <w:spacing w:after="0" w:line="287" w:lineRule="auto"/>
        <w:tabs>
          <w:tab w:leader="none" w:pos="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State laws and regulations that impose requirements related to unfair or deceptive business practices and consumer protection, as well as other state laws relating to privacy, information security, cybersecurity, and conduct in connection with data breaches.</w:t>
      </w:r>
    </w:p>
    <w:p>
      <w:pPr>
        <w:spacing w:after="0" w:line="98" w:lineRule="exact"/>
        <w:rPr>
          <w:rFonts w:ascii="Arial" w:cs="Arial" w:eastAsia="Arial" w:hAnsi="Arial"/>
          <w:sz w:val="18"/>
          <w:szCs w:val="18"/>
          <w:color w:val="auto"/>
        </w:rPr>
      </w:pPr>
    </w:p>
    <w:p>
      <w:pPr>
        <w:ind w:left="328" w:right="20" w:hanging="328"/>
        <w:spacing w:after="0" w:line="287" w:lineRule="auto"/>
        <w:tabs>
          <w:tab w:leader="none" w:pos="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State laws and regulations that impose licensing and other requirements related to money transmission, money services, and virtual currency activity, including with respect to the money transmitter licenses that we hold in most U.S. states and territories.</w:t>
      </w:r>
    </w:p>
    <w:p>
      <w:pPr>
        <w:spacing w:after="0" w:line="98" w:lineRule="exact"/>
        <w:rPr>
          <w:rFonts w:ascii="Arial" w:cs="Arial" w:eastAsia="Arial" w:hAnsi="Arial"/>
          <w:sz w:val="18"/>
          <w:szCs w:val="18"/>
          <w:color w:val="auto"/>
        </w:rPr>
      </w:pPr>
    </w:p>
    <w:p>
      <w:pPr>
        <w:jc w:val="both"/>
        <w:ind w:left="328" w:hanging="328"/>
        <w:spacing w:after="0" w:line="268" w:lineRule="auto"/>
        <w:tabs>
          <w:tab w:leader="none" w:pos="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Flood Disaster Protection Act, which provides that a regulated lending institution may not make, increase, extend, or renew any loan secured by improved real property that is located in a designated special flood hazard area unless the improved real property is covered by a sufficient flood insurance policy.</w:t>
      </w:r>
    </w:p>
    <w:p>
      <w:pPr>
        <w:spacing w:after="0" w:line="116" w:lineRule="exact"/>
        <w:rPr>
          <w:rFonts w:ascii="Arial" w:cs="Arial" w:eastAsia="Arial" w:hAnsi="Arial"/>
          <w:sz w:val="18"/>
          <w:szCs w:val="18"/>
          <w:color w:val="auto"/>
        </w:rPr>
      </w:pPr>
    </w:p>
    <w:p>
      <w:pPr>
        <w:jc w:val="both"/>
        <w:ind w:left="328" w:hanging="328"/>
        <w:spacing w:after="0" w:line="268" w:lineRule="auto"/>
        <w:tabs>
          <w:tab w:leader="none" w:pos="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TCPA, and the regulations promulgated thereunder, which impose various consumer consent requirements and other restrictions in connection with telemarketing activity and other communication with consumers by phone, fax, or text message, and which provide guidelines designed to safeguard consumer privacy in connection with such communications.</w:t>
      </w:r>
    </w:p>
    <w:p>
      <w:pPr>
        <w:spacing w:after="0" w:line="116" w:lineRule="exact"/>
        <w:rPr>
          <w:rFonts w:ascii="Arial" w:cs="Arial" w:eastAsia="Arial" w:hAnsi="Arial"/>
          <w:sz w:val="18"/>
          <w:szCs w:val="18"/>
          <w:color w:val="auto"/>
        </w:rPr>
      </w:pPr>
    </w:p>
    <w:p>
      <w:pPr>
        <w:jc w:val="both"/>
        <w:ind w:left="328" w:hanging="328"/>
        <w:spacing w:after="0" w:line="262" w:lineRule="auto"/>
        <w:tabs>
          <w:tab w:leader="none" w:pos="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Electronic Signatures in Global and National Commerce Act, and similar state laws, particularly the Uniform Electronic Transactions Act, which authorize the creation of legally binding and enforceable agreements utilizing electronic records and signatures and which require financial services firms to obtain a consumer’s consent to electronically receive disclosures required under federal and state laws and regulations.</w:t>
      </w:r>
    </w:p>
    <w:p>
      <w:pPr>
        <w:spacing w:after="0" w:line="122"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Americans with Disabilities Act, which has been interpreted to include websites as “places of public accommodations” that must meet certain federal requirements related to access and use.</w:t>
      </w:r>
    </w:p>
    <w:p>
      <w:pPr>
        <w:spacing w:after="0" w:line="98"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Right to Financial Privacy Act and similar state laws that were enacted to provide the financial records of financial services firms’ customers a reasonable amount of privacy from government scrutiny.</w:t>
      </w:r>
    </w:p>
    <w:p>
      <w:pPr>
        <w:spacing w:after="0" w:line="58" w:lineRule="exact"/>
        <w:rPr>
          <w:rFonts w:ascii="Arial" w:cs="Arial" w:eastAsia="Arial" w:hAnsi="Arial"/>
          <w:sz w:val="18"/>
          <w:szCs w:val="18"/>
          <w:color w:val="auto"/>
        </w:rPr>
      </w:pPr>
    </w:p>
    <w:p>
      <w:pPr>
        <w:jc w:val="both"/>
        <w:ind w:left="328" w:hanging="328"/>
        <w:spacing w:after="0" w:line="229" w:lineRule="exact"/>
        <w:tabs>
          <w:tab w:leader="none" w:pos="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BSA, as amended by the USA PATRIOT Act, and regulations promulgated thereunder, which relate to compliance with anti</w:t>
      </w:r>
      <w:r>
        <w:rPr>
          <w:rFonts w:ascii="MS PGothic" w:cs="MS PGothic" w:eastAsia="MS PGothic" w:hAnsi="MS PGothic"/>
          <w:sz w:val="18"/>
          <w:szCs w:val="18"/>
          <w:color w:val="auto"/>
        </w:rPr>
        <w:t>‑</w:t>
      </w:r>
      <w:r>
        <w:rPr>
          <w:rFonts w:ascii="Arial" w:cs="Arial" w:eastAsia="Arial" w:hAnsi="Arial"/>
          <w:sz w:val="18"/>
          <w:szCs w:val="18"/>
          <w:color w:val="auto"/>
        </w:rPr>
        <w:t>money laundering, and counter</w:t>
      </w:r>
      <w:r>
        <w:rPr>
          <w:rFonts w:ascii="MS PGothic" w:cs="MS PGothic" w:eastAsia="MS PGothic" w:hAnsi="MS PGothic"/>
          <w:sz w:val="18"/>
          <w:szCs w:val="18"/>
          <w:color w:val="auto"/>
        </w:rPr>
        <w:t>‑</w:t>
      </w:r>
      <w:r>
        <w:rPr>
          <w:rFonts w:ascii="Arial" w:cs="Arial" w:eastAsia="Arial" w:hAnsi="Arial"/>
          <w:sz w:val="18"/>
          <w:szCs w:val="18"/>
          <w:color w:val="auto"/>
        </w:rPr>
        <w:t>terrorist financing laws and require us, as a money services business, broker-dealer, loan or finance company, and/or other regulated entity, to, among other things, develop, implement, and maintain an anti</w:t>
      </w:r>
      <w:r>
        <w:rPr>
          <w:rFonts w:ascii="MS PGothic" w:cs="MS PGothic" w:eastAsia="MS PGothic" w:hAnsi="MS PGothic"/>
          <w:sz w:val="18"/>
          <w:szCs w:val="18"/>
          <w:color w:val="auto"/>
        </w:rPr>
        <w:t>‑</w:t>
      </w:r>
      <w:r>
        <w:rPr>
          <w:rFonts w:ascii="Arial" w:cs="Arial" w:eastAsia="Arial" w:hAnsi="Arial"/>
          <w:sz w:val="18"/>
          <w:szCs w:val="18"/>
          <w:color w:val="auto"/>
        </w:rPr>
        <w:t>money laundering program, report suspicious activities and transactions to FinCEN, comply with certain reporting and recordkeeping requirements, and collect and maintain information about customers.</w:t>
      </w:r>
    </w:p>
    <w:p>
      <w:pPr>
        <w:spacing w:after="0" w:line="139" w:lineRule="exact"/>
        <w:rPr>
          <w:rFonts w:ascii="Arial" w:cs="Arial" w:eastAsia="Arial" w:hAnsi="Arial"/>
          <w:sz w:val="18"/>
          <w:szCs w:val="18"/>
          <w:color w:val="auto"/>
        </w:rPr>
      </w:pPr>
    </w:p>
    <w:p>
      <w:pPr>
        <w:ind w:left="328" w:hanging="328"/>
        <w:spacing w:after="0"/>
        <w:tabs>
          <w:tab w:leader="none" w:pos="32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FCPA and other applicable laws concerning or relating to public sector or private sector bribery or corruption.</w:t>
      </w:r>
    </w:p>
    <w:p>
      <w:pPr>
        <w:spacing w:after="0" w:line="171" w:lineRule="exact"/>
        <w:rPr>
          <w:rFonts w:ascii="Arial" w:cs="Arial" w:eastAsia="Arial" w:hAnsi="Arial"/>
          <w:sz w:val="18"/>
          <w:szCs w:val="18"/>
          <w:color w:val="auto"/>
        </w:rPr>
      </w:pPr>
    </w:p>
    <w:p>
      <w:pPr>
        <w:jc w:val="both"/>
        <w:ind w:left="328" w:hanging="328"/>
        <w:spacing w:after="0" w:line="268" w:lineRule="auto"/>
        <w:tabs>
          <w:tab w:leader="none" w:pos="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regulations promulgated by OFAC under the U.S. Department of the Treasury related to the administration and enforcement of trade and economic sanctions against foreign jurisdictions and persons that threaten U.S. foreign policy and national security goals, primarily to prevent targeted jurisdictions and persons from accessing the U.S. financial system.</w:t>
      </w:r>
    </w:p>
    <w:p>
      <w:pPr>
        <w:spacing w:after="0" w:line="116" w:lineRule="exact"/>
        <w:rPr>
          <w:rFonts w:ascii="Arial" w:cs="Arial" w:eastAsia="Arial" w:hAnsi="Arial"/>
          <w:sz w:val="18"/>
          <w:szCs w:val="18"/>
          <w:color w:val="auto"/>
        </w:rPr>
      </w:pPr>
    </w:p>
    <w:p>
      <w:pPr>
        <w:jc w:val="both"/>
        <w:ind w:left="328" w:hanging="328"/>
        <w:spacing w:after="0" w:line="262" w:lineRule="auto"/>
        <w:tabs>
          <w:tab w:leader="none" w:pos="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Federal, state, and self-regulatory organization securities rules and laws, including, among others, the Securities Act, the Exchange Act, the Advisers Act, and the Investment Company Act, the rules and regulations adopted under those laws, including those adopted by FINRA, and similar state laws and regulations, which govern how we offer, sell, and transact in our loan financing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0908"/>
          </w:cols>
          <w:pgMar w:left="652" w:top="1440" w:right="339" w:bottom="1440" w:gutter="0" w:footer="0" w:header="0"/>
        </w:sectPr>
      </w:pPr>
    </w:p>
    <w:bookmarkStart w:id="200" w:name="page201"/>
    <w:bookmarkEnd w:id="200"/>
    <w:p>
      <w:pPr>
        <w:spacing w:after="0" w:line="139"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We are also subject to a variety of additional laws and regulations, such as those related to real estate, property and casualty insurance, title insurance, settlement services, mobile</w:t>
      </w:r>
      <w:r>
        <w:rPr>
          <w:rFonts w:ascii="MS PGothic" w:cs="MS PGothic" w:eastAsia="MS PGothic" w:hAnsi="MS PGothic"/>
          <w:sz w:val="18"/>
          <w:szCs w:val="18"/>
          <w:color w:val="auto"/>
        </w:rPr>
        <w:t>‑</w:t>
      </w:r>
      <w:r>
        <w:rPr>
          <w:rFonts w:ascii="Arial" w:cs="Arial" w:eastAsia="Arial" w:hAnsi="Arial"/>
          <w:sz w:val="18"/>
          <w:szCs w:val="18"/>
          <w:color w:val="auto"/>
        </w:rPr>
        <w:t xml:space="preserve"> and internet-based businesses, data security, privacy, and consumer protection. Further, in connection with the issuance and transfer of YLDS, we require all participants to complete a KYC and anti-money laundering onboarding process, consistent with applicable U.S. federal and state financial regulatory requirements. This process is administered directly by us or through a registered transfer agent and includes the collection of personally identifiable information such as name, date of birth, address, social security number, and contact information. See the section titled “Risk Factors—Regulatory, Tax and Other Legal Risks” for additional information and a discussion of our regulatory risks.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w:t>
      </w:r>
    </w:p>
    <w:p>
      <w:pPr>
        <w:spacing w:after="0" w:line="171"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The data we collect, store, use, share, disclose, transmit, and otherwise process is integral to our business, serving as a key input to our operations and providing us with insights to improve our software platform and products. Our collection, use, receipt, and other processing or handling of data subjects us to numerous U.S. federal, state, and foreign laws and regulations regarding privacy, information security, and the collection, storage, sharing, use, transfer, disclosure, transmission, protection, and processing of certain types of data, including personal information and other non</w:t>
      </w:r>
      <w:r>
        <w:rPr>
          <w:rFonts w:ascii="MS PGothic" w:cs="MS PGothic" w:eastAsia="MS PGothic" w:hAnsi="MS PGothic"/>
          <w:sz w:val="18"/>
          <w:szCs w:val="18"/>
          <w:color w:val="auto"/>
        </w:rPr>
        <w:t>‑</w:t>
      </w:r>
      <w:r>
        <w:rPr>
          <w:rFonts w:ascii="Arial" w:cs="Arial" w:eastAsia="Arial" w:hAnsi="Arial"/>
          <w:sz w:val="18"/>
          <w:szCs w:val="18"/>
          <w:color w:val="auto"/>
        </w:rPr>
        <w:t>public data. These regulations include, for example, the GLBA, TCPA, FCRA, CCPA, the FTC Act, and New York’s Cybersecurity Law. We work to comply with, and to provide a platform and products that comply with, applicable laws, rules, and regulations relating to privacy, data protection, and information security. This commitment underpins our aim to build trust and provide a strong experience to customers.</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Despite our efforts to comply with applicable laws, rules, regulations, and other obligations relating to privacy, data protection, and information security, it is possible that our interpretations of such laws, rules, regulations, or other actual or asserted obligations, or our practices or software platform, could be inconsistent with, or fail or be alleged to fail to meet all requirements of, such laws, rules, regulations, or obligations. Our failure, or the failure by our partners, vendors, service providers, or customers, to comply with applicable laws, rules, or regulations or any other actual or asserted obligations relating to privacy, data protection, or information security, or any compromise of security that results in unauthorized access to, use, disclosure or other processing of, personal information or other data relating to customers or other individuals, or the perception that any of the foregoing types of failure or compromise has occurred, could damage our reputation, discourage new and existing customers from using our software platform, or result in investigations or other proceedings by governmental agencies, private claims and litigation, and fines, penalties, and other liabilities. Such outcomes could adversely affect our business, financial condition, and results of operations. For additional information, see the section titled “Risk Factors—Information Technology and Data Risks.”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131" w:lineRule="exact"/>
        <w:rPr>
          <w:sz w:val="20"/>
          <w:szCs w:val="20"/>
          <w:color w:val="auto"/>
        </w:rPr>
      </w:pPr>
    </w:p>
    <w:p>
      <w:pPr>
        <w:jc w:val="both"/>
        <w:ind w:firstLine="324"/>
        <w:spacing w:after="0" w:line="222" w:lineRule="exact"/>
        <w:rPr>
          <w:sz w:val="20"/>
          <w:szCs w:val="20"/>
          <w:color w:val="auto"/>
        </w:rPr>
      </w:pPr>
      <w:r>
        <w:rPr>
          <w:rFonts w:ascii="Arial" w:cs="Arial" w:eastAsia="Arial" w:hAnsi="Arial"/>
          <w:sz w:val="18"/>
          <w:szCs w:val="18"/>
          <w:color w:val="auto"/>
        </w:rPr>
        <w:t xml:space="preserve">Our strong corporate culture is built upon respect for, and promotes the well </w:t>
      </w:r>
      <w:r>
        <w:rPr>
          <w:rFonts w:ascii="MS PGothic" w:cs="MS PGothic" w:eastAsia="MS PGothic" w:hAnsi="MS PGothic"/>
          <w:sz w:val="18"/>
          <w:szCs w:val="18"/>
          <w:color w:val="auto"/>
        </w:rPr>
        <w:t>‑</w:t>
      </w:r>
      <w:r>
        <w:rPr>
          <w:rFonts w:ascii="Arial" w:cs="Arial" w:eastAsia="Arial" w:hAnsi="Arial"/>
          <w:sz w:val="18"/>
          <w:szCs w:val="18"/>
          <w:color w:val="auto"/>
        </w:rPr>
        <w:t>being of, our employees, empowering them to rise to their full potential and deliver their top performance. We create this environment by placing a focus on training, developing strong teams, and creating an organized efficient workplace. We focus on the continuous education of our employees by providing opportunities for real</w:t>
      </w:r>
      <w:r>
        <w:rPr>
          <w:rFonts w:ascii="MS PGothic" w:cs="MS PGothic" w:eastAsia="MS PGothic" w:hAnsi="MS PGothic"/>
          <w:sz w:val="18"/>
          <w:szCs w:val="18"/>
          <w:color w:val="auto"/>
        </w:rPr>
        <w:t>‑</w:t>
      </w:r>
      <w:r>
        <w:rPr>
          <w:rFonts w:ascii="Arial" w:cs="Arial" w:eastAsia="Arial" w:hAnsi="Arial"/>
          <w:sz w:val="18"/>
          <w:szCs w:val="18"/>
          <w:color w:val="auto"/>
        </w:rPr>
        <w:t>time learning. We also strive to develop strong teams through our recruiting efforts, which focus on attracting hardworking individuals of diverse backgrounds and experiences. We also believe that the retention of employees who contribute to our success in measurable ways is key to sustaining our growth. We drive employee retention through our market</w:t>
      </w:r>
      <w:r>
        <w:rPr>
          <w:rFonts w:ascii="MS PGothic" w:cs="MS PGothic" w:eastAsia="MS PGothic" w:hAnsi="MS PGothic"/>
          <w:sz w:val="18"/>
          <w:szCs w:val="18"/>
          <w:color w:val="auto"/>
        </w:rPr>
        <w:t>‑</w:t>
      </w:r>
      <w:r>
        <w:rPr>
          <w:rFonts w:ascii="Arial" w:cs="Arial" w:eastAsia="Arial" w:hAnsi="Arial"/>
          <w:sz w:val="18"/>
          <w:szCs w:val="18"/>
          <w:color w:val="auto"/>
        </w:rPr>
        <w:t>based compensation philosophy and the adoption of unique employee benefits, such as mental health initiatives and financial wellness resources. We achieve workplace organization through the implementation of consistent policies and procedures that are widely communicated and reinforced regularly through training and executive leadership. In addition, our strong commitment to promoting diversity and inclusion has fostered a highly collaborative and motivated workforce. We intend to continue to evaluate our human capital resources in managing our business, including the measures we employ to maintain diversity in our workforce.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99" w:lineRule="exact"/>
        <w:rPr>
          <w:sz w:val="20"/>
          <w:szCs w:val="20"/>
          <w:color w:val="auto"/>
        </w:rPr>
      </w:pPr>
    </w:p>
    <w:p>
      <w:pPr>
        <w:jc w:val="both"/>
        <w:ind w:firstLine="324"/>
        <w:spacing w:after="0" w:line="237" w:lineRule="exact"/>
        <w:rPr>
          <w:sz w:val="20"/>
          <w:szCs w:val="20"/>
          <w:color w:val="auto"/>
        </w:rPr>
      </w:pPr>
      <w:r>
        <w:rPr>
          <w:rFonts w:ascii="Arial" w:cs="Arial" w:eastAsia="Arial" w:hAnsi="Arial"/>
          <w:sz w:val="18"/>
          <w:szCs w:val="18"/>
          <w:color w:val="auto"/>
        </w:rPr>
        <w:t>As of March 31, 2025, we had approximately 560 full</w:t>
      </w:r>
      <w:r>
        <w:rPr>
          <w:rFonts w:ascii="MS PGothic" w:cs="MS PGothic" w:eastAsia="MS PGothic" w:hAnsi="MS PGothic"/>
          <w:sz w:val="18"/>
          <w:szCs w:val="18"/>
          <w:color w:val="auto"/>
        </w:rPr>
        <w:t>‑</w:t>
      </w:r>
      <w:r>
        <w:rPr>
          <w:rFonts w:ascii="Arial" w:cs="Arial" w:eastAsia="Arial" w:hAnsi="Arial"/>
          <w:sz w:val="18"/>
          <w:szCs w:val="18"/>
          <w:color w:val="auto"/>
        </w:rPr>
        <w:t>time employees. We also engage contractors and consultants. None of our employees are represented by a labor union or covered under a collective bargaining agreement. We have not experienced any work stoppages due to employee disputes, and we consider our relationship with our employees to be good.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corporate headquarters are located in New York, New York, and consists of 7,558 square feet of office space pursuant to a lease held by FT that expires in September 2025. We have additional office space in San Francisco, California pursuant to a lease held by FT, in Charlotte, North Carolina pursuant to a lease held by FL LLC, and in Reno, Nevada pursuant to a lease held by FT and FL LLC.</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All of our facilities are leased, and we do not own any real property. We believe that our existing facilities are adequate and suitable for our current needs and that, should it be needed, suitable additional or alternative space will be available.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From time to time, we are, and from time to time in the future may be, subject to legal proceedings and claims arising in the ordinary course of our business. We are not currently a party to or aware of any proceedings that we believe will have, individually or in the aggregate,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71" w:lineRule="exact"/>
        <w:rPr>
          <w:sz w:val="20"/>
          <w:szCs w:val="20"/>
          <w:color w:val="auto"/>
        </w:rPr>
      </w:pPr>
    </w:p>
    <w:p>
      <w:pPr>
        <w:ind w:left="1200" w:right="20" w:hanging="875"/>
        <w:spacing w:after="0" w:line="263" w:lineRule="auto"/>
        <w:rPr>
          <w:sz w:val="20"/>
          <w:szCs w:val="20"/>
          <w:color w:val="auto"/>
        </w:rPr>
      </w:pPr>
      <w:r>
        <w:rPr>
          <w:rFonts w:ascii="Arial" w:cs="Arial" w:eastAsia="Arial" w:hAnsi="Arial"/>
          <w:sz w:val="18"/>
          <w:szCs w:val="18"/>
          <w:color w:val="auto"/>
        </w:rPr>
        <w:t>The following table sets forth information regarding our executive officers and the current members of our board of directors as of , 2025:</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100" w:type="dxa"/>
            <w:vAlign w:val="bottom"/>
            <w:tcBorders>
              <w:bottom w:val="single" w:sz="8" w:color="CCEEFF"/>
            </w:tcBorders>
          </w:tcPr>
          <w:p>
            <w:pPr>
              <w:spacing w:after="0"/>
              <w:rPr>
                <w:sz w:val="17"/>
                <w:szCs w:val="17"/>
                <w:color w:val="auto"/>
              </w:rPr>
            </w:pPr>
          </w:p>
        </w:tc>
        <w:tc>
          <w:tcPr>
            <w:tcW w:w="510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Position(s)</w:t>
            </w:r>
          </w:p>
        </w:tc>
      </w:tr>
      <w:tr>
        <w:trPr>
          <w:trHeight w:val="238"/>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100" w:type="dxa"/>
            <w:vAlign w:val="bottom"/>
            <w:shd w:val="clear" w:color="auto" w:fill="CCEEFF"/>
          </w:tcPr>
          <w:p>
            <w:pPr>
              <w:spacing w:after="0"/>
              <w:rPr>
                <w:sz w:val="20"/>
                <w:szCs w:val="20"/>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Michael Tannenbaum</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37</w:t>
            </w:r>
          </w:p>
        </w:tc>
        <w:tc>
          <w:tcPr>
            <w:tcW w:w="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Macrina Kgil</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w:t>
            </w:r>
          </w:p>
        </w:tc>
        <w:tc>
          <w:tcPr>
            <w:tcW w:w="100" w:type="dxa"/>
            <w:vAlign w:val="bottom"/>
            <w:shd w:val="clear" w:color="auto" w:fill="CCEEFF"/>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Todd Stevens</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52</w:t>
            </w:r>
          </w:p>
        </w:tc>
        <w:tc>
          <w:tcPr>
            <w:tcW w:w="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Chief Capital Officer</w:t>
            </w: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Non-Employee Directors</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100" w:type="dxa"/>
            <w:vAlign w:val="bottom"/>
            <w:shd w:val="clear" w:color="auto" w:fill="CCEEFF"/>
          </w:tcPr>
          <w:p>
            <w:pPr>
              <w:spacing w:after="0"/>
              <w:rPr>
                <w:sz w:val="19"/>
                <w:szCs w:val="19"/>
                <w:color w:val="auto"/>
              </w:rPr>
            </w:pP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Adam Boyden</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Cagney</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54</w:t>
            </w:r>
          </w:p>
        </w:tc>
        <w:tc>
          <w:tcPr>
            <w:tcW w:w="100" w:type="dxa"/>
            <w:vAlign w:val="bottom"/>
            <w:shd w:val="clear" w:color="auto" w:fill="CCEEFF"/>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David Katsujin Chao</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Sachin Jaitly</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44</w:t>
            </w:r>
          </w:p>
        </w:tc>
        <w:tc>
          <w:tcPr>
            <w:tcW w:w="100" w:type="dxa"/>
            <w:vAlign w:val="bottom"/>
            <w:shd w:val="clear" w:color="auto" w:fill="CCEEFF"/>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June Ou</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10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Michael Tannenbaum</w:t>
      </w:r>
      <w:r>
        <w:rPr>
          <w:rFonts w:ascii="Arial" w:cs="Arial" w:eastAsia="Arial" w:hAnsi="Arial"/>
          <w:sz w:val="18"/>
          <w:szCs w:val="18"/>
          <w:color w:val="auto"/>
        </w:rPr>
        <w:t>. Mr. Tannenbaum has served as our Chief Executive Officer since April 2024, and as a member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directors since July 2024. Prior to joining Figure, Mr. Tannenbaum served as an executive at Brex, Inc., a technology and financial services company. Mr. Tannenbaum served as Brex's Chief Operating Officer from November 2021 to January 2024, and as its Chief Financial Officer and Chief Business Officer from July 2017 to November 2021. Earlier in his career, Mr. Tannenbaum held significant leadership roles at SoFi Technologies, Inc. (NASDAQ: SOFI) (“SoFi”), a financial services company, from July 2014 to July 2017, including as Chief Revenue Officer. Mr. Tannenbaum also worked at Hellman &amp; Friedman, a private equity firm, and in the investment banking division at JPMorgan Chase, a multinational investment bank and financial services company. Mr. Tannenbaum graduated </w:t>
      </w:r>
      <w:r>
        <w:rPr>
          <w:rFonts w:ascii="Arial" w:cs="Arial" w:eastAsia="Arial" w:hAnsi="Arial"/>
          <w:sz w:val="18"/>
          <w:szCs w:val="18"/>
          <w:i w:val="1"/>
          <w:iCs w:val="1"/>
          <w:color w:val="auto"/>
        </w:rPr>
        <w:t>summa cum laude</w:t>
      </w:r>
      <w:r>
        <w:rPr>
          <w:rFonts w:ascii="Arial" w:cs="Arial" w:eastAsia="Arial" w:hAnsi="Arial"/>
          <w:sz w:val="18"/>
          <w:szCs w:val="18"/>
          <w:color w:val="auto"/>
        </w:rPr>
        <w:t xml:space="preserve"> from Columbia University with a B.A. in Economics and Urban Studies.</w:t>
      </w:r>
    </w:p>
    <w:p>
      <w:pPr>
        <w:spacing w:after="0" w:line="13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believe that Mr. Tannenbaum is well-qualified to serve on our board of directors because of his experience in the financial technology industry, as well as his transactional and strategic planning experience and financial acumen.</w:t>
      </w:r>
    </w:p>
    <w:p>
      <w:pPr>
        <w:spacing w:after="0" w:line="9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Macrina Kgil</w:t>
      </w:r>
      <w:r>
        <w:rPr>
          <w:rFonts w:ascii="Arial" w:cs="Arial" w:eastAsia="Arial" w:hAnsi="Arial"/>
          <w:sz w:val="18"/>
          <w:szCs w:val="18"/>
          <w:color w:val="auto"/>
        </w:rPr>
        <w:t>. Ms. Kgil has served as our Chief Financial Officer since December 2024. Prior to joining Figure, Ms. Kgil served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Head of Finance at Flow.life, a real estate technology company, which is a position she held from July 2023 to November 2024. From November 2018 to November 2022, Ms. Kgil was also the Chief Financial Officer of Blockchain.com, a digital asset financial technology company. Concurrently, from November 2018 to June 2023, Ms. Kgil served as the Chief Financial Officer of Blockchain Venture Fund, a digital asset investment fund. Ms. Kgil’s career began at PricewaterhouseCoopers, followed by leadership roles at a variety of financial services firms, including Fortress Investment Group and OneMain Financial. Ms. Kgil holds a bachelor’s degree in Mineral and Petroleum Engineering from Seoul National University.</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Todd Stevens</w:t>
      </w:r>
      <w:r>
        <w:rPr>
          <w:rFonts w:ascii="Arial" w:cs="Arial" w:eastAsia="Arial" w:hAnsi="Arial"/>
          <w:sz w:val="18"/>
          <w:szCs w:val="18"/>
          <w:color w:val="auto"/>
        </w:rPr>
        <w:t>. Mr. Stevens has served as our Chief Capital Officer since November 2023. Prior to joining Figure, Mr. Stevens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Head of Capital Markets at Inveniam Capital Partners, a web3 software infrastructure company, from April 2021 to November 2023. From June 2004 to March 2020, Mr. Stevens served at Deutsche Bank in various roles, most recently as Global Head of Key Client Partners. At Deutsche Bank, Mr. Stevens was a member of the Global Wealth Management Executive Committee and oversaw a team of more than 70 people across seven countries. Mr. Stevens began his career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PricewaterhouseCoopers. Mr. Stevens graduated </w:t>
      </w:r>
      <w:r>
        <w:rPr>
          <w:rFonts w:ascii="Arial" w:cs="Arial" w:eastAsia="Arial" w:hAnsi="Arial"/>
          <w:sz w:val="18"/>
          <w:szCs w:val="18"/>
          <w:i w:val="1"/>
          <w:iCs w:val="1"/>
          <w:color w:val="auto"/>
        </w:rPr>
        <w:t>magna cum laude</w:t>
      </w:r>
      <w:r>
        <w:rPr>
          <w:rFonts w:ascii="Arial" w:cs="Arial" w:eastAsia="Arial" w:hAnsi="Arial"/>
          <w:sz w:val="18"/>
          <w:szCs w:val="18"/>
          <w:color w:val="auto"/>
        </w:rPr>
        <w:t xml:space="preserve"> with general honors from the University of Georgia with a B.B.A. in accounting.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Adam Boyden</w:t>
      </w:r>
      <w:r>
        <w:rPr>
          <w:rFonts w:ascii="Arial" w:cs="Arial" w:eastAsia="Arial" w:hAnsi="Arial"/>
          <w:sz w:val="18"/>
          <w:szCs w:val="18"/>
          <w:color w:val="auto"/>
        </w:rPr>
        <w:t>. Mr. Boyden has served as a member of our board of directors since March 2024. Mr. Boyden also previously served as a</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the board of directors of FT. Since September 2014, Mr. Boyden has also served as a general partner of RPM Ventures, a venture capital firm. From 2012 to 2013, Mr. Boyden served as the Chief Operating Officer of SoFi. From 2008 to 2012, he served as the President of Conduit Ltd., a cloud-based user engagement platform based in Israel. From 2006 to 2008, he served as the General Manager at Xfire, Inc., an instant messaging service and server browser for video games, and from 2004 to 2006 he served as their Vice President of Marketing and Business Development. From 2002 to 2004, Mr. Boyden was the founder and CEO of Openlane, Inc., an internet-based business-to-business automotive remarketing company. Mr. Boyden also currently serves on the boards of directors of Coterie Applications, Inc., an embedded insurance company, DailyPay Holdings, Inc., an on-demand pay solution, Family First, Inc., a caregiving software platform, Overalls Inc., a concierge benefits technology platform, Ao1 Holdings Inc. (d/b/a Players Health), a youth sports data and insurance platform, and Roost, Inc., a connected home technology platform. Mr. Boyden has a bachelor’s degree in engineering science from the University of Exeter and an M.B.A. from Stanford University’s Graduate School of Business.</w:t>
      </w:r>
    </w:p>
    <w:p>
      <w:pPr>
        <w:spacing w:after="0" w:line="12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believe that Mr. Boyden is qualified to serve on our board of directors because of his extensive experience in the venture capital industry and as a founder and executive officer of technology companies.</w:t>
      </w:r>
    </w:p>
    <w:p>
      <w:pPr>
        <w:spacing w:after="0" w:line="9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Michael Cagney</w:t>
      </w:r>
      <w:r>
        <w:rPr>
          <w:rFonts w:ascii="Arial" w:cs="Arial" w:eastAsia="Arial" w:hAnsi="Arial"/>
          <w:sz w:val="18"/>
          <w:szCs w:val="18"/>
          <w:color w:val="auto"/>
        </w:rPr>
        <w:t>. Mr. Cagney has served as a member of our board of directors since March 2024. Mr. Cagney is one of our co-founders.</w:t>
      </w:r>
      <w:r>
        <w:rPr>
          <w:rFonts w:ascii="Arial" w:cs="Arial" w:eastAsia="Arial" w:hAnsi="Arial"/>
          <w:sz w:val="18"/>
          <w:szCs w:val="18"/>
          <w:i w:val="1"/>
          <w:iCs w:val="1"/>
          <w:color w:val="auto"/>
        </w:rPr>
        <w:t xml:space="preserve"> </w:t>
      </w:r>
      <w:r>
        <w:rPr>
          <w:rFonts w:ascii="Arial" w:cs="Arial" w:eastAsia="Arial" w:hAnsi="Arial"/>
          <w:sz w:val="18"/>
          <w:szCs w:val="18"/>
          <w:color w:val="auto"/>
        </w:rPr>
        <w:t>Mr. Cagney also serves as the Chief Executive Officer of FMH, a position he has held since April 2024, and as the President of Figure REIT, a position he has held since October 2020. He is also a member of the board of directors of various of our subsidiaries. From January 2018 to March 2024, Mr. Cagney served as the Chief Executive Officer and as a member of the board of directors of FT. Mr. Cagney also served as Chief Executive Officer and President of FLC from January 2018 to July 2024. From 2011 to 2017, Mr. Cagney served as Chief Executive Officer and Chairman of the Board of SoFi, a technology and financial services company. Mr. Cagney’s career began at Wells Fargo, followed by founding roles at Finaplex, a wealth management software company, and Cabezon Investment Group, a global macro hedge fund. His significant contributions to the financial industry, particularly in leveraging blockchain technology, have garnered widespread recognition and accolades in professional circles and notable publications. Mr. Cagney holds a B.A. in Economics and an M.S. in Applied Economics and Finance from the University of California, Santa Cruz, and an M.S. in Management from Stanford University’s Graduate School of Business.</w:t>
      </w:r>
    </w:p>
    <w:p>
      <w:pPr>
        <w:spacing w:after="0" w:line="12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believe that Mr. Cagney’s significant experience in financial services and technology, public and private market investment experience, financial acumen, and industry ties make him uniquely qualified to serve on our board of directors.</w:t>
      </w:r>
    </w:p>
    <w:p>
      <w:pPr>
        <w:spacing w:after="0" w:line="9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David Katsujin Chao</w:t>
      </w:r>
      <w:r>
        <w:rPr>
          <w:rFonts w:ascii="Arial" w:cs="Arial" w:eastAsia="Arial" w:hAnsi="Arial"/>
          <w:sz w:val="18"/>
          <w:szCs w:val="18"/>
          <w:color w:val="auto"/>
        </w:rPr>
        <w:t>. Mr. Chao has served as a member of our board of directors since March 2024. Mr. Chao also previously served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of FMH and FT. Mr. Chao has served as the General Partner at DCM Ventures, a global venture capital firm which he co-founded, since January 1996. At DCM Ventures, Mr. Chao specializes in guiding portfolio companies in developing their corporate and product marketing strategies, building management teams, and forging domestic and international partnerships. Prior to DCM Ventures, Mr. Chao was a co-founder and acting Chief Financial Officer and Chief Technology Officer of Japan Communications Inc. (TSE: 9424), Japan’s first mobile virtual network operator. Earlier in his career, Mr. Chao worked as a consultant at McKinsey &amp; Company and held significant leadership roles at Apple and Recruit, Japan’s largest HR infomediary corporation. Mr. Chao has served as a member of the board of directors of FT since July 2018. He also currently serves as a member of the board of directors of SoftBank Group (TSE: 9984). Mr. Chao has been recognized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leading venture capitalist by Forbes Magazine and named to the Forbes Midas List Hall of Fame in 2016. He holds a B.A. from Brown University and an M.B.A. from Stanford University’s Graduate School of Business.</w:t>
      </w:r>
    </w:p>
    <w:p>
      <w:pPr>
        <w:spacing w:after="0" w:line="9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We believe that Mr. Chao is qualified to serve on our board of directors because of his experience in the lending, financial technology and blockchain technology industries, as well as his substantial transactional experience and his background in investment oversight.</w:t>
      </w:r>
    </w:p>
    <w:p>
      <w:pPr>
        <w:spacing w:after="0" w:line="9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Sachin Jaitly</w:t>
      </w:r>
      <w:r>
        <w:rPr>
          <w:rFonts w:ascii="Arial" w:cs="Arial" w:eastAsia="Arial" w:hAnsi="Arial"/>
          <w:sz w:val="18"/>
          <w:szCs w:val="18"/>
          <w:color w:val="auto"/>
        </w:rPr>
        <w:t>. Dr. Jaitly has served as a member of our board of directors since March 2024. Dr. Jaitly also currently serves on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of Figure Assets LLC and FMH and previously served as a member of the board of directors of FT. Since April 2021, Dr. Jaitly has also served as the founding General Partner of Morgan Creek Digital, a venture capital fund focused on web3 technologies. Since January 2018, he has also served as founding Managing Partner of Tessera Venture Partners, a venture capital fund focused on Blockchain and AI. Earlier in his career, Dr. Jaitly held various leadership roles at Datalogix Holdings Inc. (“Datalogix”), The Neat Company, flexEngage, Inc. (“flexEngage”), Nokia Corporation (“Nokia”), and General Electric. Dr. Jaitly was also the co-founder of flexEngage and participated in its acquisition by Klarna Holding AB, the acquisition of Nokia by Microsoft Corporation, and the acquisition of Datalogix by Oracle Corp. Dr. Jaitly holds a bachelor’s degree in International Business and an M.B.A. in Finance and Management from Rollins College. He also holds an Executive Education Certificate in Blockchain Technologies, Business Innovation and Application from the Massachusetts Institute of Technology and a Doctor of Business Administration in Finance from the University of Florida.</w:t>
      </w:r>
    </w:p>
    <w:p>
      <w:pPr>
        <w:spacing w:after="0" w:line="13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believe that Dr. Jaitly is qualified to serve on our board of directors because of his experience in the financial technology and blockchain technology industries, as well as his background in investment oversight.</w:t>
      </w:r>
    </w:p>
    <w:p>
      <w:pPr>
        <w:spacing w:after="0" w:line="9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June Ou</w:t>
      </w:r>
      <w:r>
        <w:rPr>
          <w:rFonts w:ascii="Arial" w:cs="Arial" w:eastAsia="Arial" w:hAnsi="Arial"/>
          <w:sz w:val="18"/>
          <w:szCs w:val="18"/>
          <w:color w:val="auto"/>
        </w:rPr>
        <w:t>. Ms. Ou has served as a member of our board of directors since January 2025. Ms. Ou is one of our co-founders. She also</w:t>
      </w:r>
      <w:r>
        <w:rPr>
          <w:rFonts w:ascii="Arial" w:cs="Arial" w:eastAsia="Arial" w:hAnsi="Arial"/>
          <w:sz w:val="18"/>
          <w:szCs w:val="18"/>
          <w:i w:val="1"/>
          <w:iCs w:val="1"/>
          <w:color w:val="auto"/>
        </w:rPr>
        <w:t xml:space="preserve"> </w:t>
      </w:r>
      <w:r>
        <w:rPr>
          <w:rFonts w:ascii="Arial" w:cs="Arial" w:eastAsia="Arial" w:hAnsi="Arial"/>
          <w:sz w:val="18"/>
          <w:szCs w:val="18"/>
          <w:color w:val="auto"/>
        </w:rPr>
        <w:t>serves as President of Figure Markets, Inc., a position she has held since May 2023, and previously served as President of FT from November 2022 to March 2024, overseeing the firm’s operations and strategic direction. Ms. Ou has deep experience in the financial technology industry, having served as the Chief Operating Officer of FT from January 2018 to November 2022 and as the Chief Technology Officer of SoFi from 2012 to 2017. Ms. Ou previously served as Chief Executive Officer of CCO Solutions, a provider of outsourced solutions to the hedge fund industry, and as Vice President of Engineering at Finaplex, Inc., a developer of financial services software. Ms. Ou holds an M.A. in International Relations from the University of Delaware, an M.S. in Applied Economics from the University of California, Santa Cruz, and an M.S. from Stanford University’s Graduate School of Business, where she was a Sloan Fellow.</w:t>
      </w:r>
    </w:p>
    <w:p>
      <w:pPr>
        <w:spacing w:after="0" w:line="13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believe that Ms. Ou is qualified to serve on our board of directors because of her significant experience in lending, financial technology, and blockchain-related business, as well as her deep experience in technology and development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Cagney and Ms. Ou are husband and wife. There are no other family relationships among any of our executive officers or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Our board of directors intends to adopt a code of business conduct and ethics that applies to all of our directors, officers, and employees, including our principal executive officer, principal financial officer, principal accounting officer or controller, or persons performing similar functions, as well as our contractors, consultants, and agents. Following this offering, the full text of our code of business conduct and ethics will be posted on the investor relations page on our website at </w:t>
      </w:r>
      <w:r>
        <w:rPr>
          <w:rFonts w:ascii="Arial" w:cs="Arial" w:eastAsia="Arial" w:hAnsi="Arial"/>
          <w:sz w:val="18"/>
          <w:szCs w:val="18"/>
          <w:i w:val="1"/>
          <w:iCs w:val="1"/>
          <w:color w:val="auto"/>
        </w:rPr>
        <w:t>https://www.figure.com</w:t>
      </w:r>
      <w:r>
        <w:rPr>
          <w:rFonts w:ascii="Arial" w:cs="Arial" w:eastAsia="Arial" w:hAnsi="Arial"/>
          <w:sz w:val="18"/>
          <w:szCs w:val="18"/>
          <w:color w:val="auto"/>
        </w:rPr>
        <w:t>. We intend to disclose any amendments to our code of business conduct and ethics, or waivers of its requirements, applicable to our principal executive officer, principal financial officer, principal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39" w:lineRule="exact"/>
        <w:rPr>
          <w:sz w:val="20"/>
          <w:szCs w:val="20"/>
          <w:color w:val="auto"/>
        </w:rPr>
      </w:pPr>
    </w:p>
    <w:p>
      <w:pPr>
        <w:ind w:right="1000"/>
        <w:spacing w:after="0" w:line="438" w:lineRule="auto"/>
        <w:rPr>
          <w:sz w:val="20"/>
          <w:szCs w:val="20"/>
          <w:color w:val="auto"/>
        </w:rPr>
      </w:pPr>
      <w:r>
        <w:rPr>
          <w:rFonts w:ascii="Arial" w:cs="Arial" w:eastAsia="Arial" w:hAnsi="Arial"/>
          <w:sz w:val="18"/>
          <w:szCs w:val="18"/>
          <w:color w:val="auto"/>
        </w:rPr>
        <w:t xml:space="preserve">officer or controller, or persons performing similar functions, on our website identified above, or in filings under the Exchange Act. </w:t>
      </w:r>
      <w:r>
        <w:rPr>
          <w:rFonts w:ascii="Arial" w:cs="Arial" w:eastAsia="Arial" w:hAnsi="Arial"/>
          <w:sz w:val="18"/>
          <w:szCs w:val="18"/>
          <w:b w:val="1"/>
          <w:bCs w:val="1"/>
          <w:color w:val="auto"/>
        </w:rPr>
        <w:t>Board of Directors</w:t>
      </w:r>
    </w:p>
    <w:p>
      <w:pPr>
        <w:spacing w:after="0" w:line="1" w:lineRule="exact"/>
        <w:rPr>
          <w:sz w:val="20"/>
          <w:szCs w:val="20"/>
          <w:color w:val="auto"/>
        </w:rPr>
      </w:pPr>
    </w:p>
    <w:p>
      <w:pPr>
        <w:ind w:right="980" w:firstLine="324"/>
        <w:spacing w:after="0" w:line="287" w:lineRule="auto"/>
        <w:rPr>
          <w:sz w:val="20"/>
          <w:szCs w:val="20"/>
          <w:color w:val="auto"/>
        </w:rPr>
      </w:pPr>
      <w:r>
        <w:rPr>
          <w:rFonts w:ascii="Arial" w:cs="Arial" w:eastAsia="Arial" w:hAnsi="Arial"/>
          <w:sz w:val="18"/>
          <w:szCs w:val="18"/>
          <w:color w:val="auto"/>
        </w:rPr>
        <w:t>Our business and affairs are managed under the direction of our board of directors. Our board of directors will consist of directors prior to the consummation of this offering.</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board of directors has undertaken a review of the independence of each director. Based on information provided by each director concerning their background, employment, and affiliations, our board of directors has determined that , representing of our directors, do not have a relationship that would interfere with the exercise of independent judgment in carrying out the responsibilities of a director and that each of these directors is an “independent director” as defined under the listing standards of .</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that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Upon the completion of this offering, Michael Cagney, our co-founder and member of our board of directors, will continue to control a majority of the voting power represented by our capital stock. As a result, we will be a “controlled company” within the meaning of the</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corporate governance rules of . Under these corporate governance rules, a company of which more than 50% of the voting power for the election of directors is held by an individual, a group or another company is a “controlled company” and may elect not to comply with certain corporate governance requirements. We intend to rely on the foregoing exemptions provided to controlled companies under the</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corporate governance rules of . Therefore, immediately following the consummation of this offering, we may not have a majority of independent directors on our board of directors, an entirely independent nominating and corporate governance committee or an entirely independent compensation committee, and may not perform annual performance evaluations of the nominating and corporate governance committee and compensation committee unless and until such time as we are required to do so. Accordingly, you may not have the same protections afforded to stockholders of companies that are subject to all of these corporate governance requirements. If we cease to be a</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“controlled company” and our shares continue to be listed on , we will be required to comply with these provisions within the applicable transition periods. For additional information, see the section titled “Risk Factors—Risks Related to Ownership of Our Securities—</w:t>
      </w:r>
    </w:p>
    <w:p>
      <w:pPr>
        <w:spacing w:after="0" w:line="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We have elected to take advantage of the ’controlled company’ exemption to the corporate governance rules for -listed companies, which could make our Class A common stock less attractive to some investors or otherwise adversely affect our stock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The composition and responsibilities of each of the committees of our board of directors is described below. Members will serve on these committees until the earlier of their resignation or removal by our board of directors in its discretion.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the effectiveness of the registration statement of which this prospectus forms a part, the members of our audit committee will be</w:t>
      </w:r>
    </w:p>
    <w:p>
      <w:pPr>
        <w:spacing w:after="0" w:line="27" w:lineRule="exact"/>
        <w:rPr>
          <w:sz w:val="20"/>
          <w:szCs w:val="20"/>
          <w:color w:val="auto"/>
        </w:rPr>
      </w:pPr>
    </w:p>
    <w:p>
      <w:pPr>
        <w:jc w:val="both"/>
        <w:ind w:firstLine="750"/>
        <w:spacing w:after="0" w:line="266" w:lineRule="auto"/>
        <w:rPr>
          <w:sz w:val="20"/>
          <w:szCs w:val="20"/>
          <w:color w:val="auto"/>
        </w:rPr>
      </w:pPr>
      <w:r>
        <w:rPr>
          <w:rFonts w:ascii="Arial" w:cs="Arial" w:eastAsia="Arial" w:hAnsi="Arial"/>
          <w:sz w:val="18"/>
          <w:szCs w:val="18"/>
          <w:color w:val="auto"/>
        </w:rPr>
        <w:t>, and , with serving as chairperson, each of whom meets the requirements for independence under the rules and regulations of the SEC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3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listing standards of applicable to audit committee members. Each member of our audit committee also meets the financial literacy requirements of the listing standards of . In addition, our board of directors has determined that is an audit</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committee financial expert within the meaning of Item 407(d) of Regulation S-K under the Securities Act. Following completion of this offering, our audit committee will, among other things:</w:t>
      </w:r>
    </w:p>
    <w:p>
      <w:pPr>
        <w:spacing w:after="0" w:line="117"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select, retain, compensate, evaluate, oversee, and, where appropriate, terminate our independent registered public accounting firm;</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 and approve the scope and plans for the audits and the audit fees and approve all non-audit and tax services to be performed by the independent auditor;</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evaluate the independence and qualifications of our independent registered public accounting firm;</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 our financial statements, and discuss with management and our independent registered public accounting firm the results of the annual audit and the quarterly reviews;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 and discuss with management and our independent registered public accounting firm the quality and adequacy of our internal controls and our disclosure controls and procedures;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discuss with management our procedures regarding the presentation of our financial information, and review earnings press releases and guidance;</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oversee the design, implementation, and performance of our internal audit function, if any;</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set hiring policies with regard to the hiring of employees and former employees of our independent auditor and oversee compliance with such policies;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 approve and monitor related party transactions;</w:t>
      </w:r>
    </w:p>
    <w:p>
      <w:pPr>
        <w:spacing w:after="0" w:line="171" w:lineRule="exact"/>
        <w:rPr>
          <w:rFonts w:ascii="Arial" w:cs="Arial" w:eastAsia="Arial" w:hAnsi="Arial"/>
          <w:sz w:val="18"/>
          <w:szCs w:val="18"/>
          <w:color w:val="auto"/>
        </w:rPr>
      </w:pPr>
    </w:p>
    <w:p>
      <w:pPr>
        <w:jc w:val="both"/>
        <w:ind w:left="660" w:hanging="328"/>
        <w:spacing w:after="0" w:line="318" w:lineRule="auto"/>
        <w:tabs>
          <w:tab w:leader="none" w:pos="655" w:val="left"/>
        </w:tabs>
        <w:numPr>
          <w:ilvl w:val="0"/>
          <w:numId w:val="64"/>
        </w:numPr>
        <w:rPr>
          <w:rFonts w:ascii="Arial" w:cs="Arial" w:eastAsia="Arial" w:hAnsi="Arial"/>
          <w:sz w:val="17"/>
          <w:szCs w:val="17"/>
          <w:color w:val="auto"/>
        </w:rPr>
      </w:pPr>
      <w:r>
        <w:rPr>
          <w:rFonts w:ascii="Arial" w:cs="Arial" w:eastAsia="Arial" w:hAnsi="Arial"/>
          <w:sz w:val="17"/>
          <w:szCs w:val="17"/>
          <w:color w:val="auto"/>
        </w:rPr>
        <w:t>adopt and oversee procedures to address complaints regarding accounting, internal accounting controls and auditing matters, including confidential, anonymous submissions by our employees of concerns regarding questionable accounting or auditing matters;</w:t>
      </w:r>
    </w:p>
    <w:p>
      <w:pPr>
        <w:spacing w:after="0" w:line="75" w:lineRule="exact"/>
        <w:rPr>
          <w:rFonts w:ascii="Arial" w:cs="Arial" w:eastAsia="Arial" w:hAnsi="Arial"/>
          <w:sz w:val="17"/>
          <w:szCs w:val="17"/>
          <w:color w:val="auto"/>
        </w:rPr>
      </w:pPr>
    </w:p>
    <w:p>
      <w:pPr>
        <w:ind w:left="660" w:hanging="328"/>
        <w:spacing w:after="0" w:line="28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 and discuss with management and our independent auditor the adequacy and effectiveness of our legal, regulatory, and ethical compliance programs; and</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 and discuss with management and our independent auditor our guidelines and policies to identify, monitor, and address enterprise risks.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audit committee will operate under a written charter, to be effective upon the effectiveness of the registration statement of which this</w:t>
      </w:r>
    </w:p>
    <w:p>
      <w:pPr>
        <w:spacing w:after="0" w:line="27" w:lineRule="exact"/>
        <w:rPr>
          <w:sz w:val="20"/>
          <w:szCs w:val="20"/>
          <w:color w:val="auto"/>
        </w:rPr>
      </w:pPr>
    </w:p>
    <w:p>
      <w:pPr>
        <w:spacing w:after="0"/>
        <w:tabs>
          <w:tab w:leader="none" w:pos="9780" w:val="left"/>
        </w:tabs>
        <w:rPr>
          <w:sz w:val="20"/>
          <w:szCs w:val="20"/>
          <w:color w:val="auto"/>
        </w:rPr>
      </w:pPr>
      <w:r>
        <w:rPr>
          <w:rFonts w:ascii="Arial" w:cs="Arial" w:eastAsia="Arial" w:hAnsi="Arial"/>
          <w:sz w:val="18"/>
          <w:szCs w:val="18"/>
          <w:color w:val="auto"/>
        </w:rPr>
        <w:t>prospectus forms a part, that satisfies the applicable rules and regulations of the SEC and the listing standards of</w:t>
      </w:r>
      <w:r>
        <w:rPr>
          <w:sz w:val="20"/>
          <w:szCs w:val="20"/>
          <w:color w:val="auto"/>
        </w:rPr>
        <w:tab/>
      </w:r>
      <w:r>
        <w:rPr>
          <w:rFonts w:ascii="Arial" w:cs="Arial" w:eastAsia="Arial" w:hAnsi="Arial"/>
          <w:sz w:val="13"/>
          <w:szCs w:val="13"/>
          <w:color w:val="auto"/>
        </w:rPr>
        <w:t>.</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the effectiveness of the registration statement of which this prospectus forms a part, the members of our compensation committee</w:t>
      </w:r>
    </w:p>
    <w:p>
      <w:pPr>
        <w:spacing w:after="0" w:line="2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will be , and , with serving as chairperson. The composition of our compensation committee will meet the requirements for independence under the rules and regulations of the SEC and the listing standards of , including ’s</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controlled company exemption. Each member of our compensation committee is also a non-employee director, as defined pursuant to Rule 16b-3 promulgated under the Exchange Act. Following completion of this offering, our compensation committee will, among other things:</w:t>
      </w:r>
    </w:p>
    <w:p>
      <w:pPr>
        <w:spacing w:after="0" w:line="117" w:lineRule="exact"/>
        <w:rPr>
          <w:sz w:val="20"/>
          <w:szCs w:val="20"/>
          <w:color w:val="auto"/>
        </w:rPr>
      </w:pPr>
    </w:p>
    <w:p>
      <w:pPr>
        <w:ind w:left="660" w:hanging="328"/>
        <w:spacing w:after="0" w:line="28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 approve or make recommendations to our board of directors regarding the compensation for our executive officers, including our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39"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 approve, and administer our employee benefit and equity incentive plans;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establish and review the compensation plans and programs of our employees, and ensure that they are consistent with our general compensation strategy;</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determine or make recommendations to our board of directors regarding non-employee director compensation;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approve or make recommendations to our board of directors regarding the creation or revision of any clawback policy.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compensation committee will operate under a written charter, to be effective upon the effectiveness of the registration statement of</w:t>
      </w:r>
    </w:p>
    <w:p>
      <w:pPr>
        <w:spacing w:after="0" w:line="27" w:lineRule="exact"/>
        <w:rPr>
          <w:sz w:val="20"/>
          <w:szCs w:val="20"/>
          <w:color w:val="auto"/>
        </w:rPr>
      </w:pPr>
    </w:p>
    <w:p>
      <w:pPr>
        <w:spacing w:after="0"/>
        <w:tabs>
          <w:tab w:leader="none" w:pos="10620" w:val="left"/>
        </w:tabs>
        <w:rPr>
          <w:sz w:val="20"/>
          <w:szCs w:val="20"/>
          <w:color w:val="auto"/>
        </w:rPr>
      </w:pPr>
      <w:r>
        <w:rPr>
          <w:rFonts w:ascii="Arial" w:cs="Arial" w:eastAsia="Arial" w:hAnsi="Arial"/>
          <w:sz w:val="18"/>
          <w:szCs w:val="18"/>
          <w:color w:val="auto"/>
        </w:rPr>
        <w:t>which this prospectus forms a part, that satisfies the applicable rules and regulations of the SEC and the listing standards of</w:t>
      </w:r>
      <w:r>
        <w:rPr>
          <w:sz w:val="20"/>
          <w:szCs w:val="20"/>
          <w:color w:val="auto"/>
        </w:rPr>
        <w:tab/>
      </w:r>
      <w:r>
        <w:rPr>
          <w:rFonts w:ascii="Arial" w:cs="Arial" w:eastAsia="Arial" w:hAnsi="Arial"/>
          <w:sz w:val="13"/>
          <w:szCs w:val="13"/>
          <w:color w:val="auto"/>
        </w:rPr>
        <w:t>.</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the effectiveness of the registration statement of which this prospectus forms a part, the members of our nominating and corporate</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governance committee will be , and , with serving as chairperson. The composition of our nominating and corporate governance committee will meet the requirements for independence under the listing standards of , including ’s</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controlled company exemption. Following completion of this offering, our nominating and corporate governance committee will, among other things:</w:t>
      </w:r>
    </w:p>
    <w:p>
      <w:pPr>
        <w:spacing w:after="0" w:line="117" w:lineRule="exact"/>
        <w:rPr>
          <w:sz w:val="20"/>
          <w:szCs w:val="20"/>
          <w:color w:val="auto"/>
        </w:rPr>
      </w:pPr>
    </w:p>
    <w:p>
      <w:pPr>
        <w:ind w:left="660" w:hanging="328"/>
        <w:spacing w:after="0" w:line="28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 and assess and make recommendations to our board of directors regarding desired qualifications, expertise, and characteristics sought of board members;</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identify, evaluate, select, or make recommendations to our board of directors regarding nominees for election to our board of directors;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develop policies and procedures for considering stockholder nominees for election to our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 our succession planning process for our chief executive officer and any other members of our executive management team;</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 and make recommendations to our board of directors regarding the composition, organization, and governance our board of directors and its committees;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 and make recommendations to our board directors regarding our corporate governance guidelines and corporate governance framework;</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oversee director orientation for new directors and continuing education for our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oversee the evaluation of the performance of our board of directors and its committees;</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 and monitor compliance with our code of business conduct and ethics, and review conflicts of interest of our board members and officers other than related party transactions reviewed by our audit committee; and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administer policies and procedures for communications with the non-management members of our board of directors.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nominating and corporate governance committee will operate under a written charter, to be effective upon the effectiveness of the</w:t>
      </w:r>
    </w:p>
    <w:p>
      <w:pPr>
        <w:spacing w:after="0" w:line="27" w:lineRule="exact"/>
        <w:rPr>
          <w:sz w:val="20"/>
          <w:szCs w:val="20"/>
          <w:color w:val="auto"/>
        </w:rPr>
      </w:pPr>
    </w:p>
    <w:p>
      <w:pPr>
        <w:spacing w:after="0"/>
        <w:tabs>
          <w:tab w:leader="none" w:pos="9300" w:val="left"/>
        </w:tabs>
        <w:rPr>
          <w:sz w:val="20"/>
          <w:szCs w:val="20"/>
          <w:color w:val="auto"/>
        </w:rPr>
      </w:pPr>
      <w:r>
        <w:rPr>
          <w:rFonts w:ascii="Arial" w:cs="Arial" w:eastAsia="Arial" w:hAnsi="Arial"/>
          <w:sz w:val="18"/>
          <w:szCs w:val="18"/>
          <w:color w:val="auto"/>
        </w:rPr>
        <w:t>registration statement of which this prospectus forms a part, that satisfies the applicable listing standards of</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1" w:lineRule="exact"/>
        <w:rPr>
          <w:sz w:val="20"/>
          <w:szCs w:val="20"/>
          <w:color w:val="auto"/>
        </w:rPr>
      </w:pPr>
    </w:p>
    <w:p>
      <w:pPr>
        <w:ind w:left="340"/>
        <w:spacing w:after="0"/>
        <w:tabs>
          <w:tab w:leader="none" w:pos="5240" w:val="left"/>
          <w:tab w:leader="none" w:pos="6400" w:val="left"/>
        </w:tabs>
        <w:rPr>
          <w:sz w:val="20"/>
          <w:szCs w:val="20"/>
          <w:color w:val="auto"/>
        </w:rPr>
      </w:pPr>
      <w:r>
        <w:rPr>
          <w:rFonts w:ascii="Arial" w:cs="Arial" w:eastAsia="Arial" w:hAnsi="Arial"/>
          <w:sz w:val="18"/>
          <w:szCs w:val="18"/>
          <w:color w:val="auto"/>
        </w:rPr>
        <w:t>The members of our compensation committee are</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None of the members of our compensation committee is or</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has been an officer or employee of our company. None of our executive officers currently serves, or in the past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No compensation was provided to our non-employee directors for the year ended December 31, 2024. Directors who are also our employees generally receive no additional compensation for their service as directors, though information about an equity award received by Mr. Cagney in 2024 is included in “Transactions with Executive Officers and Directors.” The compensation received by Mr. Tannenbaum as an executive officer is set forth in the section titled “Executive Compensation.”</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lists all outstanding equity awards held by directors as of December 31,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144"/>
        </w:trPr>
        <w:tc>
          <w:tcPr>
            <w:tcW w:w="9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5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Underlying</w:t>
            </w:r>
          </w:p>
        </w:tc>
        <w:tc>
          <w:tcPr>
            <w:tcW w:w="0" w:type="dxa"/>
            <w:vAlign w:val="bottom"/>
          </w:tcPr>
          <w:p>
            <w:pPr>
              <w:spacing w:after="0"/>
              <w:rPr>
                <w:sz w:val="1"/>
                <w:szCs w:val="1"/>
                <w:color w:val="auto"/>
              </w:rPr>
            </w:pPr>
          </w:p>
        </w:tc>
      </w:tr>
      <w:tr>
        <w:trPr>
          <w:trHeight w:val="189"/>
        </w:trPr>
        <w:tc>
          <w:tcPr>
            <w:tcW w:w="9680" w:type="dxa"/>
            <w:vAlign w:val="bottom"/>
            <w:gridSpan w:val="2"/>
            <w:vMerge w:val="continue"/>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Outstanding Options</w:t>
            </w:r>
          </w:p>
        </w:tc>
        <w:tc>
          <w:tcPr>
            <w:tcW w:w="0" w:type="dxa"/>
            <w:vAlign w:val="bottom"/>
          </w:tcPr>
          <w:p>
            <w:pPr>
              <w:spacing w:after="0"/>
              <w:rPr>
                <w:sz w:val="1"/>
                <w:szCs w:val="1"/>
                <w:color w:val="auto"/>
              </w:rPr>
            </w:pPr>
          </w:p>
        </w:tc>
      </w:tr>
      <w:tr>
        <w:trPr>
          <w:trHeight w:val="223"/>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Michael Cagney</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4,559,904</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Prior to this offering, we did not have a formal policy with respect to compensation payable to our non-employee directors for service as directors. We anticipate adopting a formal compensation policy for our non-employee directors, which will govern their cash and equity compensation following the completion of this offering.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To the fullest extent permitted by NRS Chapter 78, our directors and officers are not individually liable to us or any of our stockholders or creditors for any damages for breaches of fiduciary duties as a director or officer. Under Nevada law, unless otherwise provided in the articles of incorporation or pursuant to certain statutory exceptions, a director or officer is not individually liable for damages as a result of any act or failure to act in his or her capacity as a director or officer unless the statutory presumption established under NRS 78.138(3) (that such person, in deciding upon matters of business, acted in good faith, on an informed basis and with a view to the interests of the corporation) has been rebutted, and it is proven both that the act or failure to act constituted a breach of a fiduciary duty as a director or officer and that such breach involved intentional misconduct, fraud or a knowing violation of law.</w:t>
      </w:r>
    </w:p>
    <w:p>
      <w:pPr>
        <w:spacing w:after="0" w:line="1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amended and restated articles of incorporation will include a provision that eliminates the individual liability of our directors and officers to the fullest extent permitted under Nevada law.</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our amended and restated articles of incorporation and amended and restated bylaws will provide that we will indemnify our directors and officers to the fullest extent permitted by law. We will also be expressly required to advance certain expenses to our directors and officers and carry directors’ and officers’ insurance providing indemnification for our directors and officers for certain liabilities, provided that such advancement is made upon receipt of an undertaking by the director or officer to repay the amounts advanced if it should be ultimately determined that the director or officer is not entitled to indemnification.</w:t>
      </w:r>
    </w:p>
    <w:p>
      <w:pPr>
        <w:spacing w:after="0" w:line="1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Prior to consummation of this offering, we intend to enter into separate indemnification agreements with each of our directors and executive officers. See “Certain Relationships and Related Party Transactions—Indemnification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3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We believe that these provisions of our articles of incorporation and Nevada law, indemnification agreements, as well as our maintaining directors’ and officers’ liability insurance, help to attract and retain qualified persons as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40"/>
          </w:cols>
          <w:pgMar w:left="320" w:top="1440" w:right="33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“Summary Compensation Table” below. As an emerging growth company, we have elected to take advantage of exemptions from various reporting requirements that are applicable to public companies that are not emerging growth companies, including reduced disclosure obligations regarding executive compensation in this prospectus and, while an emerging growth company, our future periodic reports and proxy.</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2024, our “named executive officers” (or “NEOs”) and their positions were as follows:</w:t>
      </w:r>
    </w:p>
    <w:p>
      <w:pPr>
        <w:spacing w:after="0" w:line="171"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Michael Tannenbaum, who serves as Chief Executive Officer and Director;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Macrina Kgil, who has served as Chief Financial Officer since December 2, 2024;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Todd Stevens, who serves as Chief Capital Officer.</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As we transition from a private company to a publicly traded company, we intend to evaluate our compensation philosophy and plans and arrangements as circumstances require. Actual compensation programs that we adopt following the completion of this offering may differ materially from the currently planned programs summarized in this discussion.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71"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following table sets forth information concerning the compensation of our named executive officers for the year ended December 31, 2024.</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Stock Awards ($)</w:t>
            </w: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Option Awards</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Non-Equity Incentive</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2"/>
                <w:szCs w:val="12"/>
                <w:color w:val="auto"/>
              </w:rPr>
            </w:pPr>
          </w:p>
        </w:tc>
        <w:tc>
          <w:tcPr>
            <w:tcW w:w="8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Year</w:t>
            </w: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Salary ($)</w:t>
            </w:r>
            <w:r>
              <w:rPr>
                <w:rFonts w:ascii="Arial" w:cs="Arial" w:eastAsia="Arial" w:hAnsi="Arial"/>
                <w:sz w:val="18"/>
                <w:szCs w:val="18"/>
                <w:b w:val="1"/>
                <w:bCs w:val="1"/>
                <w:color w:val="auto"/>
                <w:vertAlign w:val="superscript"/>
              </w:rPr>
              <w:t>(1)</w:t>
            </w: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18"/>
                <w:szCs w:val="18"/>
                <w:b w:val="1"/>
                <w:bCs w:val="1"/>
                <w:color w:val="auto"/>
                <w:vertAlign w:val="superscript"/>
              </w:rPr>
              <w:t>(2)</w:t>
            </w:r>
          </w:p>
        </w:tc>
        <w:tc>
          <w:tcPr>
            <w:tcW w:w="134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rPr>
              <w:t>Plan Compensation</w:t>
            </w:r>
          </w:p>
        </w:tc>
        <w:tc>
          <w:tcPr>
            <w:tcW w:w="138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40" w:type="dxa"/>
            <w:vAlign w:val="bottom"/>
          </w:tcPr>
          <w:p>
            <w:pPr>
              <w:jc w:val="right"/>
              <w:ind w:right="488"/>
              <w:spacing w:after="0"/>
              <w:rPr>
                <w:sz w:val="20"/>
                <w:szCs w:val="20"/>
                <w:color w:val="auto"/>
              </w:rPr>
            </w:pPr>
            <w:r>
              <w:rPr>
                <w:rFonts w:ascii="Arial" w:cs="Arial" w:eastAsia="Arial" w:hAnsi="Arial"/>
                <w:sz w:val="9"/>
                <w:szCs w:val="9"/>
                <w:b w:val="1"/>
                <w:bCs w:val="1"/>
                <w:color w:val="auto"/>
              </w:rPr>
              <w:t>(3)</w:t>
            </w:r>
          </w:p>
        </w:tc>
        <w:tc>
          <w:tcPr>
            <w:tcW w:w="100" w:type="dxa"/>
            <w:vAlign w:val="bottom"/>
          </w:tcPr>
          <w:p>
            <w:pPr>
              <w:spacing w:after="0"/>
              <w:rPr>
                <w:sz w:val="16"/>
                <w:szCs w:val="16"/>
                <w:color w:val="auto"/>
              </w:rPr>
            </w:pPr>
          </w:p>
        </w:tc>
        <w:tc>
          <w:tcPr>
            <w:tcW w:w="1220" w:type="dxa"/>
            <w:vAlign w:val="bottom"/>
          </w:tcPr>
          <w:p>
            <w:pPr>
              <w:jc w:val="right"/>
              <w:ind w:right="383"/>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(3)</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9"/>
                <w:szCs w:val="9"/>
                <w:b w:val="1"/>
                <w:bCs w:val="1"/>
                <w:color w:val="auto"/>
              </w:rPr>
              <w:t>(4)</w:t>
            </w:r>
          </w:p>
        </w:tc>
        <w:tc>
          <w:tcPr>
            <w:tcW w:w="1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Michael Tannenbaum</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252,084</w:t>
            </w: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259,615</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22,111,027</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14,450,153</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37,072,879</w:t>
            </w:r>
          </w:p>
        </w:tc>
        <w:tc>
          <w:tcPr>
            <w:tcW w:w="0" w:type="dxa"/>
            <w:vAlign w:val="bottom"/>
          </w:tcPr>
          <w:p>
            <w:pPr>
              <w:spacing w:after="0"/>
              <w:rPr>
                <w:sz w:val="1"/>
                <w:szCs w:val="1"/>
                <w:color w:val="auto"/>
              </w:rPr>
            </w:pPr>
          </w:p>
        </w:tc>
      </w:tr>
      <w:tr>
        <w:trPr>
          <w:trHeight w:val="165"/>
        </w:trPr>
        <w:tc>
          <w:tcPr>
            <w:tcW w:w="230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i w:val="1"/>
                <w:iCs w:val="1"/>
                <w:color w:val="auto"/>
              </w:rPr>
              <w:t>Chief Executive Officer and</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30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Director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300" w:type="dxa"/>
            <w:vAlign w:val="bottom"/>
          </w:tcPr>
          <w:p>
            <w:pPr>
              <w:ind w:left="20"/>
              <w:spacing w:after="0"/>
              <w:rPr>
                <w:sz w:val="20"/>
                <w:szCs w:val="20"/>
                <w:color w:val="auto"/>
              </w:rPr>
            </w:pPr>
            <w:r>
              <w:rPr>
                <w:rFonts w:ascii="Arial" w:cs="Arial" w:eastAsia="Arial" w:hAnsi="Arial"/>
                <w:sz w:val="16"/>
                <w:szCs w:val="16"/>
                <w:color w:val="auto"/>
              </w:rPr>
              <w:t>Macrina Kgil</w:t>
            </w:r>
            <w:r>
              <w:rPr>
                <w:rFonts w:ascii="Arial" w:cs="Arial" w:eastAsia="Arial" w:hAnsi="Arial"/>
                <w:sz w:val="21"/>
                <w:szCs w:val="21"/>
                <w:color w:val="auto"/>
                <w:vertAlign w:val="superscript"/>
              </w:rPr>
              <w:t>(5)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2024</w:t>
            </w:r>
          </w:p>
        </w:tc>
        <w:tc>
          <w:tcPr>
            <w:tcW w:w="80" w:type="dxa"/>
            <w:vAlign w:val="bottom"/>
          </w:tcPr>
          <w:p>
            <w:pPr>
              <w:spacing w:after="0"/>
              <w:rPr>
                <w:sz w:val="21"/>
                <w:szCs w:val="21"/>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27,501</w:t>
            </w:r>
          </w:p>
        </w:tc>
        <w:tc>
          <w:tcPr>
            <w:tcW w:w="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3,253,500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1,971,000</w:t>
            </w:r>
          </w:p>
        </w:tc>
        <w:tc>
          <w:tcPr>
            <w:tcW w:w="10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5,252,001</w:t>
            </w:r>
          </w:p>
        </w:tc>
        <w:tc>
          <w:tcPr>
            <w:tcW w:w="0" w:type="dxa"/>
            <w:vAlign w:val="bottom"/>
          </w:tcPr>
          <w:p>
            <w:pPr>
              <w:spacing w:after="0"/>
              <w:rPr>
                <w:sz w:val="1"/>
                <w:szCs w:val="1"/>
                <w:color w:val="auto"/>
              </w:rPr>
            </w:pPr>
          </w:p>
        </w:tc>
      </w:tr>
      <w:tr>
        <w:trPr>
          <w:trHeight w:val="214"/>
        </w:trPr>
        <w:tc>
          <w:tcPr>
            <w:tcW w:w="2300" w:type="dxa"/>
            <w:vAlign w:val="bottom"/>
          </w:tcPr>
          <w:p>
            <w:pPr>
              <w:ind w:left="20"/>
              <w:spacing w:after="0"/>
              <w:rPr>
                <w:sz w:val="20"/>
                <w:szCs w:val="20"/>
                <w:color w:val="auto"/>
              </w:rPr>
            </w:pPr>
            <w:r>
              <w:rPr>
                <w:rFonts w:ascii="Arial" w:cs="Arial" w:eastAsia="Arial" w:hAnsi="Arial"/>
                <w:sz w:val="16"/>
                <w:szCs w:val="16"/>
                <w:i w:val="1"/>
                <w:iCs w:val="1"/>
                <w:color w:val="auto"/>
              </w:rPr>
              <w:t>Chief Financial Officer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Todd Stevens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309,375</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2,952,250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1,788,500</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151,547</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5,201,672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291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Chief Capital Officer</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2" w:lineRule="exact"/>
        <w:rPr>
          <w:sz w:val="20"/>
          <w:szCs w:val="20"/>
          <w:color w:val="auto"/>
        </w:rPr>
      </w:pPr>
    </w:p>
    <w:p>
      <w:pPr>
        <w:ind w:left="320" w:hanging="312"/>
        <w:spacing w:after="0"/>
        <w:tabs>
          <w:tab w:leader="none" w:pos="3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Amounts reflect the base salary actually paid to each executive for 2024.</w:t>
      </w:r>
    </w:p>
    <w:p>
      <w:pPr>
        <w:spacing w:after="0" w:line="14" w:lineRule="exact"/>
        <w:rPr>
          <w:rFonts w:ascii="Arial" w:cs="Arial" w:eastAsia="Arial" w:hAnsi="Arial"/>
          <w:sz w:val="16"/>
          <w:szCs w:val="16"/>
          <w:color w:val="auto"/>
        </w:rPr>
      </w:pPr>
    </w:p>
    <w:p>
      <w:pPr>
        <w:ind w:left="320" w:hanging="312"/>
        <w:spacing w:after="0"/>
        <w:tabs>
          <w:tab w:leader="none" w:pos="3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Represents the guaranteed bonuses payable to Mr. Tannenbaum pursuant to his offer letter.</w:t>
      </w:r>
    </w:p>
    <w:p>
      <w:pPr>
        <w:spacing w:after="0" w:line="8" w:lineRule="exact"/>
        <w:rPr>
          <w:rFonts w:ascii="Arial" w:cs="Arial" w:eastAsia="Arial" w:hAnsi="Arial"/>
          <w:sz w:val="16"/>
          <w:szCs w:val="16"/>
          <w:color w:val="auto"/>
        </w:rPr>
      </w:pPr>
    </w:p>
    <w:p>
      <w:pPr>
        <w:jc w:val="both"/>
        <w:ind w:left="340" w:hanging="332"/>
        <w:spacing w:after="0" w:line="254" w:lineRule="auto"/>
        <w:tabs>
          <w:tab w:leader="none" w:pos="335" w:val="left"/>
        </w:tabs>
        <w:numPr>
          <w:ilvl w:val="0"/>
          <w:numId w:val="69"/>
        </w:numPr>
        <w:rPr>
          <w:rFonts w:ascii="Arial" w:cs="Arial" w:eastAsia="Arial" w:hAnsi="Arial"/>
          <w:sz w:val="16"/>
          <w:szCs w:val="16"/>
          <w:color w:val="auto"/>
        </w:rPr>
      </w:pPr>
      <w:r>
        <w:rPr>
          <w:rFonts w:ascii="Arial" w:cs="Arial" w:eastAsia="Arial" w:hAnsi="Arial"/>
          <w:sz w:val="16"/>
          <w:szCs w:val="16"/>
          <w:color w:val="auto"/>
        </w:rPr>
        <w:t>Amounts reflect the aggregate grant date fair value of restricted stock unit awards and stock options granted during 2024 computed in accordance with ASC Topic 718, rather than the amounts paid to or realized by the named individual. The restricted stock units are subject to both service-based and liquidity event-based vesting conditions. We provide information regarding the assumptions used to calculate the value of all stock awards and option awards made to executive officers in Note 7 to our audited consolidated financial statements included elsewhere in this prospectus.</w:t>
      </w:r>
    </w:p>
    <w:p>
      <w:pPr>
        <w:ind w:left="320" w:hanging="312"/>
        <w:spacing w:after="0"/>
        <w:tabs>
          <w:tab w:leader="none" w:pos="3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Amounts reflect quarterly performance-based bonuses that were earned by our NEOs based on performance during fiscal year 2024.</w:t>
      </w:r>
    </w:p>
    <w:p>
      <w:pPr>
        <w:spacing w:after="0" w:line="8" w:lineRule="exact"/>
        <w:rPr>
          <w:rFonts w:ascii="Arial" w:cs="Arial" w:eastAsia="Arial" w:hAnsi="Arial"/>
          <w:sz w:val="16"/>
          <w:szCs w:val="16"/>
          <w:color w:val="auto"/>
        </w:rPr>
      </w:pPr>
    </w:p>
    <w:p>
      <w:pPr>
        <w:ind w:left="320" w:hanging="312"/>
        <w:spacing w:after="0"/>
        <w:tabs>
          <w:tab w:leader="none" w:pos="3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Ms. Kgil commenced employment with us on December 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40"/>
          </w:cols>
          <w:pgMar w:left="320" w:top="1417" w:right="339" w:bottom="1440" w:gutter="0" w:footer="0" w:header="0"/>
        </w:sectPr>
      </w:pPr>
    </w:p>
    <w:bookmarkStart w:id="211" w:name="page212"/>
    <w:bookmarkEnd w:id="211"/>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2024 Salaries</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NEOs receive a base salary to compensate them for services rendered to our company. The base salary payable to each NEO is intended to provide a fixed component of compensation reflecting the executive’s skill set, experience, role and responsibilities. For fiscal year 2024, the annual base salaries for Mr. Tannenbaum, Ms. Kgil and Mr. Stevens were as follows: $375,000, $450,000 and $350,000, respectively.</w:t>
      </w:r>
    </w:p>
    <w:p>
      <w:pPr>
        <w:spacing w:after="0" w:line="12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board of directors may, from time to time, adjust base salaries in their discretion. Effective April 26, 2025, Mr. Tannenbaum’s annual base salary was increased to $450,000.</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2024 Bonuses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maintain a quarterly performance-based bonus program in which Mr. Tannenbaum and Mr. Stevens participated during fiscal year 2024. Ms. Kgil was not eligible to receive a 2024 bonus due to her commencement of employment in December 2024. Under the performance-based bonus program, each applicable NEO’s target bonus amount is expressed as a percentage of quarterly base salary. For fiscal year 2024, the target quarterly bonus amount for Messrs. Tannenbaum and Stevens was 100% and 50%, respectively. In addition, pursuant to his offer letter, Mr. Tannenbaum was entitled to guaranteed quarterly bonus payments as described below under “Executive Compensation Arrangements—Michael Tannenbaum.”</w:t>
      </w:r>
    </w:p>
    <w:p>
      <w:pPr>
        <w:spacing w:after="0" w:line="128"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Prior to each quarterly bonus period, participants may elect to receive bonus payments earned for such quarterly bonus period in the form of cash or fully vested shares of common stock. No named executive officers elected to receive their bonus in the form of shares with respect to 2024.</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fiscal year 2024, under our quarterly performance-based bonus program, bonus amounts earned were based on achievement of certain quarterly company qualitative and quantitative metrics relating to our strategic and operational goals. The goals established for our NEOs under our 2024 bonus program were solely based on Company performance rather than individual performance. The performance metrics for each quarter are proposed by members of management and approved by our Chief Executive Officer. At the end of each quarter, a designated member of our board of directors approves the level of achievement for each performance metric. For fiscal year 2024, the Company performance goals for the first quarter, second quarter, third quarter and fourth quarter were achieved at 100%, 100% , 100% and 85%, respectively. Effective April 1, 2025, Mr. Stevens’ target quarterly bonus amount was increased to 100% of his quarterly base salary.</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have historically granted stock options and RSUs to our employees, including our NEOs, to attract and retain them, as well as to align their interests with the interests of our stockholders.</w:t>
      </w:r>
    </w:p>
    <w:p>
      <w:pPr>
        <w:spacing w:after="0" w:line="99" w:lineRule="exact"/>
        <w:rPr>
          <w:sz w:val="20"/>
          <w:szCs w:val="20"/>
          <w:color w:val="auto"/>
        </w:rPr>
      </w:pPr>
    </w:p>
    <w:p>
      <w:pPr>
        <w:jc w:val="both"/>
        <w:ind w:firstLine="324"/>
        <w:spacing w:after="0" w:line="230" w:lineRule="auto"/>
        <w:rPr>
          <w:sz w:val="20"/>
          <w:szCs w:val="20"/>
          <w:color w:val="auto"/>
        </w:rPr>
      </w:pPr>
      <w:r>
        <w:rPr>
          <w:rFonts w:ascii="Arial" w:cs="Arial" w:eastAsia="Arial" w:hAnsi="Arial"/>
          <w:sz w:val="18"/>
          <w:szCs w:val="18"/>
          <w:color w:val="auto"/>
        </w:rPr>
        <w:t>Typically, stock options granted to our employees are intended to qualify as “incentive stock options” to the extent permitted under the Code, though we also grant non-qualified stock options where determined appropriate. The stock options granted to our NEOs are subject to time-based vesting as follows: 1/4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shares subject to the option vest on the first anniversary of the vesting commencement date, and 1/48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shares subject to the option vest monthly thereafter, subject to the executive’s continued employment through the applicable vesting dates.</w:t>
      </w:r>
    </w:p>
    <w:p>
      <w:pPr>
        <w:spacing w:after="0" w:line="14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 2024, we granted option awards covering the following number of shares to Mr. Tannenbaum, Ms. Kgil and Mr. Stevens: 4,587,350, 675,000 and 612,500, respectively. All options granted to our NEOs in 2024 have an exercise price of $4.82 per share.</w:t>
      </w:r>
    </w:p>
    <w:p>
      <w:pPr>
        <w:spacing w:after="0" w:line="9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RSUs granted to certain of our NEOs vest based on the satisfaction of both a service-based vesting condition and a liquidity event-based vesting condition. The service-based vesting condition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40"/>
          </w:cols>
          <w:pgMar w:left="320" w:top="1440" w:right="339" w:bottom="1440" w:gutter="0" w:footer="0" w:header="0"/>
        </w:sectPr>
      </w:pPr>
    </w:p>
    <w:bookmarkStart w:id="212" w:name="page213"/>
    <w:bookmarkEnd w:id="212"/>
    <w:p>
      <w:pPr>
        <w:jc w:val="both"/>
        <w:spacing w:after="0" w:line="226" w:lineRule="auto"/>
        <w:rPr>
          <w:sz w:val="20"/>
          <w:szCs w:val="20"/>
          <w:color w:val="auto"/>
        </w:rPr>
      </w:pPr>
      <w:r>
        <w:rPr>
          <w:rFonts w:ascii="Arial" w:cs="Arial" w:eastAsia="Arial" w:hAnsi="Arial"/>
          <w:sz w:val="18"/>
          <w:szCs w:val="18"/>
          <w:color w:val="auto"/>
        </w:rPr>
        <w:t>satisfied as follows: 1/4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shares subject to the RSUs vest on the first anniversary of the applicable vesting commencement date, and 1/16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shares subject to the RSUs vest in quarterly installments thereafter. The liquidity event-based vesting condition is satisfied upon the occurrence of (i) an initial public offering or SPAC transaction or (ii) a change in control prior to the seventh anniversary of the grant date. This offering will constitute a liquidity event for purposes of the RSUs.</w:t>
      </w:r>
    </w:p>
    <w:p>
      <w:pPr>
        <w:spacing w:after="0" w:line="14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 2024, we granted RSU awards covering the following number of shares to Mr. Tannenbaum, Ms. Kgil and Mr. Stevens: 4,587,350, 675,000 and 612,500, respectively.</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currently maintain the Figure Technologies, Inc. 2018 Incentive Plan (the “2018 Plan”) in order to attract, retain, motivate and reward employees, non-employee directors and key consultants to our company and our subsidiaries. For additional information about the 2018 Plan, please see the section titled “Equity Compensation Plans—2018 Equity Incentive Plan” below.</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this offering, we intend to adopt the 2025 Incentive Award Plan (the “2025 Plan”) in order to facilitate the grant of cash and equity incentives to directors, employees (including our named executive officers) and consultants of our company and to enable our company to obtain and retain services of these individuals. Following the effective date of the 2025 Plan, we will not make any further grants under our 2018 Plan. However, the 2018 Plan will continue to govern the terms and conditions of the outstanding awards granted thereunder. For additional information about the 2025 Plan, please see “Incentive Compensation Plans—2025 Incentive Award Plan” below.</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Retirement Plan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maintain a 401(k) retirement savings plan (the “401(k) plan”) for our employees, including our named executive officers, who satisfy certain eligibility requirements. Our named executive officers are eligible to participate in the 401(k) plan on the same terms as other full-time employees. The Code allows eligible employees to defer a portion of their compensation, within prescribed limits, on a pre-tax basis through contributions to the 401(k) plan. We believe that providing a vehicle for tax-deferred retirement savings through our 401(k) plan adds to the overall desirability of our compensation package and further incentivizes our employees, including our named executive officers, in accordance with our compensation policies.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Employee Benefits and Perquisites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our employees, including our named executive officers, are eligible to participate in our health and welfare plans, including:</w:t>
      </w:r>
    </w:p>
    <w:p>
      <w:pPr>
        <w:spacing w:after="0" w:line="171"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short-term and long-term disability insurance;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life insurance.</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did not provide any perquisites or special personal benefits to our named executive officers in fiscal year 2024, but our compensation committee may from time to time approve them in the future when our compensation committee determines that such perquisites are necessary or advisable to fairly compensate or incentivize our employees.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No Tax Gross-ups</w:t>
      </w:r>
    </w:p>
    <w:p>
      <w:pPr>
        <w:spacing w:after="0" w:line="171"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We do not make gross-up payments to cover our named executive officers’ personal income taxes that may pertain to any of the compensation or perquisites paid or provided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320" w:top="1414" w:right="339" w:bottom="1440" w:gutter="0" w:footer="0" w:header="0"/>
        </w:sectPr>
      </w:pPr>
    </w:p>
    <w:bookmarkStart w:id="213" w:name="page214"/>
    <w:bookmarkEnd w:id="213"/>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Clawback Policy</w:t>
            </w:r>
          </w:p>
        </w:tc>
        <w:tc>
          <w:tcPr>
            <w:tcW w:w="7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80"/>
        </w:trPr>
        <w:tc>
          <w:tcPr>
            <w:tcW w:w="34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In connection with this offering, we will adopt a compensation recovery policy that is compliant with the listing rules of the</w:t>
            </w:r>
          </w:p>
        </w:tc>
        <w:tc>
          <w:tcPr>
            <w:tcW w:w="720" w:type="dxa"/>
            <w:vAlign w:val="bottom"/>
          </w:tcPr>
          <w:p>
            <w:pPr>
              <w:ind w:left="420"/>
              <w:spacing w:after="0"/>
              <w:rPr>
                <w:sz w:val="20"/>
                <w:szCs w:val="20"/>
                <w:color w:val="auto"/>
              </w:rPr>
            </w:pPr>
            <w:r>
              <w:rPr>
                <w:rFonts w:ascii="Arial" w:cs="Arial" w:eastAsia="Arial" w:hAnsi="Arial"/>
                <w:sz w:val="18"/>
                <w:szCs w:val="18"/>
                <w:color w:val="auto"/>
                <w:w w:val="96"/>
              </w:rPr>
              <w:t>, as</w:t>
            </w:r>
          </w:p>
        </w:tc>
      </w:tr>
      <w:tr>
        <w:trPr>
          <w:trHeight w:val="239"/>
        </w:trPr>
        <w:tc>
          <w:tcPr>
            <w:tcW w:w="10520" w:type="dxa"/>
            <w:vAlign w:val="bottom"/>
            <w:gridSpan w:val="3"/>
          </w:tcPr>
          <w:p>
            <w:pPr>
              <w:spacing w:after="0"/>
              <w:rPr>
                <w:sz w:val="20"/>
                <w:szCs w:val="20"/>
                <w:color w:val="auto"/>
              </w:rPr>
            </w:pPr>
            <w:r>
              <w:rPr>
                <w:rFonts w:ascii="Arial" w:cs="Arial" w:eastAsia="Arial" w:hAnsi="Arial"/>
                <w:sz w:val="18"/>
                <w:szCs w:val="18"/>
                <w:color w:val="auto"/>
              </w:rPr>
              <w:t>required by the Dodd-Frank Act, to be effective upon the completion of this offering.</w:t>
            </w:r>
          </w:p>
        </w:tc>
        <w:tc>
          <w:tcPr>
            <w:tcW w:w="720" w:type="dxa"/>
            <w:vAlign w:val="bottom"/>
          </w:tcPr>
          <w:p>
            <w:pPr>
              <w:spacing w:after="0"/>
              <w:rPr>
                <w:sz w:val="20"/>
                <w:szCs w:val="20"/>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following table summarizes the number of shares of common stock underlying outstanding equity incentive plan awards for each named executive officer as of December 31, 2024.</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4"/>
          </w:tcPr>
          <w:p>
            <w:pPr>
              <w:ind w:left="560"/>
              <w:spacing w:after="0"/>
              <w:rPr>
                <w:sz w:val="20"/>
                <w:szCs w:val="20"/>
                <w:color w:val="auto"/>
              </w:rPr>
            </w:pPr>
            <w:r>
              <w:rPr>
                <w:rFonts w:ascii="Arial" w:cs="Arial" w:eastAsia="Arial" w:hAnsi="Arial"/>
                <w:sz w:val="11"/>
                <w:szCs w:val="11"/>
                <w:b w:val="1"/>
                <w:bCs w:val="1"/>
                <w:color w:val="auto"/>
              </w:rPr>
              <w:t>Option Awards</w:t>
            </w: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ind w:left="520"/>
              <w:spacing w:after="0"/>
              <w:rPr>
                <w:sz w:val="20"/>
                <w:szCs w:val="20"/>
                <w:color w:val="auto"/>
              </w:rPr>
            </w:pPr>
            <w:r>
              <w:rPr>
                <w:rFonts w:ascii="Arial" w:cs="Arial" w:eastAsia="Arial" w:hAnsi="Arial"/>
                <w:sz w:val="11"/>
                <w:szCs w:val="11"/>
                <w:b w:val="1"/>
                <w:bCs w:val="1"/>
                <w:color w:val="auto"/>
              </w:rPr>
              <w:t>Stock Awards</w:t>
            </w: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7"/>
              </w:rPr>
              <w:t>Equity Incentive</w:t>
            </w: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80"/>
              <w:spacing w:after="0" w:line="109" w:lineRule="exact"/>
              <w:rPr>
                <w:sz w:val="20"/>
                <w:szCs w:val="20"/>
                <w:color w:val="auto"/>
              </w:rPr>
            </w:pPr>
            <w:r>
              <w:rPr>
                <w:rFonts w:ascii="Arial" w:cs="Arial" w:eastAsia="Arial" w:hAnsi="Arial"/>
                <w:sz w:val="11"/>
                <w:szCs w:val="11"/>
                <w:b w:val="1"/>
                <w:bCs w:val="1"/>
                <w:color w:val="auto"/>
              </w:rPr>
              <w:t>Equity</w:t>
            </w:r>
          </w:p>
        </w:tc>
        <w:tc>
          <w:tcPr>
            <w:tcW w:w="86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9"/>
              </w:rPr>
              <w:t>Incentive Plan</w:t>
            </w:r>
          </w:p>
        </w:tc>
        <w:tc>
          <w:tcPr>
            <w:tcW w:w="8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Incentive Plan</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Number of</w:t>
            </w: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7"/>
              </w:rPr>
              <w:t>Plan Awards:</w:t>
            </w: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6"/>
              </w:rPr>
              <w:t>Awards:</w:t>
            </w:r>
          </w:p>
        </w:tc>
        <w:tc>
          <w:tcPr>
            <w:tcW w:w="8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Awards: Market</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8"/>
              </w:rPr>
              <w:t>Number of</w:t>
            </w: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Number of</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1"/>
                <w:szCs w:val="11"/>
                <w:b w:val="1"/>
                <w:bCs w:val="1"/>
                <w:color w:val="auto"/>
              </w:rPr>
              <w:t>Market Value</w:t>
            </w:r>
          </w:p>
        </w:tc>
        <w:tc>
          <w:tcPr>
            <w:tcW w:w="94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8"/>
              </w:rPr>
              <w:t>Number of</w:t>
            </w:r>
          </w:p>
        </w:tc>
        <w:tc>
          <w:tcPr>
            <w:tcW w:w="8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or Payout Value</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4"/>
              </w:rPr>
              <w:t>Securities</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9"/>
              </w:rPr>
              <w:t>Number of Securities</w:t>
            </w:r>
          </w:p>
        </w:tc>
        <w:tc>
          <w:tcPr>
            <w:tcW w:w="108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8"/>
              </w:rPr>
              <w:t>Securities</w:t>
            </w: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94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8"/>
              </w:rPr>
              <w:t>Unearned</w:t>
            </w:r>
          </w:p>
        </w:tc>
        <w:tc>
          <w:tcPr>
            <w:tcW w:w="8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6"/>
              </w:rPr>
              <w:t>of Unearned</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rPr>
              <w:t>Underlying</w:t>
            </w:r>
          </w:p>
        </w:tc>
        <w:tc>
          <w:tcPr>
            <w:tcW w:w="1240" w:type="dxa"/>
            <w:vAlign w:val="bottom"/>
            <w:gridSpan w:val="2"/>
            <w:vMerge w:val="continue"/>
          </w:tcPr>
          <w:p>
            <w:pPr>
              <w:spacing w:after="0"/>
              <w:rPr>
                <w:sz w:val="9"/>
                <w:szCs w:val="9"/>
                <w:color w:val="auto"/>
              </w:rPr>
            </w:pPr>
          </w:p>
        </w:tc>
        <w:tc>
          <w:tcPr>
            <w:tcW w:w="108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7"/>
              </w:rPr>
              <w:t>Underlying</w:t>
            </w: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5"/>
              </w:rPr>
              <w:t>Option</w:t>
            </w: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8"/>
              </w:rPr>
              <w:t>Shares or Units</w:t>
            </w:r>
          </w:p>
        </w:tc>
        <w:tc>
          <w:tcPr>
            <w:tcW w:w="880" w:type="dxa"/>
            <w:vAlign w:val="bottom"/>
            <w:gridSpan w:val="2"/>
          </w:tcPr>
          <w:p>
            <w:pPr>
              <w:jc w:val="right"/>
              <w:ind w:right="160"/>
              <w:spacing w:after="0" w:line="108" w:lineRule="exact"/>
              <w:rPr>
                <w:sz w:val="20"/>
                <w:szCs w:val="20"/>
                <w:color w:val="auto"/>
              </w:rPr>
            </w:pPr>
            <w:r>
              <w:rPr>
                <w:rFonts w:ascii="Arial" w:cs="Arial" w:eastAsia="Arial" w:hAnsi="Arial"/>
                <w:sz w:val="11"/>
                <w:szCs w:val="11"/>
                <w:b w:val="1"/>
                <w:bCs w:val="1"/>
                <w:color w:val="auto"/>
              </w:rPr>
              <w:t>of Shares or</w:t>
            </w:r>
          </w:p>
        </w:tc>
        <w:tc>
          <w:tcPr>
            <w:tcW w:w="94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9"/>
              </w:rPr>
              <w:t>Shares, Units</w:t>
            </w:r>
          </w:p>
        </w:tc>
        <w:tc>
          <w:tcPr>
            <w:tcW w:w="8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9"/>
              </w:rPr>
              <w:t>Shares, Units</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rPr>
              <w:t>Unexercised</w:t>
            </w:r>
          </w:p>
        </w:tc>
        <w:tc>
          <w:tcPr>
            <w:tcW w:w="124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rPr>
              <w:t>Underlying</w:t>
            </w:r>
          </w:p>
        </w:tc>
        <w:tc>
          <w:tcPr>
            <w:tcW w:w="108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7"/>
              </w:rPr>
              <w:t>Unexercised</w:t>
            </w:r>
          </w:p>
        </w:tc>
        <w:tc>
          <w:tcPr>
            <w:tcW w:w="820" w:type="dxa"/>
            <w:vAlign w:val="bottom"/>
            <w:gridSpan w:val="2"/>
            <w:vMerge w:val="continue"/>
          </w:tcPr>
          <w:p>
            <w:pPr>
              <w:spacing w:after="0"/>
              <w:rPr>
                <w:sz w:val="9"/>
                <w:szCs w:val="9"/>
                <w:color w:val="auto"/>
              </w:rPr>
            </w:pPr>
          </w:p>
        </w:tc>
        <w:tc>
          <w:tcPr>
            <w:tcW w:w="1000" w:type="dxa"/>
            <w:vAlign w:val="bottom"/>
            <w:gridSpan w:val="2"/>
            <w:vMerge w:val="restart"/>
          </w:tcPr>
          <w:p>
            <w:pPr>
              <w:ind w:left="280"/>
              <w:spacing w:after="0"/>
              <w:rPr>
                <w:sz w:val="20"/>
                <w:szCs w:val="20"/>
                <w:color w:val="auto"/>
              </w:rPr>
            </w:pPr>
            <w:r>
              <w:rPr>
                <w:rFonts w:ascii="Arial" w:cs="Arial" w:eastAsia="Arial" w:hAnsi="Arial"/>
                <w:sz w:val="11"/>
                <w:szCs w:val="11"/>
                <w:b w:val="1"/>
                <w:bCs w:val="1"/>
                <w:color w:val="auto"/>
              </w:rPr>
              <w:t>Option</w:t>
            </w:r>
          </w:p>
        </w:tc>
        <w:tc>
          <w:tcPr>
            <w:tcW w:w="92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7"/>
              </w:rPr>
              <w:t>of Stock That</w:t>
            </w:r>
          </w:p>
        </w:tc>
        <w:tc>
          <w:tcPr>
            <w:tcW w:w="88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7"/>
              </w:rPr>
              <w:t>Units of Stock</w:t>
            </w:r>
          </w:p>
        </w:tc>
        <w:tc>
          <w:tcPr>
            <w:tcW w:w="94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6"/>
              </w:rPr>
              <w:t>or Other Rights</w:t>
            </w:r>
          </w:p>
        </w:tc>
        <w:tc>
          <w:tcPr>
            <w:tcW w:w="8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9"/>
              </w:rPr>
              <w:t>or Other Rights</w:t>
            </w:r>
          </w:p>
        </w:tc>
        <w:tc>
          <w:tcPr>
            <w:tcW w:w="0" w:type="dxa"/>
            <w:vAlign w:val="bottom"/>
          </w:tcPr>
          <w:p>
            <w:pPr>
              <w:spacing w:after="0"/>
              <w:rPr>
                <w:sz w:val="1"/>
                <w:szCs w:val="1"/>
                <w:color w:val="auto"/>
              </w:rPr>
            </w:pPr>
          </w:p>
        </w:tc>
      </w:tr>
      <w:tr>
        <w:trPr>
          <w:trHeight w:val="108"/>
        </w:trPr>
        <w:tc>
          <w:tcPr>
            <w:tcW w:w="12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Name</w:t>
            </w:r>
          </w:p>
        </w:tc>
        <w:tc>
          <w:tcPr>
            <w:tcW w:w="10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86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Grant Date</w:t>
            </w:r>
          </w:p>
        </w:tc>
        <w:tc>
          <w:tcPr>
            <w:tcW w:w="100" w:type="dxa"/>
            <w:vAlign w:val="bottom"/>
          </w:tcPr>
          <w:p>
            <w:pPr>
              <w:spacing w:after="0"/>
              <w:rPr>
                <w:sz w:val="9"/>
                <w:szCs w:val="9"/>
                <w:color w:val="auto"/>
              </w:rPr>
            </w:pPr>
          </w:p>
        </w:tc>
        <w:tc>
          <w:tcPr>
            <w:tcW w:w="108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9"/>
              </w:rPr>
              <w:t>Options (#)</w:t>
            </w:r>
          </w:p>
        </w:tc>
        <w:tc>
          <w:tcPr>
            <w:tcW w:w="124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8"/>
              </w:rPr>
              <w:t>Unexercised Options</w:t>
            </w:r>
          </w:p>
        </w:tc>
        <w:tc>
          <w:tcPr>
            <w:tcW w:w="108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8"/>
              </w:rPr>
              <w:t>Unearned Options</w:t>
            </w:r>
          </w:p>
        </w:tc>
        <w:tc>
          <w:tcPr>
            <w:tcW w:w="8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7"/>
              </w:rPr>
              <w:t>Exercise</w:t>
            </w:r>
          </w:p>
        </w:tc>
        <w:tc>
          <w:tcPr>
            <w:tcW w:w="1000" w:type="dxa"/>
            <w:vAlign w:val="bottom"/>
            <w:gridSpan w:val="2"/>
            <w:vMerge w:val="continue"/>
          </w:tcPr>
          <w:p>
            <w:pPr>
              <w:spacing w:after="0"/>
              <w:rPr>
                <w:sz w:val="9"/>
                <w:szCs w:val="9"/>
                <w:color w:val="auto"/>
              </w:rPr>
            </w:pPr>
          </w:p>
        </w:tc>
        <w:tc>
          <w:tcPr>
            <w:tcW w:w="9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6"/>
              </w:rPr>
              <w:t>Have Not</w:t>
            </w:r>
          </w:p>
        </w:tc>
        <w:tc>
          <w:tcPr>
            <w:tcW w:w="88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7"/>
              </w:rPr>
              <w:t>That Have Not</w:t>
            </w:r>
          </w:p>
        </w:tc>
        <w:tc>
          <w:tcPr>
            <w:tcW w:w="94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9"/>
              </w:rPr>
              <w:t>That Have Not</w:t>
            </w:r>
          </w:p>
        </w:tc>
        <w:tc>
          <w:tcPr>
            <w:tcW w:w="8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That Have Not</w:t>
            </w:r>
          </w:p>
        </w:tc>
        <w:tc>
          <w:tcPr>
            <w:tcW w:w="0" w:type="dxa"/>
            <w:vAlign w:val="bottom"/>
          </w:tcPr>
          <w:p>
            <w:pPr>
              <w:spacing w:after="0"/>
              <w:rPr>
                <w:sz w:val="1"/>
                <w:szCs w:val="1"/>
                <w:color w:val="auto"/>
              </w:rPr>
            </w:pPr>
          </w:p>
        </w:tc>
      </w:tr>
      <w:tr>
        <w:trPr>
          <w:trHeight w:val="155"/>
        </w:trPr>
        <w:tc>
          <w:tcPr>
            <w:tcW w:w="12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Exercisable</w:t>
            </w:r>
          </w:p>
        </w:tc>
        <w:tc>
          <w:tcPr>
            <w:tcW w:w="10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 Unexercisable</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Price ($)</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Expiration Date</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Vested (#)</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Vested ($)</w:t>
            </w: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Vested (#)</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Vested ($)</w:t>
            </w:r>
          </w:p>
        </w:tc>
        <w:tc>
          <w:tcPr>
            <w:tcW w:w="0" w:type="dxa"/>
            <w:vAlign w:val="bottom"/>
          </w:tcPr>
          <w:p>
            <w:pPr>
              <w:spacing w:after="0"/>
              <w:rPr>
                <w:sz w:val="1"/>
                <w:szCs w:val="1"/>
                <w:color w:val="auto"/>
              </w:rPr>
            </w:pPr>
          </w:p>
        </w:tc>
      </w:tr>
      <w:tr>
        <w:trPr>
          <w:trHeight w:val="162"/>
        </w:trPr>
        <w:tc>
          <w:tcPr>
            <w:tcW w:w="1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Michael Tannenbaum</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6/14/2024</w:t>
            </w:r>
            <w:r>
              <w:rPr>
                <w:rFonts w:ascii="Arial" w:cs="Arial" w:eastAsia="Arial" w:hAnsi="Arial"/>
                <w:sz w:val="14"/>
                <w:szCs w:val="14"/>
                <w:color w:val="auto"/>
                <w:vertAlign w:val="superscript"/>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794,387</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3,792,963</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4.82</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4/22/2034</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3"/>
        </w:trPr>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6/24/2024</w:t>
            </w:r>
            <w:r>
              <w:rPr>
                <w:rFonts w:ascii="Arial" w:cs="Arial" w:eastAsia="Arial" w:hAnsi="Arial"/>
                <w:sz w:val="14"/>
                <w:szCs w:val="14"/>
                <w:color w:val="auto"/>
                <w:vertAlign w:val="superscript"/>
              </w:rPr>
              <w:t>(2)</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4,587,350</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22,111,027</w:t>
            </w:r>
          </w:p>
        </w:tc>
        <w:tc>
          <w:tcPr>
            <w:tcW w:w="0" w:type="dxa"/>
            <w:vAlign w:val="bottom"/>
          </w:tcPr>
          <w:p>
            <w:pPr>
              <w:spacing w:after="0"/>
              <w:rPr>
                <w:sz w:val="1"/>
                <w:szCs w:val="1"/>
                <w:color w:val="auto"/>
              </w:rPr>
            </w:pPr>
          </w:p>
        </w:tc>
      </w:tr>
      <w:tr>
        <w:trPr>
          <w:trHeight w:val="187"/>
        </w:trPr>
        <w:tc>
          <w:tcPr>
            <w:tcW w:w="1460" w:type="dxa"/>
            <w:vAlign w:val="bottom"/>
            <w:gridSpan w:val="3"/>
          </w:tcPr>
          <w:p>
            <w:pPr>
              <w:ind w:left="20"/>
              <w:spacing w:after="0"/>
              <w:rPr>
                <w:sz w:val="20"/>
                <w:szCs w:val="20"/>
                <w:color w:val="auto"/>
              </w:rPr>
            </w:pPr>
            <w:r>
              <w:rPr>
                <w:rFonts w:ascii="Arial" w:cs="Arial" w:eastAsia="Arial" w:hAnsi="Arial"/>
                <w:sz w:val="11"/>
                <w:szCs w:val="11"/>
                <w:color w:val="auto"/>
              </w:rPr>
              <w:t>Macrina Kgil</w:t>
            </w:r>
          </w:p>
        </w:tc>
        <w:tc>
          <w:tcPr>
            <w:tcW w:w="860" w:type="dxa"/>
            <w:vAlign w:val="bottom"/>
          </w:tcPr>
          <w:p>
            <w:pPr>
              <w:jc w:val="right"/>
              <w:spacing w:after="0"/>
              <w:rPr>
                <w:sz w:val="20"/>
                <w:szCs w:val="20"/>
                <w:color w:val="auto"/>
              </w:rPr>
            </w:pPr>
            <w:r>
              <w:rPr>
                <w:rFonts w:ascii="Arial" w:cs="Arial" w:eastAsia="Arial" w:hAnsi="Arial"/>
                <w:sz w:val="11"/>
                <w:szCs w:val="11"/>
                <w:color w:val="auto"/>
              </w:rPr>
              <w:t>11/19/2024</w:t>
            </w:r>
            <w:r>
              <w:rPr>
                <w:rFonts w:ascii="Arial" w:cs="Arial" w:eastAsia="Arial" w:hAnsi="Arial"/>
                <w:sz w:val="14"/>
                <w:szCs w:val="14"/>
                <w:color w:val="auto"/>
                <w:vertAlign w:val="superscript"/>
              </w:rPr>
              <w:t>(1)</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13,398</w:t>
            </w:r>
          </w:p>
        </w:tc>
        <w:tc>
          <w:tcPr>
            <w:tcW w:w="100" w:type="dxa"/>
            <w:vAlign w:val="bottom"/>
          </w:tcPr>
          <w:p>
            <w:pPr>
              <w:spacing w:after="0"/>
              <w:rPr>
                <w:sz w:val="16"/>
                <w:szCs w:val="16"/>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661,602</w:t>
            </w:r>
          </w:p>
        </w:tc>
        <w:tc>
          <w:tcPr>
            <w:tcW w:w="100" w:type="dxa"/>
            <w:vAlign w:val="bottom"/>
          </w:tcPr>
          <w:p>
            <w:pPr>
              <w:spacing w:after="0"/>
              <w:rPr>
                <w:sz w:val="16"/>
                <w:szCs w:val="16"/>
                <w:color w:val="auto"/>
              </w:rPr>
            </w:pPr>
          </w:p>
        </w:tc>
        <w:tc>
          <w:tcPr>
            <w:tcW w:w="108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4.82</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12/02/2034</w:t>
            </w:r>
          </w:p>
        </w:tc>
        <w:tc>
          <w:tcPr>
            <w:tcW w:w="100" w:type="dxa"/>
            <w:vAlign w:val="bottom"/>
          </w:tcPr>
          <w:p>
            <w:pPr>
              <w:spacing w:after="0"/>
              <w:rPr>
                <w:sz w:val="16"/>
                <w:szCs w:val="16"/>
                <w:color w:val="auto"/>
              </w:rPr>
            </w:pPr>
          </w:p>
        </w:tc>
        <w:tc>
          <w:tcPr>
            <w:tcW w:w="92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11/19/2024</w:t>
            </w:r>
            <w:r>
              <w:rPr>
                <w:rFonts w:ascii="Arial" w:cs="Arial" w:eastAsia="Arial" w:hAnsi="Arial"/>
                <w:sz w:val="14"/>
                <w:szCs w:val="14"/>
                <w:color w:val="auto"/>
                <w:vertAlign w:val="superscript"/>
              </w:rPr>
              <w:t>(2)</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675,000</w:t>
            </w:r>
          </w:p>
        </w:tc>
        <w:tc>
          <w:tcPr>
            <w:tcW w:w="80" w:type="dxa"/>
            <w:vAlign w:val="bottom"/>
          </w:tcPr>
          <w:p>
            <w:pPr>
              <w:spacing w:after="0"/>
              <w:rPr>
                <w:sz w:val="18"/>
                <w:szCs w:val="18"/>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3,253,500</w:t>
            </w:r>
          </w:p>
        </w:tc>
        <w:tc>
          <w:tcPr>
            <w:tcW w:w="0" w:type="dxa"/>
            <w:vAlign w:val="bottom"/>
          </w:tcPr>
          <w:p>
            <w:pPr>
              <w:spacing w:after="0"/>
              <w:rPr>
                <w:sz w:val="1"/>
                <w:szCs w:val="1"/>
                <w:color w:val="auto"/>
              </w:rPr>
            </w:pPr>
          </w:p>
        </w:tc>
      </w:tr>
      <w:tr>
        <w:trPr>
          <w:trHeight w:val="162"/>
        </w:trPr>
        <w:tc>
          <w:tcPr>
            <w:tcW w:w="1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Todd Stevens</w:t>
            </w:r>
          </w:p>
        </w:tc>
        <w:tc>
          <w:tcPr>
            <w:tcW w:w="220" w:type="dxa"/>
            <w:vAlign w:val="bottom"/>
            <w:gridSpan w:val="2"/>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11/29/2023</w:t>
            </w:r>
            <w:r>
              <w:rPr>
                <w:rFonts w:ascii="Arial" w:cs="Arial" w:eastAsia="Arial" w:hAnsi="Arial"/>
                <w:sz w:val="14"/>
                <w:szCs w:val="14"/>
                <w:color w:val="auto"/>
                <w:vertAlign w:val="superscript"/>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77,926</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197,074</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4.99</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11/29/2033</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3"/>
        </w:trPr>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11/29/2023</w:t>
            </w:r>
            <w:r>
              <w:rPr>
                <w:rFonts w:ascii="Arial" w:cs="Arial" w:eastAsia="Arial" w:hAnsi="Arial"/>
                <w:sz w:val="14"/>
                <w:szCs w:val="14"/>
                <w:color w:val="auto"/>
                <w:vertAlign w:val="superscript"/>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3,803</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9,616</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4.99</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11/29/2033</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3"/>
        </w:trPr>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11/19/2024</w:t>
            </w:r>
            <w:r>
              <w:rPr>
                <w:rFonts w:ascii="Arial" w:cs="Arial" w:eastAsia="Arial" w:hAnsi="Arial"/>
                <w:sz w:val="14"/>
                <w:szCs w:val="14"/>
                <w:color w:val="auto"/>
                <w:vertAlign w:val="superscript"/>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20,962</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591,538</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4.82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11/11/2034</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3"/>
        </w:trPr>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11/19/2024</w:t>
            </w:r>
            <w:r>
              <w:rPr>
                <w:rFonts w:ascii="Arial" w:cs="Arial" w:eastAsia="Arial" w:hAnsi="Arial"/>
                <w:sz w:val="14"/>
                <w:szCs w:val="14"/>
                <w:color w:val="auto"/>
                <w:vertAlign w:val="superscript"/>
              </w:rPr>
              <w:t>(2)</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612,500</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2,952,250</w:t>
            </w:r>
          </w:p>
        </w:tc>
        <w:tc>
          <w:tcPr>
            <w:tcW w:w="0" w:type="dxa"/>
            <w:vAlign w:val="bottom"/>
          </w:tcPr>
          <w:p>
            <w:pPr>
              <w:spacing w:after="0"/>
              <w:rPr>
                <w:sz w:val="1"/>
                <w:szCs w:val="1"/>
                <w:color w:val="auto"/>
              </w:rPr>
            </w:pPr>
          </w:p>
        </w:tc>
      </w:tr>
      <w:tr>
        <w:trPr>
          <w:trHeight w:val="283"/>
        </w:trPr>
        <w:tc>
          <w:tcPr>
            <w:tcW w:w="1460" w:type="dxa"/>
            <w:vAlign w:val="bottom"/>
            <w:gridSpan w:val="3"/>
          </w:tcPr>
          <w:p>
            <w:pPr>
              <w:spacing w:after="0"/>
              <w:rPr>
                <w:sz w:val="20"/>
                <w:szCs w:val="20"/>
                <w:color w:val="auto"/>
              </w:rPr>
            </w:pPr>
            <w:r>
              <w:rPr>
                <w:rFonts w:ascii="Arial" w:cs="Arial" w:eastAsia="Arial" w:hAnsi="Arial"/>
                <w:sz w:val="16"/>
                <w:szCs w:val="16"/>
                <w:color w:val="auto"/>
              </w:rPr>
              <w:t>_______________</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hanging="332"/>
        <w:spacing w:after="0" w:line="220" w:lineRule="auto"/>
        <w:tabs>
          <w:tab w:leader="none" w:pos="335" w:val="left"/>
        </w:tabs>
        <w:numPr>
          <w:ilvl w:val="0"/>
          <w:numId w:val="71"/>
        </w:numPr>
        <w:rPr>
          <w:rFonts w:ascii="Arial" w:cs="Arial" w:eastAsia="Arial" w:hAnsi="Arial"/>
          <w:sz w:val="16"/>
          <w:szCs w:val="16"/>
          <w:color w:val="auto"/>
        </w:rPr>
      </w:pPr>
      <w:r>
        <w:rPr>
          <w:rFonts w:ascii="Arial" w:cs="Arial" w:eastAsia="Arial" w:hAnsi="Arial"/>
          <w:sz w:val="16"/>
          <w:szCs w:val="16"/>
          <w:color w:val="auto"/>
        </w:rPr>
        <w:t>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shares subject to the option vest on the first anniversary of the vesting commencement date, and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shares subject to the option vest monthly thereafter, subject to the executive’s continued employment through the applicable vesting dates.</w:t>
      </w:r>
    </w:p>
    <w:p>
      <w:pPr>
        <w:jc w:val="both"/>
        <w:ind w:left="340" w:hanging="332"/>
        <w:spacing w:after="0" w:line="225" w:lineRule="auto"/>
        <w:tabs>
          <w:tab w:leader="none" w:pos="335"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Represents RSUs that vest based on the satisfaction of a service-based vesting condition and a liquidity event-based vesting condition. The service-based vesting condition is satisfied as follows: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shares subject to the RSU vest on the first anniversary of the applicable vesting commencement date, and 1/16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shares subject to the RSUs vest in quarterly installments thereafter, subject to the executive’s continued employment through the applicable vesting dates. The liquidity event-based vesting condition is satisfied upon (i) an initial public offering or SPAC transaction or (ii) a change in control.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Arrangements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Michael Tannenbaum</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his appointment, we entered into an employment letter agreement with Mr. Tannenbaum, which provides (i) for an initial term of three years expiring on April 22, 2027, (ii) successive one-year term renewals, and (iii) that Mr. Tannenbaum is an at-will employee. Pursuant to Mr. Tannenbaum’s letter agreement, his initial annual base salary was $375,000 and his annual bonus opportunity target is 100% of his base salary, with such bonus earned quarterly subject to achievement of performance goals determined by our board of directors. For the first year of his employment with us, Mr. Tannenbaum will receive bonus payments of no less than $72,115.38 for the fiscal quarter ending June 30, 2024, $93,750 for the next three fiscal quarters, and $21,634.62 for the fiscal quarter ending June 30, 2025.</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Mr. Tannenbaum’s letter agreement provides for the grant of an option award over 4,587,350 shares of our common stock and for the grant of a restricted stock unit award over 4,587,350 shares of our common stock, with such option grant scheduled to vest as to 25% on April 22, 2025 and in ratable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40"/>
          </w:cols>
          <w:pgMar w:left="320" w:top="1440" w:right="339" w:bottom="1440" w:gutter="0" w:footer="0" w:header="0"/>
        </w:sectPr>
      </w:pPr>
    </w:p>
    <w:bookmarkStart w:id="214" w:name="page215"/>
    <w:bookmarkEnd w:id="214"/>
    <w:p>
      <w:pPr>
        <w:jc w:val="both"/>
        <w:spacing w:after="0" w:line="268" w:lineRule="auto"/>
        <w:rPr>
          <w:sz w:val="20"/>
          <w:szCs w:val="20"/>
          <w:color w:val="auto"/>
        </w:rPr>
      </w:pPr>
      <w:r>
        <w:rPr>
          <w:rFonts w:ascii="Arial" w:cs="Arial" w:eastAsia="Arial" w:hAnsi="Arial"/>
          <w:sz w:val="18"/>
          <w:szCs w:val="18"/>
          <w:color w:val="auto"/>
        </w:rPr>
        <w:t>monthly installments over the next 36 months, and the restricted stock units scheduled to vest as to 25% on April 22, 2025 and in ratable quarterly installments over the next 36 months, provided that the restricted stock unit award will not be eligible to vest until the occurrence of a specified liquidity event, including the occurrence of the effectiveness of the registration statement of which this prospectus forms a part.</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Pursuant to the terms of his employment letter agreement, in the event that Mr. Tannenbaum’s employment with us is terminated by us without “cause” or by Mr. Tannenbaum in a “resignation for good reason” (as such terms are defined in his letter agreement) then, subject to his execution of a release of claims, he will receive the following benefits:</w:t>
      </w:r>
    </w:p>
    <w:p>
      <w:pPr>
        <w:spacing w:after="0" w:line="117"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lump sum payment equal to his annual base salary as then in effect;</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lump sum payment of any earned but unpaid quarterly bonus, or, in the event such termination occurred prior to April 22, 2025, any bonus amounts fixed pursuant to his letter agreement that have not yet been paid;</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lump sum payment equal to $93,750, pro-rated for the number of days he was employed during the fiscal quarter in which the termination occurs;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Subsidized coverage under our health and welfare benefit plans on the same basis as provided to our similarly situated employees for a period of 12 months; and</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Accelerated vesting of his option and restricted stock unit awards provided for under his letter agreement in a number of shares equal to the shares that would have vested had his employment continued for an additional year.</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Additionally, if such termination of employment occurs within 12 months following a “change of control” (as defined in his letter agreement), 100% of the option and restricted stock unit awards provided for under his letter agreement will become vested, subject to his execution of a release of claims.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Macrina Kgil</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FTI entered into an offer letter with Ms. Kgil, dated October 30, 2024, to serve as our Chief Financial Officer effective as of December 2, 2024. The offer letter with Ms. Kgil provides for (i) an annual base salary of $450,000, (ii) eligibility to participate in an annual bonus program with a target bonus equal to 33% of her quarterly base salary, (iii) a one-time sign-on bonus equal to $125,000, payable upon Ms. Kgil’s completion of 90 days of employment with us, and (iv) eligibility to participate in company-sponsored benefit plans.</w:t>
      </w:r>
    </w:p>
    <w:p>
      <w:pPr>
        <w:spacing w:after="0" w:line="1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offer letter further provides for the grant of an initial option award covering 675,000 shares of our common stock and the grant of an award of 675,000 restricted stock units. The option award vests as to 25% of the option on the 12-month anniversary of Ms. Kgil’s start date, or December 2, 2025, with the remaining 75% of the option vesting in ratable monthly installments over the next 36 months, subject to her continued service through the applicable vesting dates. The RSUs vest based on the satisfaction of a service-based vesting condition and a liquidity event-based vesting condition. The service-based vesting condition becomes satisfied, contingent on continued employment, as to 25% of the RSUs on December 2, 2025 and then in ratable quarterly installments for the following 36-month period, and the liquidity event-based vesting condition becomes satisfied upon the occurrence of a liquidity event within 7 years of the date such RSUs were granted.</w:t>
      </w:r>
    </w:p>
    <w:p>
      <w:pPr>
        <w:spacing w:after="0" w:line="1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Additionally, if Ms. Kgil’s employment is terminated by us without “cause” or by Ms. Kgil in a resignation for “good reason” within 12 months following a “change of control” (each as defined below), 100% of the option awards provided for under her letter agreement will become vested, subject to her execution of a release of claims. For these purposes the following definitions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40"/>
          </w:cols>
          <w:pgMar w:left="320" w:top="1417" w:right="339" w:bottom="1440" w:gutter="0" w:footer="0" w:header="0"/>
        </w:sectPr>
      </w:pPr>
    </w:p>
    <w:bookmarkStart w:id="215" w:name="page216"/>
    <w:bookmarkEnd w:id="215"/>
    <w:p>
      <w:pPr>
        <w:jc w:val="both"/>
        <w:ind w:firstLine="324"/>
        <w:spacing w:after="0" w:line="253" w:lineRule="auto"/>
        <w:rPr>
          <w:sz w:val="20"/>
          <w:szCs w:val="20"/>
          <w:color w:val="auto"/>
        </w:rPr>
      </w:pPr>
      <w:r>
        <w:rPr>
          <w:rFonts w:ascii="Arial" w:cs="Arial" w:eastAsia="Arial" w:hAnsi="Arial"/>
          <w:sz w:val="18"/>
          <w:szCs w:val="18"/>
          <w:color w:val="auto"/>
        </w:rPr>
        <w:t>“Cause” means (i) Ms. Kgil’s failure to substantially perform her material duties and obligations as a service provider (for reasons other than death or disability), which failure is not cured to the sole and reasonable satisfaction of the Company; (ii) Ms. Kgil’s failure or refusal to comply with the policies, standards and regulations established by the Company from time to time, which failure is not cured to the sole and reasonable satisfaction of the Company; (iii) any act of personal dishonesty, moral turpitude, fraud, embezzlement, misrepresentation, or other unlawful act committed by Ms. Kgil that results in harm to the Company or its affiliates, including financial or reputational, which harm is determined in the Company’s sole and reasonable discretion; (iv) Ms. Kgil’s violation of a federal or state law or regulation applicable to the business of the Company or its affiliates; (v) Ms. Kgil being convicted of, or entering a plea of nolo contendere or guilty to, a felony under the laws of the United States or its equivalent in the jurisdiction in which the act that constituted the felony occurred; (vi) Ms. Kgil’s material breach of the terms of any agreement between her and the Company (or any affiliate of the Company); or (vii) the Company’s economic duress or necessity, as determined by the Company in its sole and reasonable discretion. With respect to (i) and (ii) above, only, Ms. Kgil will have ten days to cure following written notice of her failure or refusal to perform or comply, provided that whether the failure is curable is within the Company’s sole and reasonable discretion.</w:t>
      </w:r>
    </w:p>
    <w:p>
      <w:pPr>
        <w:spacing w:after="0" w:line="13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“Good Reason” means, without Ms. Kgil’s consent and subject to the notice, cure and other requirements set forth below: (i) a material diminution of Ms. Kgil’s base salary, unless such diminution is part of a generalized salary reduction affecting similarly situated employees; provided that a diminution of 10% or less in any one calendar year will not be deemed material; (ii) a material diminution of Ms. Kgil’s authority, duties or responsibilities as an employee relative to such authority, duties or responsibilities in effect immediately prior to such diminution; provided that Ms. Kgil’s authority, duties and responsibilities will not be deemed to be materially reduced if Ms. Kgil has reasonably comparable authority, duties and responsibilities as an employee with respect to the Company’s business following a Change of Control (as defined below), regardless of any change in title or whether he or she subsequently provides services to a subsidiary, affiliate, business unit, division or otherwise; (iii) a material change in the principal geographic location at which Ms. Kgil must perform services for the Company (a relocation to a facility or a location that would not increase Ms. Kgil’s one-way commute distance by more than 35 miles from her then principal residence shall not be considered a material change in geographic location); or (iv) a material breach by the Company of the agreement under which Ms. Kgil provides services to the Company.</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“Change of Control” means either: (i) the acquisition of the Company by another entity by means of any transaction or series of related transactions (including, without limitation, any reorganization, merger or consolidation or stock transfer, but excluding any such transaction effected primarily for the purpose of changing the domicile of the Company), unless the Company’s stockholders of record immediately prior to such transaction or series of related transactions hold, immediately after such transaction or series of related transactions, at least 50% of the voting power of the surviving or acquiring entity (provided that the sale by the Company of its securities for the purposes of raising additional funds shall not constitute a Change of Control); or (ii) a sale of all or substantially all of the assets of the Company.</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Ms. Kgil also entered into an At-Will Employment, Confidential Information, Invention Assignment, and Arbitration Agreement in connection with her commencement of employment, pursuant to which she is subject to perpetual confidentiality obligations and 12-month post-termination non-compete and non-solicitation of customers and employees covenants.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Todd Stevens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FT entered into an offer letter with Mr. Stevens, dated October 27, 2023, to serve as our Head of Blockchain Capital Markets, effective as of November 13, 2023. The offer letter provides for (i) an annual base salary of $275,000, (ii) eligibility to participate in an annual bonus program with a target bonus equal to 50% of his quarterly base salary, and (iii) eligibility to participate in company-sponsored benefit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40"/>
          </w:cols>
          <w:pgMar w:left="320" w:top="1417" w:right="339" w:bottom="1440" w:gutter="0" w:footer="0" w:header="0"/>
        </w:sectPr>
      </w:pPr>
    </w:p>
    <w:bookmarkStart w:id="216" w:name="page217"/>
    <w:bookmarkEnd w:id="216"/>
    <w:p>
      <w:pPr>
        <w:jc w:val="both"/>
        <w:ind w:firstLine="324"/>
        <w:spacing w:after="0" w:line="268" w:lineRule="auto"/>
        <w:rPr>
          <w:sz w:val="20"/>
          <w:szCs w:val="20"/>
          <w:color w:val="auto"/>
        </w:rPr>
      </w:pPr>
      <w:r>
        <w:rPr>
          <w:rFonts w:ascii="Arial" w:cs="Arial" w:eastAsia="Arial" w:hAnsi="Arial"/>
          <w:sz w:val="18"/>
          <w:szCs w:val="18"/>
          <w:color w:val="auto"/>
        </w:rPr>
        <w:t>The offer letter further provides for the grant of an initial option award covering 275,000 shares of our common stock which vests, contingent on continued employment, as to 25% of the option on the first anniversary of Mr. Stevens’ start date, with the remaining 75% of the option vesting in ratable monthly installments over the following 36-month period.</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Mr. Stevens also entered into a Confidential Information and Invention Assignment Agreement in connection with his commencement of employment, pursuant to which he is subject to perpetual confidentiality obligations and a 12-month post-termination non-solicitation of employees covenant.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171"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following summarizes the material terms of the 2018 Plan and the equity compensation plans we intend to adopt in connection with this offering.</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2024, our NEOs held awards granted under the 2018 Plan. The 2018 Plan was originally adopted by the board of directors of FT and approved by the stockholders of FT in 2018, and most recently amended in January 2022. In connection with the Separation we assumed the 2018 Plan and all awards outstanding thereunder, and we terminated the 2018 Plan as of one business day prior to the effectiveness of the registration statement of which this prospectus forms a part, such that we will not grant any additional awards under the 2018 Plan thereafter. However, each outstanding award will continue to be governed by the terms and conditions of the 2018 Plan following the effectiveness of the registration statement of which this prospectus forms a part.</w:t>
      </w:r>
    </w:p>
    <w:p>
      <w:pPr>
        <w:spacing w:after="0" w:line="12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2018 Plan provides for the grant of ISOs, NSOs, SARs, restricted stock awards and RSUs (each, an “award” and the recipient of such award, a “participant”) to eligible employees, directors, and consultants.</w:t>
      </w:r>
    </w:p>
    <w:p>
      <w:pPr>
        <w:spacing w:after="0" w:line="9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Prior to the Separation, the 2018 Plan was administered by the board of directors of FT or one or more committees</w:t>
      </w:r>
      <w:r>
        <w:rPr>
          <w:rFonts w:ascii="Arial" w:cs="Arial" w:eastAsia="Arial" w:hAnsi="Arial"/>
          <w:sz w:val="18"/>
          <w:szCs w:val="18"/>
          <w:i w:val="1"/>
          <w:iCs w:val="1"/>
          <w:color w:val="auto"/>
        </w:rPr>
        <w:t xml:space="preserve"> </w:t>
      </w:r>
      <w:r>
        <w:rPr>
          <w:rFonts w:ascii="Arial" w:cs="Arial" w:eastAsia="Arial" w:hAnsi="Arial"/>
          <w:sz w:val="18"/>
          <w:szCs w:val="18"/>
          <w:color w:val="auto"/>
        </w:rPr>
        <w:t>appointed by the board of directors of FT. Following the Separation, the 2018 Plan has been administered by our board of directors or one more committees appointed by our board of directors. Different committees may administer the 2018 Plan with respect to different service providers. The administrator has all authority and discretion necessary or appropriate to administer the 2018 Plan and to control its operation, including the authority to construe and interpret the terms of the 2018 Plan and the awards granted under the 2018 Plan. The administrator’s decisions, determinations and interpretations are final and binding on all participants and any other persons holding awards.</w:t>
      </w:r>
    </w:p>
    <w:p>
      <w:pPr>
        <w:spacing w:after="0" w:line="12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administrator’s powers include the power to institute an exchange program under which (i) outstanding awards are surrendered or cancelled in exchange for awards of the same type (which may have higher or lower exercise prices and different terms), awards of a different type or cash, (ii) participants would have the opportunity to transfer any outstanding awards to a financial institution or other person or entity selected by the administrator or (iii) the exercise price of an outstanding award is increased or reduced. The administrator’s powers also include the power to prescribe, amend and rescind rules and regulations relating to the 2018 Plan, to modify or amend each award, to temporarily suspend the exercisability of awards when necessary or appropriate for administrative purposes and to make all other determinations deemed necessary or advisable for administering the 2018 Plan.</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Prior to the Separation, employees, directors and consultants of FT or FT’s parent or subsidiary companies were eligible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awards, provided such consultants render bona fide services not in connection with the offer and sale of securities in a capital-raising transaction and do not directly promote or maintain a market for FT’s securities. Only FT employees or employees of FT’s parent or subsidiary companies were eligible to receive ISOs. Following the Separation, we became the successor to FT for plan eligibility purposes. No awards will be granted under the 2018 Plan following the effectiveness of the registration statement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40"/>
          </w:cols>
          <w:pgMar w:left="320" w:top="1417" w:right="339" w:bottom="1440" w:gutter="0" w:footer="0" w:header="0"/>
        </w:sectPr>
      </w:pPr>
    </w:p>
    <w:bookmarkStart w:id="217" w:name="page218"/>
    <w:bookmarkEnd w:id="217"/>
    <w:p>
      <w:pPr>
        <w:jc w:val="both"/>
        <w:ind w:firstLine="324"/>
        <w:spacing w:after="0" w:line="287"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are currently outstanding under the 2018 Plan. Subject to the provisions of the 2018 Plan,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determines the term of an option, the number of shares subject to an option, and the time period in which an option may be exercised.</w:t>
      </w:r>
    </w:p>
    <w:p>
      <w:pPr>
        <w:spacing w:after="0" w:line="9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term of an option is stated in the applicable award agreement, but the term of an option may not exceed 10 years from the grant date. The administrator determines the exercise price of options, which generally may not be less than 100% of the fair market value of our common stock on the grant date. However, an ISO granted to an individual who directly or by attribution owns more than 10% of the total combined voting power of all of our classes of stock or of any parent or subsidiary may have a term of no longer than 5 years from the grant date and will have an exercise price of at least 110% of the fair market value of our common stock on the grant date. In addition, to the extent that the aggregate fair market value of the shares with respect to which ISOs are exercisable for the first time by an employee during any calendar year (under all our plans and any parent or subsidiary) exceeds $100,000, such options will be treated as NSOs.</w:t>
      </w:r>
    </w:p>
    <w:p>
      <w:pPr>
        <w:spacing w:after="0" w:line="1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administrator determines how a participant may pay the exercise price of an option, and the permissible methods are generally set forth in the applicable award agreement. If a participant’s status as a “service provider” (as defined in the 2018 Plan) terminates, that participant may exercise the vested portion of their option within the period of time stated in the applicable award agreement. Vested options generally will remain exercisable for thirty days or such longer period of time as set forth in the applicable award agreement if a participant’s status as a service provider terminates for a reason other than death or disability. If a participant’s status as a service provider terminates due to death or disability, vested options generally will remain exercisable for six months from the date of termination (or such other longer period as set forth in the applicable award agreement). In no event will an option remain exercisable beyond its original term. If a participant does not exercise their option within the time specified in the award agreement, the option will terminate. If a participant’s options are not vested on the date of termination, the shares covering the option will revert to the 2018 Plan. Except as described above, the administrator has the discretion to determine the post-termination exercisability periods for an option.</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Unless determined otherwise by the administrator, awards may not be sold, pledged, assigned,</w:t>
      </w:r>
      <w:r>
        <w:rPr>
          <w:rFonts w:ascii="Arial" w:cs="Arial" w:eastAsia="Arial" w:hAnsi="Arial"/>
          <w:sz w:val="18"/>
          <w:szCs w:val="18"/>
          <w:i w:val="1"/>
          <w:iCs w:val="1"/>
          <w:color w:val="auto"/>
        </w:rPr>
        <w:t xml:space="preserve"> </w:t>
      </w:r>
      <w:r>
        <w:rPr>
          <w:rFonts w:ascii="Arial" w:cs="Arial" w:eastAsia="Arial" w:hAnsi="Arial"/>
          <w:sz w:val="18"/>
          <w:szCs w:val="18"/>
          <w:color w:val="auto"/>
        </w:rPr>
        <w:t>hypothecated or otherwise transferred in any manner other than by will or by the laws of descent and distribution. In addition, during an applicable participant’s lifetime, only that participant may exercise their award. If the administrator makes an award transferable, such award may only be transferred (i) by will, (ii) by the laws of descent and distribution or (iii) as permitted by Rule 701 of the Securities Act.</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Certain Adjustments</w:t>
      </w:r>
      <w:r>
        <w:rPr>
          <w:rFonts w:ascii="Arial" w:cs="Arial" w:eastAsia="Arial" w:hAnsi="Arial"/>
          <w:sz w:val="18"/>
          <w:szCs w:val="18"/>
          <w:color w:val="auto"/>
        </w:rPr>
        <w:t>. If there is a dividend or other distribution (whether in the form of cash, shares, other securities or other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stock split, reverse stock split, reorganization, merger, consolidation, split-up, spin-off, combination, repurchase, exchange of shares or our other securities or other change in our corporate structure affecting the shares, the administrator will make proportionate adjustments to the number and type of shares that may be delivered under the 2018 Plan or the number, type and price of shares covered by each outstanding award. In connection with the Separation, options were adjusted as required under the 2018 Plan.</w:t>
      </w:r>
    </w:p>
    <w:p>
      <w:pPr>
        <w:spacing w:after="0" w:line="1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proposed dissolution or liquidation, the administrator will notify each participant as soon as</w:t>
      </w:r>
      <w:r>
        <w:rPr>
          <w:rFonts w:ascii="Arial" w:cs="Arial" w:eastAsia="Arial" w:hAnsi="Arial"/>
          <w:sz w:val="18"/>
          <w:szCs w:val="18"/>
          <w:i w:val="1"/>
          <w:iCs w:val="1"/>
          <w:color w:val="auto"/>
        </w:rPr>
        <w:t xml:space="preserve"> </w:t>
      </w:r>
      <w:r>
        <w:rPr>
          <w:rFonts w:ascii="Arial" w:cs="Arial" w:eastAsia="Arial" w:hAnsi="Arial"/>
          <w:sz w:val="18"/>
          <w:szCs w:val="18"/>
          <w:color w:val="auto"/>
        </w:rPr>
        <w:t>practicable prior to the effective date of such proposed transaction. To the extent it has not been previously exercised, an award will terminate immediately prior to the consummation of such proposed action.</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Merger and Change of Control</w:t>
      </w:r>
      <w:r>
        <w:rPr>
          <w:rFonts w:ascii="Arial" w:cs="Arial" w:eastAsia="Arial" w:hAnsi="Arial"/>
          <w:sz w:val="18"/>
          <w:szCs w:val="18"/>
          <w:color w:val="auto"/>
        </w:rPr>
        <w:t>. In the event of a merger with or into another corporation or entity or a “change in control” (as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2018 Plan), each outstanding award will be treated as the administrator determines,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the participant’s awards will terminate upon or immediately prior to the consummation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40"/>
          </w:cols>
          <w:pgMar w:left="320" w:top="1417" w:right="339" w:bottom="1440" w:gutter="0" w:footer="0" w:header="0"/>
        </w:sectPr>
      </w:pPr>
    </w:p>
    <w:bookmarkStart w:id="218" w:name="page219"/>
    <w:bookmarkEnd w:id="218"/>
    <w:p>
      <w:pPr>
        <w:jc w:val="both"/>
        <w:spacing w:after="0" w:line="255" w:lineRule="auto"/>
        <w:rPr>
          <w:sz w:val="20"/>
          <w:szCs w:val="20"/>
          <w:color w:val="auto"/>
        </w:rPr>
      </w:pPr>
      <w:r>
        <w:rPr>
          <w:rFonts w:ascii="Arial" w:cs="Arial" w:eastAsia="Arial" w:hAnsi="Arial"/>
          <w:sz w:val="18"/>
          <w:szCs w:val="18"/>
          <w:color w:val="auto"/>
        </w:rPr>
        <w:t>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us without payment) or (B) the replacement of such award with other rights or property selected by the administrator in its sole discretion; or (v) any combination of the foregoing. The administrator will not be obligated to treat all awards, all awards a participant holds or all awards of the same type, similarly.</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event that the successor corporation does not assume or substitute for an award (or portion thereof), the participant will fully vest in and have the right to exercise all of their outstanding options and stock appreciation rights, including shares as to which such awards would not otherwise be vested or exercisable, all restrictions on restricted stock and RSUs will lapse, and, with respect to awards with performance-based vesting, all performance goals or other vesting criteria will be deemed achieved at 100% of target levels and all other terms and conditions met, unless specified otherwise in the applicable award agreement or a written agreement between the participant and us. In addition, if an option or SAR is not assumed or substituted in the event of a merger or change in control, the administrator will notify the participant in writing or electronically that the option or SAR will be exercisable for a period of time determined by the administrator in its sole discretion, and the option or SAR will terminate upon the expiration of such period.</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auto"/>
        </w:rPr>
        <w:t>Clawback</w:t>
      </w:r>
      <w:r>
        <w:rPr>
          <w:rFonts w:ascii="Arial" w:cs="Arial" w:eastAsia="Arial" w:hAnsi="Arial"/>
          <w:sz w:val="18"/>
          <w:szCs w:val="18"/>
          <w:color w:val="auto"/>
        </w:rPr>
        <w:t>. Awards are subject to any clawback policy of ours, which we may establish and/or amend from time to time to comply with</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laws. The administrator may impose clawback, recovery or recoupment provisions in an award agreement as deemed necessary or appropriate. The administrator also may specify in an award agreement that the participant’s rights, payments and benefits with respect to an award will be subject to reduction, cancellation, forfeiture or recoupment upon the occurrence of certain specified events.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at any time, terminate or amend the 2018 Plan in any respect,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limitation, amendment of any form of award agreement or instrument to be executed pursuant to the 2018 Plan. To the extent necessary and desirable to comply with applicable laws, we will obtain stockholder approval of any amendment to the 2018 Plan. No amendment or alteration of the 2018 Plan will impair the rights of a participant, unless mutually agreed otherwise between the participant and the administrator in writing.</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2025 Incentive Award Plan</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this offering, we intend to adopt the 2025 Plan, subject to the approval of our stockholders, under which we may grant cash and equity-based incentive awards to eligible service providers in order to attract, motivate and retain the talent for which we compete. The material terms of the 2025 Plan, as it is currently contemplated, are summarized below. This summary is not a complete description of all provisions of the 2025 Plan and is qualified in its entirety by reference to the 2025 Plan, which will be filed as an exhibit to the registration statement of which this prospectus is a part.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Eligibility and Administration</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employees, consultants and directors, and employees, consultants and directors of our subsidiaries, are eligible to receive awards under the 2025 Plan. The 2025 Plan is expected to be initially administered by our board of directors with respect to awards to non-employee directors and by our compensation committee with respect to other participants, each of which may delegate its duties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40"/>
          </w:cols>
          <w:pgMar w:left="320" w:top="1417" w:right="339" w:bottom="1440" w:gutter="0" w:footer="0" w:header="0"/>
        </w:sectPr>
      </w:pPr>
    </w:p>
    <w:bookmarkStart w:id="219" w:name="page220"/>
    <w:bookmarkEnd w:id="219"/>
    <w:p>
      <w:pPr>
        <w:jc w:val="both"/>
        <w:spacing w:after="0" w:line="259" w:lineRule="auto"/>
        <w:rPr>
          <w:sz w:val="20"/>
          <w:szCs w:val="20"/>
          <w:color w:val="auto"/>
        </w:rPr>
      </w:pPr>
      <w:r>
        <w:rPr>
          <w:rFonts w:ascii="Arial" w:cs="Arial" w:eastAsia="Arial" w:hAnsi="Arial"/>
          <w:sz w:val="18"/>
          <w:szCs w:val="18"/>
          <w:color w:val="auto"/>
        </w:rPr>
        <w:t>responsibilities to committees of our directors and/or officers (referred to collectively as the plan administrator below), subject to certain limitations that may be imposed under the 2025 Plan, Section 16 of the Exchange Act, and/or stock exchange rules, as applicable. The plan administrator has the authority to make all determinations and interpretations under, prescribe all forms for use with, and adopt rules for the administration of, the 2025 Plan, subject to its express terms and conditions. The plan administrator will also set the terms and conditions of all awards under the 2025 Plan, including any vesting and vesting acceleration conditions.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Limitation on Awards and Shares Available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maximum number of shares of our Class A common stock available for issuance under the 2025 Plan is equal to the sum of (i) a</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number of shares equal to percent ( %) of the shares of common stock outstanding as of immediately prior to this offering; and (ii) ; provided, however, that no more than a number of shares equal to times the initial share reserve pursuant to clause</w:t>
      </w:r>
    </w:p>
    <w:p>
      <w:pPr>
        <w:spacing w:after="0" w:line="1" w:lineRule="exact"/>
        <w:rPr>
          <w:sz w:val="20"/>
          <w:szCs w:val="20"/>
          <w:color w:val="auto"/>
        </w:rPr>
      </w:pPr>
    </w:p>
    <w:p>
      <w:pPr>
        <w:jc w:val="both"/>
        <w:ind w:firstLine="8"/>
        <w:spacing w:after="0" w:line="258" w:lineRule="auto"/>
        <w:tabs>
          <w:tab w:leader="none" w:pos="214" w:val="left"/>
        </w:tabs>
        <w:numPr>
          <w:ilvl w:val="0"/>
          <w:numId w:val="73"/>
        </w:numPr>
        <w:rPr>
          <w:rFonts w:ascii="Arial" w:cs="Arial" w:eastAsia="Arial" w:hAnsi="Arial"/>
          <w:sz w:val="18"/>
          <w:szCs w:val="18"/>
          <w:color w:val="auto"/>
        </w:rPr>
      </w:pPr>
      <w:r>
        <w:rPr>
          <w:rFonts w:ascii="Arial" w:cs="Arial" w:eastAsia="Arial" w:hAnsi="Arial"/>
          <w:sz w:val="18"/>
          <w:szCs w:val="18"/>
          <w:color w:val="auto"/>
        </w:rPr>
        <w:t>above may be issued upon the exercise of incentive stock options (“ISOs”). The share reserve formula under the 2025 Plan is intended to provide us with the continuing ability to grant equity awards to eligible employees, directors and consultants for the ten-year term of the 2025 Plan.</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all or any part of an award under the 2025 Plan expires, lapses or is terminated, exchanged or settled for cash, surrendered, repurchased, cancelled without having been fully exercised or forfeited, in any case, in a manner that results in us acquiring the underlying shares at a price not greater than the price paid by the participant for such shares or not issuing the underlying shares, such unused shares subject to the award at such time will be available for future grants under the 2025 Plan. In addition, the payment of dividends or dividend equivalents in cash in conjunction with any outstanding awards will not be counted against the shares available for issuance under the 2025 Plan.</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Awards granted under the 2025 Plan upon the assumption of, or in substitution for, outstanding equity awards previously granted by an entity in connection with a corporate transaction with us, such as a merger, combination, consolidation or acquisition of property or stock will not reduce the shares authorized for grant under the 2025 Plan, except shares acquired upon the exercise of ISOs will count against the maximum number of shares that may be issued under the 2025 Plan pursuant to the exercise of ISOs. The maximum grant date fair value of</w:t>
      </w:r>
    </w:p>
    <w:p>
      <w:pPr>
        <w:spacing w:after="0" w:line="2" w:lineRule="exact"/>
        <w:rPr>
          <w:sz w:val="20"/>
          <w:szCs w:val="20"/>
          <w:color w:val="auto"/>
        </w:rPr>
      </w:pPr>
    </w:p>
    <w:p>
      <w:pPr>
        <w:spacing w:after="0"/>
        <w:tabs>
          <w:tab w:leader="none" w:pos="10100" w:val="left"/>
        </w:tabs>
        <w:rPr>
          <w:sz w:val="20"/>
          <w:szCs w:val="20"/>
          <w:color w:val="auto"/>
        </w:rPr>
      </w:pPr>
      <w:r>
        <w:rPr>
          <w:rFonts w:ascii="Arial" w:cs="Arial" w:eastAsia="Arial" w:hAnsi="Arial"/>
          <w:sz w:val="18"/>
          <w:szCs w:val="18"/>
          <w:color w:val="auto"/>
        </w:rPr>
        <w:t>cash and equity awards granted to any non-employee director pursuant to the 2025 Plan during any calendar year is $</w:t>
      </w:r>
      <w:r>
        <w:rPr>
          <w:sz w:val="20"/>
          <w:szCs w:val="20"/>
          <w:color w:val="auto"/>
        </w:rPr>
        <w:tab/>
      </w:r>
      <w:r>
        <w:rPr>
          <w:rFonts w:ascii="Arial" w:cs="Arial" w:eastAsia="Arial" w:hAnsi="Arial"/>
          <w:sz w:val="13"/>
          <w:szCs w:val="13"/>
          <w:color w:val="auto"/>
        </w:rPr>
        <w:t>.</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Awards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2025 Plan provides for the grant of stock options, including ISOs and nonqualified stock options (“NSOs”), restricted stock, dividend equivalents, stock payments, restricted stock units (“RSUs”), other incentive awards, stock appreciation rights (“SARs”) and cash awards. No determination has been made as to the types or amounts of awards that will be granted to certain individuals pursuant to the 2025 Plan.</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awards under the 2025 Plan may constitute or provide for a deferral of compensation, subject to Section 409A of the Code, which may impose additional requirements on the terms and conditions of such awards. All awards under the 2025 Plan will be set forth in award agreements, which will detail all terms and conditions of the awards, including any applicable vesting and payment terms and post-termination exercise limitations. Awards other than cash awards generally will be settled in shares of our Class A common stock, but the plan administrator may provide for cash settlement of any award. A brief description of each award type follows.</w:t>
      </w:r>
    </w:p>
    <w:p>
      <w:pPr>
        <w:spacing w:after="0" w:line="125" w:lineRule="exact"/>
        <w:rPr>
          <w:sz w:val="20"/>
          <w:szCs w:val="20"/>
          <w:color w:val="auto"/>
        </w:rPr>
      </w:pPr>
    </w:p>
    <w:p>
      <w:pPr>
        <w:jc w:val="both"/>
        <w:ind w:left="660" w:hanging="328"/>
        <w:spacing w:after="0" w:line="259"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provide for the purchase of shares in the future at an exercise price set on the grant date. ISOs, by</w:t>
      </w:r>
      <w:r>
        <w:rPr>
          <w:rFonts w:ascii="Arial" w:cs="Arial" w:eastAsia="Arial" w:hAnsi="Arial"/>
          <w:sz w:val="18"/>
          <w:szCs w:val="18"/>
          <w:i w:val="1"/>
          <w:iCs w:val="1"/>
          <w:color w:val="auto"/>
        </w:rPr>
        <w:t xml:space="preserve"> </w:t>
      </w:r>
      <w:r>
        <w:rPr>
          <w:rFonts w:ascii="Arial" w:cs="Arial" w:eastAsia="Arial" w:hAnsi="Arial"/>
          <w:sz w:val="18"/>
          <w:szCs w:val="18"/>
          <w:color w:val="auto"/>
        </w:rPr>
        <w:t>contrast to NSOs, may 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on the date of grant (or 110% in the case of ISOs granted to certain significant stockholders), except with respect to certain substitute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40"/>
          </w:cols>
          <w:pgMar w:left="320" w:top="1417" w:right="339" w:bottom="1440" w:gutter="0" w:footer="0" w:header="0"/>
        </w:sectPr>
      </w:pPr>
    </w:p>
    <w:bookmarkStart w:id="220" w:name="page221"/>
    <w:bookmarkEnd w:id="220"/>
    <w:p>
      <w:pPr>
        <w:spacing w:after="0" w:line="85"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granted in connection with a corporate transaction. The term of a stock option may not be longer than ten years (or five years in the case of ISOs granted to certain significant stockholders).</w:t>
      </w:r>
    </w:p>
    <w:p>
      <w:pPr>
        <w:spacing w:after="0" w:line="99" w:lineRule="exact"/>
        <w:rPr>
          <w:sz w:val="20"/>
          <w:szCs w:val="20"/>
          <w:color w:val="auto"/>
        </w:rPr>
      </w:pPr>
    </w:p>
    <w:p>
      <w:pPr>
        <w:jc w:val="both"/>
        <w:ind w:left="660" w:hanging="328"/>
        <w:spacing w:after="0" w:line="262"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SARs</w:t>
      </w:r>
      <w:r>
        <w:rPr>
          <w:rFonts w:ascii="Arial" w:cs="Arial" w:eastAsia="Arial" w:hAnsi="Arial"/>
          <w:sz w:val="18"/>
          <w:szCs w:val="18"/>
          <w:color w:val="auto"/>
        </w:rPr>
        <w:t>. SARs entitle their holder, upon exercise, to receive from us an amount equal to the appreciation of the shares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award between the grant date and the exercise date. The exercise price of a SAR may not be less than 100% of the fair market value of the underlying share on the date of grant (except with respect to certain substitute SARs granted in connection with a corporate transaction). The term of a SAR may not be longer than ten years.</w:t>
      </w:r>
    </w:p>
    <w:p>
      <w:pPr>
        <w:spacing w:after="0" w:line="12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Restricted Stock and RSUs</w:t>
      </w:r>
      <w:r>
        <w:rPr>
          <w:rFonts w:ascii="Arial" w:cs="Arial" w:eastAsia="Arial" w:hAnsi="Arial"/>
          <w:sz w:val="18"/>
          <w:szCs w:val="18"/>
          <w:color w:val="auto"/>
        </w:rPr>
        <w:t>. Restricted stock is an award of nontransferable shares of our common stock that remain forfeitable</w:t>
      </w:r>
      <w:r>
        <w:rPr>
          <w:rFonts w:ascii="Arial" w:cs="Arial" w:eastAsia="Arial" w:hAnsi="Arial"/>
          <w:sz w:val="18"/>
          <w:szCs w:val="18"/>
          <w:i w:val="1"/>
          <w:iCs w:val="1"/>
          <w:color w:val="auto"/>
        </w:rPr>
        <w:t xml:space="preserve"> </w:t>
      </w:r>
      <w:r>
        <w:rPr>
          <w:rFonts w:ascii="Arial" w:cs="Arial" w:eastAsia="Arial" w:hAnsi="Arial"/>
          <w:sz w:val="18"/>
          <w:szCs w:val="18"/>
          <w:color w:val="auto"/>
        </w:rPr>
        <w:t>unless and until specified conditions are met, and which may be subject to a 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w:t>
      </w:r>
    </w:p>
    <w:p>
      <w:pPr>
        <w:spacing w:after="0" w:line="12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Stock Payments, Other Incentive Awards and Cash Awards</w:t>
      </w:r>
      <w:r>
        <w:rPr>
          <w:rFonts w:ascii="Arial" w:cs="Arial" w:eastAsia="Arial" w:hAnsi="Arial"/>
          <w:sz w:val="18"/>
          <w:szCs w:val="18"/>
          <w:color w:val="auto"/>
        </w:rPr>
        <w:t>. Stock payments are awards of fully vested shares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that may, but need not, be made in lieu of base salary, bonus, fees or other cash compensation otherwise payable to any individual who is eligible to receive awards. Other incentive awards are awards other than those enumerated in this summary that are denominated in, linked to or derived from shares of our common stock or value metrics related to our shares, and may remain forfeitable unless and until specified conditions are met. Cash awards are cash incentive bonuses subject to performance goals.</w:t>
      </w:r>
    </w:p>
    <w:p>
      <w:pPr>
        <w:spacing w:after="0" w:line="125"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Dividend Equivalents</w:t>
      </w:r>
      <w:r>
        <w:rPr>
          <w:rFonts w:ascii="Arial" w:cs="Arial" w:eastAsia="Arial" w:hAnsi="Arial"/>
          <w:sz w:val="18"/>
          <w:szCs w:val="18"/>
          <w:color w:val="auto"/>
        </w:rPr>
        <w:t>. Dividend equivalents represent the right to receive the equivalent value of dividends paid on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and may be granted alone or in tandem with awards other than stock options or SARs. Dividend equivalents are credited as of dividend record dates during the period between the date an award is granted and the date such award vests, is exercised, is distributed or expires, as determined by the plan administrator.</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Vesting</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Vesting conditions determined by the plan administrator may apply to each award and may include continued service, performance and/or other conditions.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Transactions</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plan administrator has broad discretion to take action under the 2025 Plan, as well as make adjustments to the terms and conditions of existing and future awards, to prevent the dilution or enlargement of intended benefits, facilitate the transaction, or give effect to changes in applicable law or accounting principles, in connection with certain transactions and events affecting our common stock, such as a change in control, stock dividends, stock splits, mergers, consolidations and other corporate transactions. This includes cancelling awards for cash or property, accelerating the vesting of awards, providing for the assumption or substitution of awards by a successor entity, adjusting the number and type of shares subject to outstanding awards and/or with respect to which awards may be granted under the 2025 Plan and replacing or terminating awards under the 2025 Plan. In addition, in the event of certain non-reciprocal transactions with our stockholders known as “equity restructurings,” the plan administrator will make equitable adjustments to the 2025 Plan and outstanding awards.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Non-U.S. Participants, Claw-Back Provisions, Transferability, and Participant Payments</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plan administrator may modify award terms, establish 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claw-back policy implemented by us to the extent set forth in such claw-back policy and/or in the applicable award agreement. With limited exceptions for estate planning,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40"/>
          </w:cols>
          <w:pgMar w:left="320" w:top="1440" w:right="339" w:bottom="1440" w:gutter="0" w:footer="0" w:header="0"/>
        </w:sectPr>
      </w:pPr>
    </w:p>
    <w:bookmarkStart w:id="221" w:name="page222"/>
    <w:bookmarkEnd w:id="221"/>
    <w:p>
      <w:pPr>
        <w:jc w:val="both"/>
        <w:spacing w:after="0" w:line="259" w:lineRule="auto"/>
        <w:rPr>
          <w:sz w:val="20"/>
          <w:szCs w:val="20"/>
          <w:color w:val="auto"/>
        </w:rPr>
      </w:pPr>
      <w:r>
        <w:rPr>
          <w:rFonts w:ascii="Arial" w:cs="Arial" w:eastAsia="Arial" w:hAnsi="Arial"/>
          <w:sz w:val="18"/>
          <w:szCs w:val="18"/>
          <w:color w:val="auto"/>
        </w:rPr>
        <w:t>domestic relations orders, certain beneficiary designations and the laws of descent and distribution, awards under the 2025 Plan are generally non-transferable, and are exercisable only by the participant. With regard to tax withholding, exercise price and purchase price obligations arising in connection with awards under the 2025 Plan, the plan administrator may, in its discretion, accept cash or check, provide for net withholding of shares, allow shares of our common stock that meet specified conditions to be repurchased, allow a “market sell order” or such other consideration as it deems suitable.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 Amendment and Termination</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board of directors may amend or terminate the 2025 Plan at any time; however, except in connection with certain changes in our capital structure, stockholder approval will be required for any amendment that increases the number of shares available under the 2025 Plan. No award may be granted pursuant to the 2025 Plan after the tenth anniversary of the earlier of (i) the date on which our board of directors adopts the 2025 Plan and (ii) the date on which our stockholders approve the 2025 Plan.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2025 Employee Stock Purchase Plan</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this offering, we intend to adopt the ESPP, subject to the approval of our stockholders. The ESPP is designed to allow our eligible employees to purchase shares of our Class A common stock, at periodic intervals, with their accumulated payroll deductions. The ESPP consists of two components: a Section 423 component, which is intended to qualify under Section 423 of the Code and a non-Section 423 component, which need not qualify under Section 423 of the Code. The material terms of the ESPP as currently contemplated are summarized below. This summary is not a complete description of all provisions of the ESPP and is qualified in its entirety by reference to the ESPP, which will be filed as an exhibit to the registration statement of which this prospectus is a part.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Shares Available; Administration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aggregate number of shares of our Class A common stock that will initially be reserved for issuance under the ESPP will be equal to a number of shares equal to percent ( %) of the shares of common stock outstanding immediately prior to this offering; provided that in no event will more than shares of our Class A common stock be available for issuance under the Section 423 component of the ESPP.</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board of directors or the compensation committee will have authority to interpret the terms of the ESPP and determine eligibility of participants. We expect that the compensation committee will be the initial administrator of the ESPP.</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Eligibility</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plan administrator may designate certain of our subsidiaries as participating “designated subsidiaries” in the ESPP and may change these designations from time to time. We expect that our employees, other than employees who, immediately after the grant of a right to purchase common stock under the ESPP, would own (directly or through attribution) stock possessing 5% or more of the total combined voting power or value of all classes of our common or other class of stock, will be eligible to participate in the ESPP.</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Grant of Rights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Section 423 component of the ESPP will be intended to qualify under Section 423 of the Code and shares of our Class A common stock will be offered under the ESPP during offering periods. The length of the offering periods under the ESPP will be determined by the plan administrator and may be up to 27 months long. Employee payroll deductions will be used to purchase shares on each purchase date during an offering period. The purchase dates for each offering period will be the final trading day in each purchase period. Offering periods under the ESPP will commence when determined by the plan administrator. The plan administrator may, in its discretion, modify the terms of future offering periods. We do not expect that any offering periods will commence under the ESPP at the time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240"/>
          </w:cols>
          <w:pgMar w:left="320" w:top="1417" w:right="339" w:bottom="1440" w:gutter="0" w:footer="0" w:header="0"/>
        </w:sectPr>
      </w:pPr>
    </w:p>
    <w:bookmarkStart w:id="222" w:name="page223"/>
    <w:bookmarkEnd w:id="222"/>
    <w:p>
      <w:pPr>
        <w:jc w:val="both"/>
        <w:ind w:firstLine="324"/>
        <w:spacing w:after="0" w:line="257" w:lineRule="auto"/>
        <w:rPr>
          <w:sz w:val="20"/>
          <w:szCs w:val="20"/>
          <w:color w:val="auto"/>
        </w:rPr>
      </w:pPr>
      <w:r>
        <w:rPr>
          <w:rFonts w:ascii="Arial" w:cs="Arial" w:eastAsia="Arial" w:hAnsi="Arial"/>
          <w:sz w:val="18"/>
          <w:szCs w:val="18"/>
          <w:color w:val="auto"/>
        </w:rPr>
        <w:t>The ESPP will permit participants to purchase Class A common stock through payroll deductions of up to a percentage of their eligible compensation, which includes a participant’s gross base compensation for services to us. The plan administrator will establish a maximum number of shares that may be purchased by a participant during any offering period, which, in the absence of a contrary designation, will be</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equal to shares. In addition, under the Section 423 component, no employee will be permitted to accrue the right to purchase stock under the ESPP at a rate in excess of $25,000 worth of shares during any calendar year during which such a purchase right is outstanding (based on the fair market value per share of our common stock as of the first trading day of the offering period).</w:t>
      </w:r>
    </w:p>
    <w:p>
      <w:pPr>
        <w:spacing w:after="0" w:line="12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the first trading day of each offering period, each participant will automatically be granted an option to purchase shares of our Class A common stock. The option will expire at the end of the applicable offering period and will be exercised on each purchase date during such offering period to the extent of the payroll deductions accumulated during the offering period. The purchase price will be the lower of 85% of the fair market value of a share on the first day of an offering period in which a participant is enrolled or 85% of the fair market value of a share on the purchase date, which will occur on the last day of each purchase period. Participants may voluntarily end their participation in the ESPP prior to the end of the applicable offering period and will be paid their accrued payroll deductions that have not yet been used to purchase shares of common stock.</w:t>
      </w:r>
    </w:p>
    <w:p>
      <w:pPr>
        <w:spacing w:after="0" w:line="12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Unless a participant has previously canceled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 Participation will end automatically upon a participant’s termination of employment.</w:t>
      </w:r>
    </w:p>
    <w:p>
      <w:pPr>
        <w:spacing w:after="0" w:line="12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A participant will not be permitted to transfer rights granted under the ESPP other than by will, the laws of descent and distribution or as otherwise provided under the ESPP.</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Certain Transactions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event of certain transactions or events affecting our Class A common stock, such as any stock dividend or other distribution, reorganization, merger, consolidation, or other corporate transaction, the plan administrator will make equitable adjustments to the ESPP and outstanding rights if the plan administrator determines it is appropriate to prevent dilution or enlargement of rights. In addition, in the event of the foregoing transactions or events or certain significant transactions, the plan administrator may provide for (i) either the replacement of outstanding rights with other rights or property or termination of outstanding rights in exchange for cash, (ii) the assumption or substitution of outstanding rights by the successor or survivor corporation or parent or subsidiary thereof, if any, (iii) the 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Plan Amendment and Termination</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plan administrator may amend, suspend or terminate the ESPP at any time. However, stockholder approval will be obtained for any amendment to the ESPP that increases the aggregate number or changes the type of shares that may be sold pursuant to rights under the ESPP or as may otherwise be required under Section 423(b) of the Code or other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40"/>
          </w:cols>
          <w:pgMar w:left="320" w:top="1417" w:right="339" w:bottom="1440" w:gutter="0" w:footer="0" w:header="0"/>
        </w:sectPr>
      </w:pPr>
    </w:p>
    <w:bookmarkStart w:id="223" w:name="page224"/>
    <w:bookmarkEnd w:id="223"/>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1"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In addition to the compensation arrangements, including employment and termination of employment arrangements, discussed in the sections titled “Management” and “Executive Compensation,” the following is a description of each transaction since January 1, 2022, and each currently proposed transaction, in which:</w:t>
      </w:r>
    </w:p>
    <w:p>
      <w:pPr>
        <w:spacing w:after="0" w:line="117"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or FTI have been or will be a participant;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amount involved exceeded or exceeds $120,000; or</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or any immediate family member of, or person sharing the household with, any of these individuals or entities, had or will have a direct or indirect material interest.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Technologies, LLC (f/k/a, Figure Technologies, Inc.) and Figure Markets Holdings, Inc.</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After the completion of the Recombination, FTI became a holding company whose principal assets consist of shares in FLC and FMH. In March 2024, in connection with the Separation, we separated our business through a series of transactions in which FLC and FMH were separated and began operating as separate businesses.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and to effectuate the Separation, FT created each of FMH and FTI as direct wholly-owned subsidiaries of FT. Following the formation of these entities, we completed the Separation through a series of steps, which resulted in, (i) FLC being the sole owner of certain lending-related intellectual property and commercial contracts that were previously owned by FT, (ii) FTI becoming a holding company whose principal assets were the shares it held in FLC, (iii) FMH becoming a separate company, and (iv) FT being a wholly-owned subsidiary of FMH. On March 19, 2024, Figure Technologies, Inc. converted into Figure Technologies, LLC.</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of each of FLC and FMH made a determination that it is in the best interests of both entities to recombine the</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businesses. On , 2025, we recombined the businesses through a series of transactions and FMH became a wholly-owned subsidiary of FTI. For additional information, see the section titled “Prospectus Summary—Organizational History.”</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a result of the Recombination, (i) FTI is a holding company with its principal assets consisting of shares in FLC and FMH, (ii) FTI is the sole shareholder of FLC and FMH, (iii) FMH is a wholly-owned subsidiary of FTI, and (iv) FTI operates and controls all of the business and affairs of FLC, FMH, and their respective direct and indirect subsidiaries.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Prior to the consummation of the Recombination and this offering, our executive officers and members of the board of directors also served as directors and/or officers of FT and its subsidiaries and FMH. Mr. Cagney, Chairman of our board of directors, served as (i) the Chief Executive Officer and Chairman of the board of directors of FT, (ii) director, President, Chief Executive Officer, and Treasurer of FLC,</w:t>
      </w:r>
    </w:p>
    <w:p>
      <w:pPr>
        <w:spacing w:after="0" w:line="1" w:lineRule="exact"/>
        <w:rPr>
          <w:sz w:val="20"/>
          <w:szCs w:val="20"/>
          <w:color w:val="auto"/>
        </w:rPr>
      </w:pPr>
    </w:p>
    <w:p>
      <w:pPr>
        <w:jc w:val="both"/>
        <w:ind w:firstLine="8"/>
        <w:spacing w:after="0" w:line="255" w:lineRule="auto"/>
        <w:tabs>
          <w:tab w:leader="none" w:pos="298"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director and President of Figure REIT, (iv) director and officer of certain of FT’s other subsidiaries and (v) director of FMH and certain of its subsidiaries. Mr. Cagney currently also serves as the Chief Executive Officer of FMH. Ms. Ou, member of our board of directors, served as an officer of FMH. Mr. Chao, member of our board of directors, served as a member of the board of directors of FMH and FT. Mr. Boyden and Dr. Jaitly, members of our board of directors, served as members of the board of directors of FT.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Arrangements with FT and its Affiliates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Services Provided by FT</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Prior to the Separation, FLC had an arrangement with FT to receive certain services from FT and its affiliates. These services primarily included technology services (e.g., infrastructure, platform interface,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240"/>
          </w:cols>
          <w:pgMar w:left="320" w:top="1440" w:right="339" w:bottom="1440" w:gutter="0" w:footer="0" w:header="0"/>
        </w:sectPr>
      </w:pPr>
    </w:p>
    <w:bookmarkStart w:id="224" w:name="page225"/>
    <w:bookmarkEnd w:id="224"/>
    <w:p>
      <w:pPr>
        <w:jc w:val="both"/>
        <w:spacing w:after="0" w:line="255" w:lineRule="auto"/>
        <w:rPr>
          <w:sz w:val="20"/>
          <w:szCs w:val="20"/>
          <w:color w:val="auto"/>
        </w:rPr>
      </w:pPr>
      <w:r>
        <w:rPr>
          <w:rFonts w:ascii="Arial" w:cs="Arial" w:eastAsia="Arial" w:hAnsi="Arial"/>
          <w:sz w:val="18"/>
          <w:szCs w:val="18"/>
          <w:color w:val="auto"/>
        </w:rPr>
        <w:t>data and server support), information security services and support, human resources services (e.g., providing skilled recruiters and recruiting support, payroll and benefits administration and support), legal services (e.g., support and advice on transactional matters, employment law, and litigation), data governance and analytics, advisory services (e.g., strategic consulting, tax services and advice, and security services), the procurement of goods, services and materials, including vendor engagement and risk management (e.g., technology development and data acquisition services), accounting and finance services (e.g., providing accounting and financial reporting services), marketing services, and telemarketing services (collectively, the “Received Services”). In connection with the Received Services, FLC paid fees and out-of-pocket costs and expenses incurred by FT for such services in an amount of $18 million, $69 million, and $70 million in the years ended December 31, 2024, 2023, and 2022, respectively. FLC did not pay any fees or out-of-pocket costs and expenses after the Separation.</w:t>
      </w:r>
    </w:p>
    <w:p>
      <w:pPr>
        <w:spacing w:after="0" w:line="12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Prior to the Separation, FT also paid for FLC’s property, casualty, product liability matters, directors and officers, auto liability, and workers’ compensation insurance coverage, and maintains excess policies to provide additional limits. FLC incurred insurance-related expenses paid by FT in an amount of $0.7 million, $ 0.2 million, and $0.2 million in the years ended December 31, 2024, 2023, and 2022, respectively. Following the Separation, FT did not pay for insurance-related expenses incurred by FLC.</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Services Provided by FLC to FT</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Prior to the Separation, FLC had an arrangement with FT to provide certain support services to FT and its affiliates. These services primarily included customer support and notary services (collectively, the “Provided Services”). In connection with the Provided Services, FT paid fees and out-of-pocket costs and expenses incurred by FLC for such services in an amount of $3 million in the year ended December 31, 2022. Following the Separation, such Provided Services ceased.</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Contributions by and Dividends to FT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the Separation, FT made certain direct and indirect contributions to FLC and FLC made certain distributions of cash to FT. FLC’s capital contributions consisted of direct contributions (in the form of cash) in an amount of $ 6 million, $114 million, and $1 million in the years ended December 31, 2024, 2023, and 2022 respectively, as well as indirect contributions in the form of the Received Services described above. FLC made distributions to FT in an amount equal to $39 million, $301 million, and $142 million, in the years ended December 31, 2024, 2023, and 2022, respectively. No contributions or distributions were made after the Separation.</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Loan Sales by FLC to Figure REIT Inc.</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Figure REIT, began purchasing loans from FLC in 2021. In the three months ended March 31, 2025 and in the years ended December 31, 2024, 2023, and 2022, FLC sold $56 million, $99 million, $22 million, and $ 100 million, net of repurchases of HELOCs of $9 million in year ended December 31, 2022, with servicing rights retained, and recorded a net gain on sales of $3 million in the three months ended March 31, 2025 and $3 million, $0.2 million, and $3 million in the years ended December 31, 2024, 2023, and 2022, respectively. As of March 31, 2025 and as of December 31, 2024, 2023, and 2022, FLC carried the servicing assets for these loans at $0.6 million, $2 million, $0.5 million, and $ 0.7 million, respectively. During the three months ended March 31, 2025 and the years ended December 31, 2024 and 2023, Figure REIT contributed $96 million, $43 million, and $57 million, respectively, of loans to an FLC securitization.</w:t>
      </w:r>
    </w:p>
    <w:p>
      <w:pPr>
        <w:spacing w:after="0" w:line="1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Figure REIT purchases loans from FL LLC through Figure Connect. Additionally, Figure REIT and FL LLC entered into a Right of First Refusal to Purchase Loans Originated or Acquired by FL LLC dated September 13, 2024, granting Figure REIT a right of first refusal (“ROFR”) with respect to the lesser of $50 million or 10% of eligible HELOCs originated or acquired by FL LLC in any month that the aggregate HELOCs originated or acquired by FL LLC exceeds $150 million, which expired once the aggregate amount of loans purchased was equal to or exceeded $100 million in the aggregate. Figure REIT and FL LLC entered into a Second Right of First Refusal to Purchase Loans Originated or Acquired by FL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40"/>
          </w:cols>
          <w:pgMar w:left="320" w:top="1417" w:right="339" w:bottom="1440" w:gutter="0" w:footer="0" w:header="0"/>
        </w:sectPr>
      </w:pPr>
    </w:p>
    <w:bookmarkStart w:id="225" w:name="page226"/>
    <w:bookmarkEnd w:id="225"/>
    <w:p>
      <w:pPr>
        <w:jc w:val="both"/>
        <w:spacing w:after="0" w:line="268" w:lineRule="auto"/>
        <w:rPr>
          <w:sz w:val="20"/>
          <w:szCs w:val="20"/>
          <w:color w:val="auto"/>
        </w:rPr>
      </w:pPr>
      <w:r>
        <w:rPr>
          <w:rFonts w:ascii="Arial" w:cs="Arial" w:eastAsia="Arial" w:hAnsi="Arial"/>
          <w:sz w:val="18"/>
          <w:szCs w:val="18"/>
          <w:color w:val="auto"/>
        </w:rPr>
        <w:t>dated December 20, 2024, granting Figure REIT a ROFR with respect to the lesser of $ 35 million or 10% of eligible HELOCs originated or acquired by FL LLC in any month that the aggregate HELOCs originated or acquired by FL LLC exceeds $140 million, not to exceed $100 million in the aggregate during the ROFR period (from the closing date until March 31, 2025).</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Loan Sales and Servicing Agreements and Technology Services Agreement between FL LLC and Figure Markets Credit LLC</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1, 2024, FL LLC entered into a (i) Purchase Agreement and (ii) Servicing Agreement (collectively, the “FMC LLC Purchase and Servicing Agreements”) with Figure Markets Credit LLC (“FMC LLC”), pursuant to which FL LLC, on behalf of FMC LLC sells and services the loans originated by FL LLC secured by Bitcoin or Ether (“Crypto-Backed Loans”). As of March 31, 2025 and as of December 31, 2024, FL LLC has originated, sold, and serviced $11 million and $14 million, respectively, of such loans pursuant to the FMC LLC Purchase and Servicing Agreement.</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2, 2025, FL LLC entered into a Loan and Security Agreement with FMC LFV LLC (“FMC LFV”), a direct subsidiary of FMC LLC, to warehouse the Crypto-Backed Loans purchased by FMC LLC and subsequently sold to FMC LFV. The facility was guaranteed by FMH and further secured by a pledge of all interests that FMC LLC holds in FMC LFV. The facility was intended to be a short-term financing until FMC LLC was able to obtain longer term financing arrangements. The facility had a March 28, 2025, maturity date and a facility limit of $25 million.</w:t>
      </w:r>
    </w:p>
    <w:p>
      <w:pPr>
        <w:spacing w:after="0" w:line="1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addition, FLC entered into a Figure Connect Exclusivity and Fee Letter Agreement with FMC LLC dated as of January 2, 2025, pursuant to which FMC LLC agrees to use best efforts to transact crypto-backed loans through Figure Connect. Additionally, the fee letter agreement included certain fees payable to FLC for efforts made by FLC to introduce FMC LLC to third-party crypto-backed loan purchasers or other financers payable only upon the closing of such purchase or financing facilities.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Provenance Foundation</w:t>
      </w:r>
    </w:p>
    <w:p>
      <w:pPr>
        <w:spacing w:after="0" w:line="171"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Ms. Ou, one of our co-founders and a member of our board of directors, serves as the interim chief executive officer of the Provenance Foundation. Mr. Cagney and Ms. Ou, our co-founders, created the Provenance Blockchain, and the Provenance Foundation was later established to support the adoption and development of the Provenance Blockchain.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 Note</w:t>
      </w:r>
    </w:p>
    <w:p>
      <w:pPr>
        <w:spacing w:after="0" w:line="1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July 25, 2022, FT entered into an interest bearing term note with the Provenance Foundation (the “Provenance Foundation Term Note”), pursuant to which the Provenance Foundation borrowed the principal amount of $ 5 million to assist with its initial setup of operations. On July 12, 2023, the Provenance Foundation Term Note was amended and restated, pursuant to which the total principal amount was increased to $9 million. The Provenance Foundation Term Note is eligible to be settled in full payment or contribution of equivalent value of HASH, such value to be determined using the approximate current fair value of the HASH token to be determined or agreed upon at such time of payment. The average gas fee for YLDS transactions is 0.20 HASH. The Provenance Foundation Term Note matures on July 28, 2028. During the term of the Provenance Foundation Term Note, interest accrues at a rate of 8.5%. Prepayments can be made by the borrower during the term of the Provenance Foundation Term Note without penalty, and at the option of the lender, payments can be made using HASH. All principal and accrued interest are due upon maturity of the Provenance Foundation Term Note. In the event the Provenance Foundation Term Note is not paid in full upon maturity, interest will continue to accrue on any outstanding balance at a rate of 10.5% (the original interest rate plus 2.0%). As of March 31, 2025 and December 31, 2024, 2023, and 2022 the outstanding balance of the Provenance Foundation Term Note was $9 million, $9 million, $7 million, and $4 million, respectively. Interest accrued on the Provenance Foundation Term Note for the three months ended March 31, 2025 and the years ended December 31, 2024, 2023, and 2022 is $0.2 million, $0.8 million, $0.5 million, and $0.2 million respectively. One repayment of $0.8 million was made in August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240"/>
          </w:cols>
          <w:pgMar w:left="320" w:top="1417" w:right="339" w:bottom="1440" w:gutter="0" w:footer="0" w:header="0"/>
        </w:sectPr>
      </w:pPr>
    </w:p>
    <w:bookmarkStart w:id="226" w:name="page227"/>
    <w:bookmarkEnd w:id="226"/>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Services Agreement</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20, 2025, FCC entered into a services agreement (the “Provenance Services Agreement”) with Provenance Foundation, pursuant to which Provenance Foundation pays, on behalf of FCC, HASH to cover fees to network validators for processing and validating operations on the blockchain incurred in connection with the purchase or sale of the face-amount certificates issued by FCC and transacted on the Provenance Blockchain. FCC reimburses Provenance Foundation in cash in an amount equal to the then-current market value of HASH paid by Provenance Foundation. During the three months ended March 31, 2025, we did not reimburse the Provenance Foundation for any amount pursuant to the Provenance Services Agreement.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Expense Reimbursement Agreement</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12, 2022, we entered into a master services agreement (the “Expense Reimbursement Agreement”) with Provenance Foundation, pursuant to which we provide services to Provenance Foundation, including technology, legal and compliance, human resources, and accounting services, in exchange for a fee equal to the cost incurred by us in connection with such services plus 5%. In connection with the services provided pursuant to the Expense Reimbursement Agreement, Provenance Foundation paid us fees in an amount of $0.1 million during the three months ended March 31, 2025, and $18.0 thousand, $72.0 thousand, and $118.0 thousand during the years ended December 31, 2024, 2023, and 2022,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 Agreements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December 31, 2023, FLC and FT entered into a contribution agreement (the “Initial Contribution Agreement”) to effect certain transactions prior to the Separation, including the transfer (the “2023 Contribution”) of certain contracts, technology assets, intellectual property rights, documents, equity, and tangible assets (the “2023 Contributed Assets”) by FT and certain of its subsidiaries to FLC. On April 9, 2024, FLC and FT entered into an amendment to the Initial Contribution Agreement to correct certain trademark information provided in the list of 2023 Contributed Assets. On March 18, 2024, FLC and FT entered into a second contribution agreement (together with the Initial Contribution Agreement, the “Contribution Agreements”) that effected certain additional transactions in connection with the Separation, including the transfer (together with the 2023 Contribution, the “Contribution”) of certain contracts, intellectual property, data and tangible assets held, and certain employees employed, by FT and certain of its subsidiaries to FLC (together with the 2023 Contributed Assets, the “Contributed Assets and Transferring Employees”). FLC assumed all liabilities and agreed to perform all obligations which accrue or are required to be performed in connection with the Contribution or otherwise associated with the Contributed Assets and Transferring Employees from and after the respective effective dates of the Contribution Agreements. The Contribution Agreements contain limited authority, authorization and no-conflict representations and warranty provisions with respect to FLC and FT.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Reflow Services LLC (“Reflow”)</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hold a 17% interest in Reflow, an SEC-registered investment adviser. Such interest was contributed to us by Mr. Cagney on February 15, 2018 in exchange for $ 0.2 million. We received profit distributions from Reflow of $0.9 million, $0.5 million, and $0.2 million during the years ended December 31, 2024, 2023, and 2022, respectively. We did not receive any profit distributions from Reflow in the three months ended March 31, 2025.</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Reflow Management Agreement</w:t>
      </w:r>
    </w:p>
    <w:p>
      <w:pPr>
        <w:spacing w:after="0" w:line="169"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On August 22, 2018, we entered into a shared services agreement with Reflow (the “Reflow Management Agreement”). Pursuant to the Reflow Management Agreement, we perform certain support services, including accounts payable and payroll administration services, for Reflow, in exchange for a management fee. During the years ended December 31, 2024, 2023 and 2022, Reflow paid us $0.6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240"/>
          </w:cols>
          <w:pgMar w:left="320" w:top="1440" w:right="339" w:bottom="1440" w:gutter="0" w:footer="0" w:header="0"/>
        </w:sectPr>
      </w:pPr>
    </w:p>
    <w:bookmarkStart w:id="227" w:name="page228"/>
    <w:bookmarkEnd w:id="227"/>
    <w:p>
      <w:pPr>
        <w:jc w:val="both"/>
        <w:spacing w:after="0" w:line="287" w:lineRule="auto"/>
        <w:rPr>
          <w:sz w:val="20"/>
          <w:szCs w:val="20"/>
          <w:color w:val="auto"/>
        </w:rPr>
      </w:pPr>
      <w:r>
        <w:rPr>
          <w:rFonts w:ascii="Arial" w:cs="Arial" w:eastAsia="Arial" w:hAnsi="Arial"/>
          <w:sz w:val="18"/>
          <w:szCs w:val="18"/>
          <w:color w:val="auto"/>
        </w:rPr>
        <w:t>million, $ 0.3 million, and $1 million, respectively, under the Reflow Management Agreement. We did not receive any payments from Reflow in the three months ended March 31, 2025.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 Opportunity Fund L.P. (“Domestic Solana Fund”)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Domestic Solana Fund, a fund managed by the FIA and of which we hold a 4.8% interest, was formed on April 23, 2024. As of March 31, 2025 and December 31, 2024, the primary purpose of the Domestic Solana Fund is to make investments in Solana tokens through auctions held through the FTX Trading Ltd. bankruptcy proceedings. The Domestic Solana Fund was selected as a buyer through a bidding process at the auction. The Domestic Solana Fund submitted a winning bid and entered into a purchase and sale agreement with Alameda Research and Maclaurin Investments to purchase the investment.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connection with the Separation, we engaged in certain transactions with certain of our directors, executive officers and other persons and entities which previously were or which became holders of 5% or more of our voting securities upon the consummation of the Separation.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Matters Agreement</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19, 2024, in connection with the Separation, we entered into a tax matters agreement with FMH (the “Tax Matters Agreement”) that governs the respective rights, responsibilities and obligations of us and FMH following the distribution of certain shares of FMH with respect to taxes, including our and FMH’s obligations to file tax returns and remit taxes, control over tax contests and our and FMH’s obligations to cooperate after the distribution in tax return preparation and record-keeping matters. As a result of the Recombination, the Tax Matters Agreement was terminated.</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Transition Services Agreement</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March 18, 2024, in connection with the Separation, FLC entered into a transition services agreement (the “Transition Services Agreement”), to provide a framework for its relationship with FMH and its subsidiaries for the period following the Separation. Pursuant to the Transition Services Agreement, (i) FLC provided certain transition services, including administrative, human resources, operations, and legal functions, to FMH and (ii) FMH provided certain transition services, including finance and accounting, information technology and information security functions, to FLC. The Transition Services Agreement terminated as of December 31, 2024, as such agreement was no longer necessary in light of the Recombination.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April 28, 2025, in connection with our conversion from a Delaware corporation to a Nevada corporation, we entered into the sixth amended and restated investors’ rights agreement (the “Investors’ Rights Agreement”), pursuant to which certain holders of our redeemable convertible preferred stock and common stock are entitled to demand the registration of certain or all of our Class A common stock that such persons beneficially own or their convertible preferred stock is convertible into.</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Recombination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“About this Prospectus” and “Prospectus Summary—Organizational History.”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Executive Officers and Directors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 Notes Issued By Mr. Cagney</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On December 22, 2022, FL LLC entered into a non-interest bearing term note with Mr. Cagney (the “2022 Term Note”), pursuant to which FL LLC borrowed the principal amount of $10.0 million from Mr.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240"/>
          </w:cols>
          <w:pgMar w:left="320" w:top="1417" w:right="339" w:bottom="1440" w:gutter="0" w:footer="0" w:header="0"/>
        </w:sectPr>
      </w:pPr>
    </w:p>
    <w:bookmarkStart w:id="228" w:name="page229"/>
    <w:bookmarkEnd w:id="228"/>
    <w:p>
      <w:pPr>
        <w:jc w:val="both"/>
        <w:spacing w:after="0" w:line="256" w:lineRule="auto"/>
        <w:rPr>
          <w:sz w:val="20"/>
          <w:szCs w:val="20"/>
          <w:color w:val="auto"/>
        </w:rPr>
      </w:pPr>
      <w:r>
        <w:rPr>
          <w:rFonts w:ascii="Arial" w:cs="Arial" w:eastAsia="Arial" w:hAnsi="Arial"/>
          <w:sz w:val="18"/>
          <w:szCs w:val="18"/>
          <w:color w:val="auto"/>
        </w:rPr>
        <w:t>Cagney. The 2022 Term Note matured on December 23, 2022, and bore a non-refundable loan fee of $25,000 payable to Mr. Cagney by FL LLC. The principal amount and loan fee were paid in full on the maturity date. Similarly, on June 7, 2023, FL LLC entered into a non-interest bearing term note with Mr. Cagney (the “2023 Term Note”), pursuant to which FL LLC borrowed the principal amount of $ 10.0 million from Mr. Cagney. The 2023 Term Note matured on June 8, 2023, and bore a non-refundable loan fee of $25,000 payable to Mr. Cagney by FL LLC. The principal amount and loan fee were repaid in full on the maturity date. Prior to the Separation and at the time such notes were issued, FL LLC was a wholly-owned subsidiary of FLC, a wholly-owned subsidiary of FT, of which Mr. Cagney served as Chief Executive Officer and Chairman of the Board.</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 Awards Granted to Mr. Cagney under the 2018 Plan</w:t>
      </w:r>
    </w:p>
    <w:p>
      <w:pPr>
        <w:spacing w:after="0" w:line="169"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On March 20, 2024, we granted option awards to Mr. Cagney covering 4,559,904 shares of our Class B common stock under the 2018 Plan in connection with ongoing transition services Mr. Cagney agreed to provide us following the Separation. The options granted to Mr. Cagney in 2024 have an exercise price of $4.82 per share. 1/4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shares subject to the options vest on the first anniversary of the vesting commencement date, and 1/48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shares subject to the options vest monthly thereafter. The options expire on March 19, 2034.</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Travel Arrangements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During the three months ended March 31, 2025 and the years ended December 31, 2024, 2023, and 2022, we incurred $0.2 million, $2 million, $1 million, and $2 million respectively, in costs to arrange travel for certain of our executive officers and directors, including Mr. Cagney, for business purposes.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expect to enter into an indemnification agreement with each of our executive officers and directors that provides, in general, that we will indemnify them to the fullest extent permitted by law in connection with their service to us or on our behalf.</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intend to adopt a formal, written policy regarding related person transactions, which will become effective upon the effectiveness of the registration statement of which this prospectus forms a part. This written policy regarding related person transactions will provide that a related person transaction is a transaction, arrangement or relationship or any series of similar transactions, arrangements or relationships, in which we are a participant and in which a related person has, had or will have a direct or indirect material interest and in which the aggregate amount involved exceeds $120,000. Our policy will also provide that a related person means any of our executive officers and directors (including director nominees), in each case at any time since the beginning of our last fiscal year, or holders of more than 5% of any class of our voting securities and any member of the immediate family of, or person sharing the household with, any of the foregoing persons. Our audit committee will have the primary responsibility for reviewing and approving or disapproving related person transactions. In addition to our policy, our audit committee charter that will be in effect upon the effectiveness of the registration statement of which this prospectus forms a part will provide that our audit committee shall review and approve or disapprove any related person transactions.</w:t>
      </w:r>
    </w:p>
    <w:p>
      <w:pPr>
        <w:spacing w:after="0" w:line="131"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All related person transactions described in this section occurred prior to adoption of the formal, written policy described above, and therefore these transactions were not subject to the approval and review procedures set forth in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240"/>
          </w:cols>
          <w:pgMar w:left="320" w:top="1417" w:right="339" w:bottom="1440" w:gutter="0" w:footer="0" w:header="0"/>
        </w:sectPr>
      </w:pPr>
    </w:p>
    <w:bookmarkStart w:id="229" w:name="page230"/>
    <w:bookmarkEnd w:id="229"/>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6800" w:type="dxa"/>
            <w:vAlign w:val="bottom"/>
          </w:tcPr>
          <w:p>
            <w:pPr>
              <w:spacing w:after="0"/>
              <w:rPr>
                <w:sz w:val="20"/>
                <w:szCs w:val="20"/>
                <w:color w:val="auto"/>
              </w:rPr>
            </w:pPr>
            <w:r>
              <w:rPr>
                <w:rFonts w:ascii="Arial" w:cs="Arial" w:eastAsia="Arial" w:hAnsi="Arial"/>
                <w:sz w:val="18"/>
                <w:szCs w:val="18"/>
                <w:color w:val="auto"/>
              </w:rPr>
              <w:t>The following table sets forth the beneficial ownership of our capital stock as of</w:t>
            </w:r>
          </w:p>
        </w:tc>
        <w:tc>
          <w:tcPr>
            <w:tcW w:w="1340" w:type="dxa"/>
            <w:vAlign w:val="bottom"/>
          </w:tcPr>
          <w:p>
            <w:pPr>
              <w:ind w:left="560"/>
              <w:spacing w:after="0"/>
              <w:rPr>
                <w:sz w:val="20"/>
                <w:szCs w:val="20"/>
                <w:color w:val="auto"/>
              </w:rPr>
            </w:pPr>
            <w:r>
              <w:rPr>
                <w:rFonts w:ascii="Arial" w:cs="Arial" w:eastAsia="Arial" w:hAnsi="Arial"/>
                <w:sz w:val="18"/>
                <w:szCs w:val="18"/>
                <w:color w:val="auto"/>
                <w:w w:val="96"/>
              </w:rPr>
              <w:t>, 2025 by:</w:t>
            </w:r>
          </w:p>
        </w:tc>
      </w:tr>
    </w:tbl>
    <w:p>
      <w:pPr>
        <w:spacing w:after="0" w:line="139"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any class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determined beneficial ownership in accordance with the rules and regulations of the SEC, and thus it represents sole or shared voting or investment power with respect to our securities. Unless otherwise indicated, the persons or entities identified in the table have sole voting power and sole investment power with respect to all shares shown as beneficially owned by them, subject to community property laws where applicable. The information does not necessarily indicate beneficial ownership for any other purpose, including for purposes of Section 13(d) and 13(g) of the Exchange Act.</w:t>
      </w:r>
    </w:p>
    <w:p>
      <w:pPr>
        <w:sectPr>
          <w:pgSz w:w="11900" w:h="16838" w:orient="portrait"/>
          <w:cols w:equalWidth="0" w:num="1">
            <w:col w:w="11240"/>
          </w:cols>
          <w:pgMar w:left="320" w:top="1440" w:right="339" w:bottom="1440" w:gutter="0" w:footer="0" w:header="0"/>
        </w:sectPr>
      </w:pPr>
    </w:p>
    <w:p>
      <w:pPr>
        <w:spacing w:after="0" w:line="125"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We have based our calculation of the percentage of beneficial ownership prior to this offering on common stock outstanding and shares of our Class B common stock outstanding as of Capital Stock Conversion, the Reclassification, and the Class B Stock Exchange.</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firstLine="692"/>
        <w:spacing w:after="0" w:line="318" w:lineRule="auto"/>
        <w:rPr>
          <w:sz w:val="20"/>
          <w:szCs w:val="20"/>
          <w:color w:val="auto"/>
        </w:rPr>
      </w:pPr>
      <w:r>
        <w:rPr>
          <w:rFonts w:ascii="Arial" w:cs="Arial" w:eastAsia="Arial" w:hAnsi="Arial"/>
          <w:sz w:val="17"/>
          <w:szCs w:val="17"/>
          <w:color w:val="auto"/>
        </w:rPr>
        <w:t>shares of our Class A , 2025, after giving effect to the</w:t>
      </w:r>
    </w:p>
    <w:p>
      <w:pPr>
        <w:spacing w:after="0" w:line="292" w:lineRule="exact"/>
        <w:rPr>
          <w:sz w:val="20"/>
          <w:szCs w:val="20"/>
          <w:color w:val="auto"/>
        </w:rPr>
      </w:pPr>
    </w:p>
    <w:p>
      <w:pPr>
        <w:sectPr>
          <w:pgSz w:w="11900" w:h="16838" w:orient="portrait"/>
          <w:cols w:equalWidth="0" w:num="2">
            <w:col w:w="8200" w:space="560"/>
            <w:col w:w="2480"/>
          </w:cols>
          <w:pgMar w:left="320" w:top="1440" w:right="33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We have deemed shares of our Class A common stock subject to stock options that are currently exercisable or exercisable within 60</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days of , 2025,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22"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8"/>
          <w:szCs w:val="18"/>
          <w:color w:val="auto"/>
        </w:rPr>
        <w:t>Unless otherwise indicated, the address for each person or entity listed in the table is c/o FT Intermediate, Inc., 5 Bryant Park, 34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New York, NY 10018.</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1860" w:type="dxa"/>
            <w:vAlign w:val="bottom"/>
          </w:tcPr>
          <w:p>
            <w:pPr>
              <w:spacing w:after="0"/>
              <w:rPr>
                <w:sz w:val="13"/>
                <w:szCs w:val="13"/>
                <w:color w:val="auto"/>
              </w:rPr>
            </w:pPr>
          </w:p>
        </w:tc>
        <w:tc>
          <w:tcPr>
            <w:tcW w:w="3060" w:type="dxa"/>
            <w:vAlign w:val="bottom"/>
            <w:tcBorders>
              <w:bottom w:val="single" w:sz="8" w:color="auto"/>
            </w:tcBorders>
            <w:gridSpan w:val="4"/>
          </w:tcPr>
          <w:p>
            <w:pPr>
              <w:ind w:left="560"/>
              <w:spacing w:after="0"/>
              <w:rPr>
                <w:sz w:val="20"/>
                <w:szCs w:val="20"/>
                <w:color w:val="auto"/>
              </w:rPr>
            </w:pPr>
            <w:r>
              <w:rPr>
                <w:rFonts w:ascii="Arial" w:cs="Arial" w:eastAsia="Arial" w:hAnsi="Arial"/>
                <w:sz w:val="11"/>
                <w:szCs w:val="11"/>
                <w:b w:val="1"/>
                <w:bCs w:val="1"/>
                <w:color w:val="auto"/>
                <w:w w:val="99"/>
              </w:rPr>
              <w:t>Shares Beneficially Owned Prior to the Offering</w:t>
            </w:r>
          </w:p>
        </w:tc>
        <w:tc>
          <w:tcPr>
            <w:tcW w:w="500" w:type="dxa"/>
            <w:vAlign w:val="bottom"/>
            <w:tcBorders>
              <w:bottom w:val="single" w:sz="8" w:color="auto"/>
            </w:tcBorders>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Shares Beneficially Owned After the Offering</w:t>
            </w:r>
          </w:p>
        </w:tc>
        <w:tc>
          <w:tcPr>
            <w:tcW w:w="540" w:type="dxa"/>
            <w:vAlign w:val="bottom"/>
            <w:tcBorders>
              <w:bottom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1820" w:type="dxa"/>
            <w:vAlign w:val="bottom"/>
            <w:gridSpan w:val="3"/>
          </w:tcPr>
          <w:p>
            <w:pPr>
              <w:ind w:left="240"/>
              <w:spacing w:after="0"/>
              <w:rPr>
                <w:sz w:val="20"/>
                <w:szCs w:val="20"/>
                <w:color w:val="auto"/>
              </w:rPr>
            </w:pPr>
            <w:r>
              <w:rPr>
                <w:rFonts w:ascii="Arial" w:cs="Arial" w:eastAsia="Arial" w:hAnsi="Arial"/>
                <w:sz w:val="11"/>
                <w:szCs w:val="11"/>
                <w:b w:val="1"/>
                <w:bCs w:val="1"/>
                <w:color w:val="auto"/>
              </w:rPr>
              <w:t>Class A Common Stock</w:t>
            </w:r>
          </w:p>
        </w:tc>
        <w:tc>
          <w:tcPr>
            <w:tcW w:w="1740" w:type="dxa"/>
            <w:vAlign w:val="bottom"/>
            <w:gridSpan w:val="2"/>
          </w:tcPr>
          <w:p>
            <w:pPr>
              <w:jc w:val="right"/>
              <w:ind w:right="206"/>
              <w:spacing w:after="0"/>
              <w:rPr>
                <w:sz w:val="20"/>
                <w:szCs w:val="20"/>
                <w:color w:val="auto"/>
              </w:rPr>
            </w:pPr>
            <w:r>
              <w:rPr>
                <w:rFonts w:ascii="Arial" w:cs="Arial" w:eastAsia="Arial" w:hAnsi="Arial"/>
                <w:sz w:val="11"/>
                <w:szCs w:val="11"/>
                <w:b w:val="1"/>
                <w:bCs w:val="1"/>
                <w:color w:val="auto"/>
              </w:rPr>
              <w:t>Class B Common Stock</w:t>
            </w: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w w:val="98"/>
              </w:rPr>
              <w:t>Percentage of</w:t>
            </w:r>
          </w:p>
        </w:tc>
        <w:tc>
          <w:tcPr>
            <w:tcW w:w="1860" w:type="dxa"/>
            <w:vAlign w:val="bottom"/>
            <w:gridSpan w:val="3"/>
          </w:tcPr>
          <w:p>
            <w:pPr>
              <w:ind w:left="280"/>
              <w:spacing w:after="0"/>
              <w:rPr>
                <w:sz w:val="20"/>
                <w:szCs w:val="20"/>
                <w:color w:val="auto"/>
              </w:rPr>
            </w:pPr>
            <w:r>
              <w:rPr>
                <w:rFonts w:ascii="Arial" w:cs="Arial" w:eastAsia="Arial" w:hAnsi="Arial"/>
                <w:sz w:val="11"/>
                <w:szCs w:val="11"/>
                <w:b w:val="1"/>
                <w:bCs w:val="1"/>
                <w:color w:val="auto"/>
              </w:rPr>
              <w:t>Class A Common Stock</w:t>
            </w:r>
          </w:p>
        </w:tc>
        <w:tc>
          <w:tcPr>
            <w:tcW w:w="1740" w:type="dxa"/>
            <w:vAlign w:val="bottom"/>
            <w:gridSpan w:val="2"/>
          </w:tcPr>
          <w:p>
            <w:pPr>
              <w:jc w:val="right"/>
              <w:ind w:right="206"/>
              <w:spacing w:after="0"/>
              <w:rPr>
                <w:sz w:val="20"/>
                <w:szCs w:val="20"/>
                <w:color w:val="auto"/>
              </w:rPr>
            </w:pPr>
            <w:r>
              <w:rPr>
                <w:rFonts w:ascii="Arial" w:cs="Arial" w:eastAsia="Arial" w:hAnsi="Arial"/>
                <w:sz w:val="11"/>
                <w:szCs w:val="11"/>
                <w:b w:val="1"/>
                <w:bCs w:val="1"/>
                <w:color w:val="auto"/>
              </w:rPr>
              <w:t>Class B Common Stock</w:t>
            </w:r>
          </w:p>
        </w:tc>
        <w:tc>
          <w:tcPr>
            <w:tcW w:w="980" w:type="dxa"/>
            <w:vAlign w:val="bottom"/>
          </w:tcPr>
          <w:p>
            <w:pPr>
              <w:jc w:val="center"/>
              <w:ind w:left="127"/>
              <w:spacing w:after="0"/>
              <w:rPr>
                <w:sz w:val="20"/>
                <w:szCs w:val="20"/>
                <w:color w:val="auto"/>
              </w:rPr>
            </w:pPr>
            <w:r>
              <w:rPr>
                <w:rFonts w:ascii="Arial" w:cs="Arial" w:eastAsia="Arial" w:hAnsi="Arial"/>
                <w:sz w:val="11"/>
                <w:szCs w:val="11"/>
                <w:b w:val="1"/>
                <w:bCs w:val="1"/>
                <w:color w:val="auto"/>
                <w:w w:val="98"/>
              </w:rPr>
              <w:t>Percentage of</w:t>
            </w:r>
          </w:p>
        </w:tc>
        <w:tc>
          <w:tcPr>
            <w:tcW w:w="0" w:type="dxa"/>
            <w:vAlign w:val="bottom"/>
          </w:tcPr>
          <w:p>
            <w:pPr>
              <w:spacing w:after="0"/>
              <w:rPr>
                <w:sz w:val="1"/>
                <w:szCs w:val="1"/>
                <w:color w:val="auto"/>
              </w:rPr>
            </w:pPr>
          </w:p>
        </w:tc>
      </w:tr>
      <w:tr>
        <w:trPr>
          <w:trHeight w:val="54"/>
        </w:trPr>
        <w:tc>
          <w:tcPr>
            <w:tcW w:w="186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40" w:type="dxa"/>
            <w:vAlign w:val="bottom"/>
            <w:vMerge w:val="restart"/>
          </w:tcPr>
          <w:p>
            <w:pPr>
              <w:jc w:val="center"/>
              <w:spacing w:after="0" w:line="95" w:lineRule="exact"/>
              <w:rPr>
                <w:sz w:val="20"/>
                <w:szCs w:val="20"/>
                <w:color w:val="auto"/>
              </w:rPr>
            </w:pPr>
            <w:r>
              <w:rPr>
                <w:rFonts w:ascii="Arial" w:cs="Arial" w:eastAsia="Arial" w:hAnsi="Arial"/>
                <w:sz w:val="10"/>
                <w:szCs w:val="10"/>
                <w:b w:val="1"/>
                <w:bCs w:val="1"/>
                <w:color w:val="auto"/>
              </w:rPr>
              <w:t>Total Voting</w:t>
            </w:r>
          </w:p>
        </w:tc>
        <w:tc>
          <w:tcPr>
            <w:tcW w:w="6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80" w:type="dxa"/>
            <w:vAlign w:val="bottom"/>
            <w:vMerge w:val="restart"/>
          </w:tcPr>
          <w:p>
            <w:pPr>
              <w:jc w:val="center"/>
              <w:ind w:left="127"/>
              <w:spacing w:after="0" w:line="95" w:lineRule="exact"/>
              <w:rPr>
                <w:sz w:val="20"/>
                <w:szCs w:val="20"/>
                <w:color w:val="auto"/>
              </w:rPr>
            </w:pPr>
            <w:r>
              <w:rPr>
                <w:rFonts w:ascii="Arial" w:cs="Arial" w:eastAsia="Arial" w:hAnsi="Arial"/>
                <w:sz w:val="10"/>
                <w:szCs w:val="10"/>
                <w:b w:val="1"/>
                <w:bCs w:val="1"/>
                <w:color w:val="auto"/>
              </w:rPr>
              <w:t>Total Voting</w:t>
            </w: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96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auto"/>
                <w:w w:val="98"/>
              </w:rPr>
              <w:t>Number of</w:t>
            </w: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vMerge w:val="restart"/>
          </w:tcPr>
          <w:p>
            <w:pPr>
              <w:jc w:val="center"/>
              <w:ind w:right="366"/>
              <w:spacing w:after="0"/>
              <w:rPr>
                <w:sz w:val="20"/>
                <w:szCs w:val="20"/>
                <w:color w:val="auto"/>
              </w:rPr>
            </w:pPr>
            <w:r>
              <w:rPr>
                <w:rFonts w:ascii="Arial" w:cs="Arial" w:eastAsia="Arial" w:hAnsi="Arial"/>
                <w:sz w:val="11"/>
                <w:szCs w:val="11"/>
                <w:b w:val="1"/>
                <w:bCs w:val="1"/>
                <w:color w:val="auto"/>
                <w:w w:val="98"/>
              </w:rPr>
              <w:t>Number of</w:t>
            </w:r>
          </w:p>
        </w:tc>
        <w:tc>
          <w:tcPr>
            <w:tcW w:w="50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860" w:type="dxa"/>
            <w:vAlign w:val="bottom"/>
            <w:gridSpan w:val="3"/>
            <w:vMerge w:val="restart"/>
          </w:tcPr>
          <w:p>
            <w:pPr>
              <w:jc w:val="center"/>
              <w:ind w:right="1000"/>
              <w:spacing w:after="0"/>
              <w:rPr>
                <w:sz w:val="20"/>
                <w:szCs w:val="20"/>
                <w:color w:val="auto"/>
              </w:rPr>
            </w:pPr>
            <w:r>
              <w:rPr>
                <w:rFonts w:ascii="Arial" w:cs="Arial" w:eastAsia="Arial" w:hAnsi="Arial"/>
                <w:sz w:val="11"/>
                <w:szCs w:val="11"/>
                <w:b w:val="1"/>
                <w:bCs w:val="1"/>
                <w:color w:val="auto"/>
                <w:w w:val="98"/>
              </w:rPr>
              <w:t>Number of</w:t>
            </w:r>
          </w:p>
        </w:tc>
        <w:tc>
          <w:tcPr>
            <w:tcW w:w="1200" w:type="dxa"/>
            <w:vAlign w:val="bottom"/>
            <w:vMerge w:val="restart"/>
          </w:tcPr>
          <w:p>
            <w:pPr>
              <w:jc w:val="center"/>
              <w:ind w:right="326"/>
              <w:spacing w:after="0"/>
              <w:rPr>
                <w:sz w:val="20"/>
                <w:szCs w:val="20"/>
                <w:color w:val="auto"/>
              </w:rPr>
            </w:pPr>
            <w:r>
              <w:rPr>
                <w:rFonts w:ascii="Arial" w:cs="Arial" w:eastAsia="Arial" w:hAnsi="Arial"/>
                <w:sz w:val="11"/>
                <w:szCs w:val="11"/>
                <w:b w:val="1"/>
                <w:bCs w:val="1"/>
                <w:color w:val="auto"/>
                <w:w w:val="98"/>
              </w:rPr>
              <w:t>Number of</w:t>
            </w:r>
          </w:p>
        </w:tc>
        <w:tc>
          <w:tcPr>
            <w:tcW w:w="54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860" w:type="dxa"/>
            <w:vAlign w:val="bottom"/>
            <w:vMerge w:val="restart"/>
          </w:tcPr>
          <w:p>
            <w:pPr>
              <w:spacing w:after="0"/>
              <w:rPr>
                <w:sz w:val="20"/>
                <w:szCs w:val="20"/>
                <w:color w:val="auto"/>
              </w:rPr>
            </w:pPr>
            <w:r>
              <w:rPr>
                <w:rFonts w:ascii="Arial" w:cs="Arial" w:eastAsia="Arial" w:hAnsi="Arial"/>
                <w:sz w:val="11"/>
                <w:szCs w:val="11"/>
                <w:b w:val="1"/>
                <w:bCs w:val="1"/>
                <w:color w:val="auto"/>
              </w:rPr>
              <w:t>Name of Beneficial Owner</w:t>
            </w:r>
          </w:p>
        </w:tc>
        <w:tc>
          <w:tcPr>
            <w:tcW w:w="960" w:type="dxa"/>
            <w:vAlign w:val="bottom"/>
            <w:vMerge w:val="continue"/>
          </w:tcPr>
          <w:p>
            <w:pPr>
              <w:spacing w:after="0"/>
              <w:rPr>
                <w:sz w:val="9"/>
                <w:szCs w:val="9"/>
                <w:color w:val="auto"/>
              </w:rPr>
            </w:pPr>
          </w:p>
        </w:tc>
        <w:tc>
          <w:tcPr>
            <w:tcW w:w="760" w:type="dxa"/>
            <w:vAlign w:val="bottom"/>
            <w:vMerge w:val="restart"/>
          </w:tcPr>
          <w:p>
            <w:pPr>
              <w:jc w:val="right"/>
              <w:ind w:right="306"/>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500" w:type="dxa"/>
            <w:vAlign w:val="bottom"/>
            <w:vMerge w:val="restart"/>
          </w:tcPr>
          <w:p>
            <w:pPr>
              <w:jc w:val="right"/>
              <w:ind w:right="306"/>
              <w:spacing w:after="0"/>
              <w:rPr>
                <w:sz w:val="20"/>
                <w:szCs w:val="20"/>
                <w:color w:val="auto"/>
              </w:rPr>
            </w:pPr>
            <w:r>
              <w:rPr>
                <w:rFonts w:ascii="Arial" w:cs="Arial" w:eastAsia="Arial" w:hAnsi="Arial"/>
                <w:sz w:val="11"/>
                <w:szCs w:val="11"/>
                <w:b w:val="1"/>
                <w:bCs w:val="1"/>
                <w:color w:val="auto"/>
              </w:rPr>
              <w:t>%</w:t>
            </w:r>
          </w:p>
        </w:tc>
        <w:tc>
          <w:tcPr>
            <w:tcW w:w="11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Power Prior to</w:t>
            </w:r>
          </w:p>
        </w:tc>
        <w:tc>
          <w:tcPr>
            <w:tcW w:w="186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540" w:type="dxa"/>
            <w:vAlign w:val="bottom"/>
            <w:vMerge w:val="restart"/>
          </w:tcPr>
          <w:p>
            <w:pPr>
              <w:jc w:val="right"/>
              <w:ind w:right="306"/>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jc w:val="center"/>
              <w:ind w:left="127"/>
              <w:spacing w:after="0" w:line="108" w:lineRule="exact"/>
              <w:rPr>
                <w:sz w:val="20"/>
                <w:szCs w:val="20"/>
                <w:color w:val="auto"/>
              </w:rPr>
            </w:pPr>
            <w:r>
              <w:rPr>
                <w:rFonts w:ascii="Arial" w:cs="Arial" w:eastAsia="Arial" w:hAnsi="Arial"/>
                <w:sz w:val="11"/>
                <w:szCs w:val="11"/>
                <w:b w:val="1"/>
                <w:bCs w:val="1"/>
                <w:color w:val="auto"/>
                <w:w w:val="98"/>
              </w:rPr>
              <w:t>Power After the</w:t>
            </w:r>
          </w:p>
        </w:tc>
        <w:tc>
          <w:tcPr>
            <w:tcW w:w="0" w:type="dxa"/>
            <w:vAlign w:val="bottom"/>
          </w:tcPr>
          <w:p>
            <w:pPr>
              <w:spacing w:after="0"/>
              <w:rPr>
                <w:sz w:val="1"/>
                <w:szCs w:val="1"/>
                <w:color w:val="auto"/>
              </w:rPr>
            </w:pPr>
          </w:p>
        </w:tc>
      </w:tr>
      <w:tr>
        <w:trPr>
          <w:trHeight w:val="191"/>
        </w:trPr>
        <w:tc>
          <w:tcPr>
            <w:tcW w:w="1860" w:type="dxa"/>
            <w:vAlign w:val="bottom"/>
            <w:vMerge w:val="continue"/>
          </w:tcPr>
          <w:p>
            <w:pPr>
              <w:spacing w:after="0"/>
              <w:rPr>
                <w:sz w:val="16"/>
                <w:szCs w:val="16"/>
                <w:color w:val="auto"/>
              </w:rPr>
            </w:pPr>
          </w:p>
        </w:tc>
        <w:tc>
          <w:tcPr>
            <w:tcW w:w="960" w:type="dxa"/>
            <w:vAlign w:val="bottom"/>
          </w:tcPr>
          <w:p>
            <w:pPr>
              <w:jc w:val="center"/>
              <w:ind w:right="106"/>
              <w:spacing w:after="0"/>
              <w:rPr>
                <w:sz w:val="20"/>
                <w:szCs w:val="20"/>
                <w:color w:val="auto"/>
              </w:rPr>
            </w:pPr>
            <w:r>
              <w:rPr>
                <w:rFonts w:ascii="Arial" w:cs="Arial" w:eastAsia="Arial" w:hAnsi="Arial"/>
                <w:sz w:val="11"/>
                <w:szCs w:val="11"/>
                <w:b w:val="1"/>
                <w:bCs w:val="1"/>
                <w:color w:val="auto"/>
                <w:w w:val="97"/>
              </w:rPr>
              <w:t>Shares</w:t>
            </w: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ind w:right="346"/>
              <w:spacing w:after="0"/>
              <w:rPr>
                <w:sz w:val="20"/>
                <w:szCs w:val="20"/>
                <w:color w:val="auto"/>
              </w:rPr>
            </w:pPr>
            <w:r>
              <w:rPr>
                <w:rFonts w:ascii="Arial" w:cs="Arial" w:eastAsia="Arial" w:hAnsi="Arial"/>
                <w:sz w:val="11"/>
                <w:szCs w:val="11"/>
                <w:b w:val="1"/>
                <w:bCs w:val="1"/>
                <w:color w:val="auto"/>
                <w:w w:val="97"/>
              </w:rPr>
              <w:t>Shares</w:t>
            </w:r>
          </w:p>
        </w:tc>
        <w:tc>
          <w:tcPr>
            <w:tcW w:w="500" w:type="dxa"/>
            <w:vAlign w:val="bottom"/>
            <w:vMerge w:val="continue"/>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w w:val="94"/>
              </w:rPr>
              <w:t>the Offering</w:t>
            </w:r>
            <w:r>
              <w:rPr>
                <w:rFonts w:ascii="Arial" w:cs="Arial" w:eastAsia="Arial" w:hAnsi="Arial"/>
                <w:sz w:val="14"/>
                <w:szCs w:val="14"/>
                <w:b w:val="1"/>
                <w:bCs w:val="1"/>
                <w:color w:val="auto"/>
                <w:w w:val="94"/>
                <w:vertAlign w:val="superscript"/>
              </w:rPr>
              <w:t>(1)</w:t>
            </w:r>
          </w:p>
        </w:tc>
        <w:tc>
          <w:tcPr>
            <w:tcW w:w="620" w:type="dxa"/>
            <w:vAlign w:val="bottom"/>
          </w:tcPr>
          <w:p>
            <w:pPr>
              <w:jc w:val="center"/>
              <w:ind w:left="166"/>
              <w:spacing w:after="0"/>
              <w:rPr>
                <w:sz w:val="20"/>
                <w:szCs w:val="20"/>
                <w:color w:val="auto"/>
              </w:rPr>
            </w:pPr>
            <w:r>
              <w:rPr>
                <w:rFonts w:ascii="Arial" w:cs="Arial" w:eastAsia="Arial" w:hAnsi="Arial"/>
                <w:sz w:val="11"/>
                <w:szCs w:val="11"/>
                <w:b w:val="1"/>
                <w:bCs w:val="1"/>
                <w:color w:val="auto"/>
                <w:w w:val="97"/>
              </w:rPr>
              <w:t>Shares</w:t>
            </w:r>
          </w:p>
        </w:tc>
        <w:tc>
          <w:tcPr>
            <w:tcW w:w="1140" w:type="dxa"/>
            <w:vAlign w:val="bottom"/>
          </w:tcPr>
          <w:p>
            <w:pPr>
              <w:jc w:val="right"/>
              <w:ind w:right="306"/>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6"/>
                <w:szCs w:val="16"/>
                <w:color w:val="auto"/>
              </w:rPr>
            </w:pPr>
          </w:p>
        </w:tc>
        <w:tc>
          <w:tcPr>
            <w:tcW w:w="1200" w:type="dxa"/>
            <w:vAlign w:val="bottom"/>
          </w:tcPr>
          <w:p>
            <w:pPr>
              <w:jc w:val="center"/>
              <w:ind w:right="306"/>
              <w:spacing w:after="0"/>
              <w:rPr>
                <w:sz w:val="20"/>
                <w:szCs w:val="20"/>
                <w:color w:val="auto"/>
              </w:rPr>
            </w:pPr>
            <w:r>
              <w:rPr>
                <w:rFonts w:ascii="Arial" w:cs="Arial" w:eastAsia="Arial" w:hAnsi="Arial"/>
                <w:sz w:val="11"/>
                <w:szCs w:val="11"/>
                <w:b w:val="1"/>
                <w:bCs w:val="1"/>
                <w:color w:val="auto"/>
                <w:w w:val="97"/>
              </w:rPr>
              <w:t>Shares</w:t>
            </w:r>
          </w:p>
        </w:tc>
        <w:tc>
          <w:tcPr>
            <w:tcW w:w="540" w:type="dxa"/>
            <w:vAlign w:val="bottom"/>
            <w:vMerge w:val="continue"/>
          </w:tcPr>
          <w:p>
            <w:pPr>
              <w:spacing w:after="0"/>
              <w:rPr>
                <w:sz w:val="16"/>
                <w:szCs w:val="16"/>
                <w:color w:val="auto"/>
              </w:rPr>
            </w:pPr>
          </w:p>
        </w:tc>
        <w:tc>
          <w:tcPr>
            <w:tcW w:w="980" w:type="dxa"/>
            <w:vAlign w:val="bottom"/>
          </w:tcPr>
          <w:p>
            <w:pPr>
              <w:jc w:val="center"/>
              <w:ind w:left="127"/>
              <w:spacing w:after="0"/>
              <w:rPr>
                <w:sz w:val="20"/>
                <w:szCs w:val="20"/>
                <w:color w:val="auto"/>
              </w:rPr>
            </w:pPr>
            <w:r>
              <w:rPr>
                <w:rFonts w:ascii="Arial" w:cs="Arial" w:eastAsia="Arial" w:hAnsi="Arial"/>
                <w:sz w:val="11"/>
                <w:szCs w:val="11"/>
                <w:b w:val="1"/>
                <w:bCs w:val="1"/>
                <w:color w:val="auto"/>
                <w:w w:val="95"/>
              </w:rPr>
              <w:t>Offering</w:t>
            </w:r>
            <w:r>
              <w:rPr>
                <w:rFonts w:ascii="Arial" w:cs="Arial" w:eastAsia="Arial" w:hAnsi="Arial"/>
                <w:sz w:val="14"/>
                <w:szCs w:val="14"/>
                <w:b w:val="1"/>
                <w:bCs w:val="1"/>
                <w:color w:val="auto"/>
                <w:w w:val="95"/>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2228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jc w:val="right"/>
        <w:ind w:right="10160"/>
        <w:spacing w:after="0" w:line="225" w:lineRule="auto"/>
        <w:rPr>
          <w:sz w:val="20"/>
          <w:szCs w:val="20"/>
          <w:color w:val="auto"/>
        </w:rPr>
      </w:pPr>
      <w:r>
        <w:rPr>
          <w:rFonts w:ascii="Arial" w:cs="Arial" w:eastAsia="Arial" w:hAnsi="Arial"/>
          <w:sz w:val="14"/>
          <w:szCs w:val="14"/>
          <w:color w:val="auto"/>
        </w:rPr>
        <w:t>Greater than 5%</w:t>
      </w:r>
    </w:p>
    <w:p>
      <w:pPr>
        <w:spacing w:after="0" w:line="1" w:lineRule="exact"/>
        <w:rPr>
          <w:sz w:val="20"/>
          <w:szCs w:val="20"/>
          <w:color w:val="auto"/>
        </w:rPr>
      </w:pPr>
    </w:p>
    <w:p>
      <w:pPr>
        <w:jc w:val="right"/>
        <w:ind w:right="10180"/>
        <w:spacing w:after="0"/>
        <w:rPr>
          <w:sz w:val="20"/>
          <w:szCs w:val="20"/>
          <w:color w:val="auto"/>
        </w:rPr>
      </w:pPr>
      <w:r>
        <w:rPr>
          <w:rFonts w:ascii="Arial" w:cs="Arial" w:eastAsia="Arial" w:hAnsi="Arial"/>
          <w:sz w:val="14"/>
          <w:szCs w:val="14"/>
          <w:color w:val="auto"/>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2146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Named Executive Officers</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308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14"/>
          <w:szCs w:val="14"/>
          <w:color w:val="auto"/>
        </w:rPr>
        <w:t>All directors and executive</w:t>
      </w:r>
    </w:p>
    <w:p>
      <w:pPr>
        <w:ind w:left="180"/>
        <w:spacing w:after="0" w:line="203" w:lineRule="auto"/>
        <w:rPr>
          <w:sz w:val="20"/>
          <w:szCs w:val="20"/>
          <w:color w:val="auto"/>
        </w:rPr>
      </w:pPr>
      <w:r>
        <w:rPr>
          <w:rFonts w:ascii="Arial" w:cs="Arial" w:eastAsia="Arial" w:hAnsi="Arial"/>
          <w:sz w:val="14"/>
          <w:szCs w:val="14"/>
          <w:color w:val="auto"/>
        </w:rPr>
        <w:t>officers as a group</w:t>
      </w:r>
    </w:p>
    <w:p>
      <w:pPr>
        <w:ind w:left="400" w:hanging="212"/>
        <w:spacing w:after="0"/>
        <w:tabs>
          <w:tab w:leader="none" w:pos="4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persons)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20" w:hanging="312"/>
        <w:spacing w:after="0"/>
        <w:tabs>
          <w:tab w:leader="none" w:pos="3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Represents beneficial ownership of less than 1%.</w:t>
      </w:r>
    </w:p>
    <w:p>
      <w:pPr>
        <w:spacing w:after="0" w:line="5" w:lineRule="exact"/>
        <w:rPr>
          <w:sz w:val="20"/>
          <w:szCs w:val="20"/>
          <w:color w:val="auto"/>
        </w:rPr>
      </w:pPr>
    </w:p>
    <w:p>
      <w:pPr>
        <w:ind w:left="340" w:hanging="332"/>
        <w:spacing w:after="0" w:line="283" w:lineRule="auto"/>
        <w:tabs>
          <w:tab w:leader="none" w:pos="335" w:val="left"/>
        </w:tabs>
        <w:numPr>
          <w:ilvl w:val="0"/>
          <w:numId w:val="81"/>
        </w:numPr>
        <w:rPr>
          <w:rFonts w:ascii="Arial" w:cs="Arial" w:eastAsia="Arial" w:hAnsi="Arial"/>
          <w:sz w:val="16"/>
          <w:szCs w:val="16"/>
          <w:color w:val="auto"/>
        </w:rPr>
      </w:pPr>
      <w:r>
        <w:rPr>
          <w:rFonts w:ascii="Arial" w:cs="Arial" w:eastAsia="Arial" w:hAnsi="Arial"/>
          <w:sz w:val="16"/>
          <w:szCs w:val="16"/>
          <w:color w:val="auto"/>
        </w:rPr>
        <w:t>Percentage total voting power represents voting power with respect to all shares of our Class A common stock and Class B common stock, as a single class. Each holder of Class B common stock shall be entitled to 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240"/>
          </w:cols>
          <w:pgMar w:left="320" w:top="1440" w:right="339" w:bottom="1440" w:gutter="0" w:footer="0" w:header="0"/>
          <w:type w:val="continuous"/>
        </w:sectPr>
      </w:pPr>
    </w:p>
    <w:bookmarkStart w:id="230" w:name="page231"/>
    <w:bookmarkEnd w:id="230"/>
    <w:p>
      <w:pPr>
        <w:jc w:val="both"/>
        <w:spacing w:after="0" w:line="275" w:lineRule="auto"/>
        <w:rPr>
          <w:sz w:val="20"/>
          <w:szCs w:val="20"/>
          <w:color w:val="auto"/>
        </w:rPr>
      </w:pPr>
      <w:r>
        <w:rPr>
          <w:rFonts w:ascii="Arial" w:cs="Arial" w:eastAsia="Arial" w:hAnsi="Arial"/>
          <w:sz w:val="16"/>
          <w:szCs w:val="16"/>
          <w:color w:val="auto"/>
        </w:rPr>
        <w:t>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0900"/>
          </w:cols>
          <w:pgMar w:left="660" w:top="1422" w:right="339" w:bottom="1440" w:gutter="0" w:footer="0" w:header="0"/>
        </w:sectPr>
      </w:pPr>
    </w:p>
    <w:bookmarkStart w:id="231" w:name="page232"/>
    <w:bookmarkEnd w:id="231"/>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description summarizes certain important terms of our capital stock, as they are expected to be in effect immediately prior to the completion of this offering. We expect to adopt an amended and restated articles of incorporation that will become effective immediately prior to the completion of this offering, and amended and restated bylaws that will become effective as of the closing of this offering, and this description summarizes the provisions that are expected to be included in such documents. Because it is only a summary, it does not contain all the information that may be important to you. For a complete description of the matters set forth in this section titled “Description of Capital Stock,” you should refer to our articles of incorporation, bylaws, and the Investors’ Rights Agreement, which are included as exhibits to the registration statement of which this prospectus forms a part, and to the applicable provisions of Nevada law, all of which are incorporated into this summary by reference.</w:t>
      </w:r>
    </w:p>
    <w:p>
      <w:pPr>
        <w:sectPr>
          <w:pgSz w:w="11900" w:h="16838" w:orient="portrait"/>
          <w:cols w:equalWidth="0" w:num="1">
            <w:col w:w="11240"/>
          </w:cols>
          <w:pgMar w:left="320" w:top="1440" w:right="339" w:bottom="1440" w:gutter="0" w:footer="0" w:header="0"/>
        </w:sectPr>
      </w:pP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Immediately prior to the completion of this offering, our authorized capital stock will consist of</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of capital stock,</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par</w:t>
      </w:r>
    </w:p>
    <w:p>
      <w:pPr>
        <w:spacing w:after="0" w:line="43" w:lineRule="exact"/>
        <w:rPr>
          <w:sz w:val="20"/>
          <w:szCs w:val="20"/>
          <w:color w:val="auto"/>
        </w:rPr>
      </w:pPr>
    </w:p>
    <w:p>
      <w:pPr>
        <w:sectPr>
          <w:pgSz w:w="11900" w:h="16838" w:orient="portrait"/>
          <w:cols w:equalWidth="0" w:num="3">
            <w:col w:w="7780" w:space="680"/>
            <w:col w:w="1840" w:space="660"/>
            <w:col w:w="28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value per share, of which:</w:t>
      </w:r>
    </w:p>
    <w:p>
      <w:pPr>
        <w:sectPr>
          <w:pgSz w:w="11900" w:h="16838" w:orient="portrait"/>
          <w:cols w:equalWidth="0" w:num="1">
            <w:col w:w="11240"/>
          </w:cols>
          <w:pgMar w:left="320" w:top="1440" w:right="339" w:bottom="1440" w:gutter="0" w:footer="0" w:header="0"/>
          <w:type w:val="continuous"/>
        </w:sectPr>
      </w:pPr>
    </w:p>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shares are Class A common stock;</w:t>
      </w:r>
    </w:p>
    <w:p>
      <w:pPr>
        <w:spacing w:after="0" w:line="183" w:lineRule="exact"/>
        <w:rPr>
          <w:sz w:val="20"/>
          <w:szCs w:val="20"/>
          <w:color w:val="auto"/>
        </w:rPr>
      </w:pPr>
    </w:p>
    <w:p>
      <w:pPr>
        <w:sectPr>
          <w:pgSz w:w="11900" w:h="16838" w:orient="portrait"/>
          <w:cols w:equalWidth="0" w:num="2">
            <w:col w:w="400" w:space="260"/>
            <w:col w:w="10580"/>
          </w:cols>
          <w:pgMar w:left="320" w:top="1440" w:right="33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shares are Class B common stock; and</w:t>
      </w:r>
    </w:p>
    <w:p>
      <w:pPr>
        <w:spacing w:after="0" w:line="183" w:lineRule="exact"/>
        <w:rPr>
          <w:sz w:val="20"/>
          <w:szCs w:val="20"/>
          <w:color w:val="auto"/>
        </w:rPr>
      </w:pPr>
    </w:p>
    <w:p>
      <w:pPr>
        <w:sectPr>
          <w:pgSz w:w="11900" w:h="16838" w:orient="portrait"/>
          <w:cols w:equalWidth="0" w:num="2">
            <w:col w:w="400" w:space="260"/>
            <w:col w:w="10580"/>
          </w:cols>
          <w:pgMar w:left="320" w:top="1440" w:right="33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shares are undesignated or “blank check” preferred stock.</w:t>
      </w:r>
    </w:p>
    <w:p>
      <w:pPr>
        <w:spacing w:after="0" w:line="183" w:lineRule="exact"/>
        <w:rPr>
          <w:sz w:val="20"/>
          <w:szCs w:val="20"/>
          <w:color w:val="auto"/>
        </w:rPr>
      </w:pPr>
    </w:p>
    <w:p>
      <w:pPr>
        <w:sectPr>
          <w:pgSz w:w="11900" w:h="16838" w:orient="portrait"/>
          <w:cols w:equalWidth="0" w:num="2">
            <w:col w:w="400" w:space="260"/>
            <w:col w:w="10580"/>
          </w:cols>
          <w:pgMar w:left="320" w:top="1440" w:right="339" w:bottom="1440" w:gutter="0" w:footer="0" w:header="0"/>
          <w:type w:val="continuous"/>
        </w:sectPr>
      </w:pPr>
    </w:p>
    <w:p>
      <w:pPr>
        <w:ind w:firstLine="324"/>
        <w:spacing w:after="0" w:line="268" w:lineRule="auto"/>
        <w:rPr>
          <w:sz w:val="20"/>
          <w:szCs w:val="20"/>
          <w:color w:val="auto"/>
        </w:rPr>
      </w:pPr>
      <w:r>
        <w:rPr>
          <w:rFonts w:ascii="Arial" w:cs="Arial" w:eastAsia="Arial" w:hAnsi="Arial"/>
          <w:sz w:val="18"/>
          <w:szCs w:val="18"/>
          <w:color w:val="auto"/>
        </w:rPr>
        <w:t>Assuming the Capital Stock Conversion, the Reclassification, and the Class B Stock Exchange each occurred on , 2025, there were shares of our Class A common stock outstanding, held by stockholders of record and shares of our Class B common stock outstanding, held by stockholders of record, and no shares of our preferred stock outstanding.</w:t>
      </w:r>
    </w:p>
    <w:p>
      <w:pPr>
        <w:sectPr>
          <w:pgSz w:w="11900" w:h="16838" w:orient="portrait"/>
          <w:cols w:equalWidth="0" w:num="1">
            <w:col w:w="11240"/>
          </w:cols>
          <w:pgMar w:left="320" w:top="1440" w:right="339"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authorized shares of common stock are designated as Class A common stock and Class B common stock. The rights of the holders of our Class A common stock and Class B common stock are identical, except with respect to voting and conversion.</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Rights to Dividends and Other Distributions</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and other distributions out of funds legally available if our board of directors, in its discretion, determines to issue dividends and other distributions and then only at the times and in the amounts that our board of directors may determine. For additional information, see the section titled “Dividend Policy.”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common stock is not entitled to preemptive rights and is not subject to redemption or sinking fund provisions. Our Class A common stock is not subject to conversion provisions.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Holders of our Class A common stock are entitled to one vote per share held as of the applicable record date on all matters submitted to a vote of the holders of our Class A common stock, and holders of our Class B common stock are entitled to ten votes per share held as of the applicable record date on all matters submitted to a vote of the holders of our Class B common stock. The holders of our Class A common stock and Class B common stock will generally vote together as a single class on all matters submitted to a vote of our stockholders, unless otherwise required by Nevada law or our articles of incorporation. Nevada law could require either holders of our Class A common stock or Class B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240"/>
          </w:cols>
          <w:pgMar w:left="320" w:top="1440" w:right="339" w:bottom="1440" w:gutter="0" w:footer="0" w:header="0"/>
          <w:type w:val="continuous"/>
        </w:sectPr>
      </w:pPr>
    </w:p>
    <w:bookmarkStart w:id="232" w:name="page233"/>
    <w:bookmarkEnd w:id="232"/>
    <w:p>
      <w:pPr>
        <w:jc w:val="both"/>
        <w:spacing w:after="0" w:line="268" w:lineRule="auto"/>
        <w:rPr>
          <w:sz w:val="20"/>
          <w:szCs w:val="20"/>
          <w:color w:val="auto"/>
        </w:rPr>
      </w:pPr>
      <w:r>
        <w:rPr>
          <w:rFonts w:ascii="Arial" w:cs="Arial" w:eastAsia="Arial" w:hAnsi="Arial"/>
          <w:sz w:val="18"/>
          <w:szCs w:val="18"/>
          <w:color w:val="auto"/>
        </w:rPr>
        <w:t>stock to vote separately as a single class if we were to seek to amend our articles of incorporation in a manner that alters or changes the powers, preferences, or special rights of such class of common stock in a manner that affected such shares adversely but does not so affect the shares of the other class of common stock.</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stockholders do not have the ability to cumulate votes for the election of directors. As a result, the holders of a plurality of the voting power of the shares present in person or represented by proxy at the meeting and entitled to vote on the election of directors will have the ability to elect all of the directors standing for election. Except as otherwise provided by law, our governing documents or the rules of the stock exchange on which our securities are listed, at any meeting of the stockholders at which a quorum is present or represented, a proposed action by the stockholders on a matter other than the election of directors will be approved if the number of votes cast in favor of the action exceeds the number of votes cast in opposition to the action. The holders of a majority of the voting power of the capital stock issued and outstanding and entitled to vote as of the applicable record date, present in person or represented by proxy, shall constitute a quorum for the transaction of business at all meetings of the stockholders.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share of our Class B common stock is convertible at any time at the option of the holder into one share of our Class A common stock. In addition, each share of our Class B common stock will convert automatically into one share of our Class A common stock upon any transfer, whether or not for value, except for certain transfers exempted by our articles of incorporation, including transfers for tax and estate planning purposes so long as the transferring holder of Class B common stock continues to hold exclusive voting and dispositive power with respect to the shares transferred. Once converted into a share of our Class A common stock, such share of our Class B common stock will not be reissued.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board of directors will have the authority, subject to limitations prescribed by Nevada law, to issue shares of our authorized but unissued preferred stock in one or more series, and to fix the designations, powers, preferences, and rights, and the qualifications, limitations, or restrictions thereof, in each case without further vote or action by our stockholders. These powers, rights, preferences, and privileges could include dividend rights, dividend rate, conversion rights, voting rights, rights, and terms of redemption (including sinking fund provisions), redemption price(s) and liquidation preferences, and the number of shares constituting any series or the designation of such series, any or all of which may be greater than the rights of the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 As of the closing of this offering, no shares of preferred stock will be outstanding.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ectPr>
          <w:pgSz w:w="11900" w:h="16838" w:orient="portrait"/>
          <w:cols w:equalWidth="0" w:num="1">
            <w:col w:w="11240"/>
          </w:cols>
          <w:pgMar w:left="320" w:top="1417" w:right="339" w:bottom="1440" w:gutter="0" w:footer="0" w:header="0"/>
        </w:sectPr>
      </w:pPr>
    </w:p>
    <w:p>
      <w:pPr>
        <w:spacing w:after="0" w:line="171"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As of , we had outstanding options to purchase an aggregate of average exercise price of $ per share, under our 2025 Plan.</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Class A common stock, with a weighted-</w:t>
      </w:r>
    </w:p>
    <w:p>
      <w:pPr>
        <w:spacing w:after="0" w:line="387" w:lineRule="exact"/>
        <w:rPr>
          <w:sz w:val="20"/>
          <w:szCs w:val="20"/>
          <w:color w:val="auto"/>
        </w:rPr>
      </w:pPr>
    </w:p>
    <w:p>
      <w:pPr>
        <w:sectPr>
          <w:pgSz w:w="11900" w:h="16838" w:orient="portrait"/>
          <w:cols w:equalWidth="0" w:num="2">
            <w:col w:w="6080" w:space="720"/>
            <w:col w:w="4440"/>
          </w:cols>
          <w:pgMar w:left="320" w:top="1417" w:right="339" w:bottom="1440" w:gutter="0" w:footer="0" w:header="0"/>
          <w:type w:val="continuous"/>
        </w:sectPr>
      </w:pPr>
    </w:p>
    <w:p>
      <w:pPr>
        <w:ind w:firstLine="324"/>
        <w:spacing w:after="0" w:line="287" w:lineRule="auto"/>
        <w:rPr>
          <w:sz w:val="20"/>
          <w:szCs w:val="20"/>
          <w:color w:val="auto"/>
        </w:rPr>
      </w:pPr>
      <w:r>
        <w:rPr>
          <w:rFonts w:ascii="Arial" w:cs="Arial" w:eastAsia="Arial" w:hAnsi="Arial"/>
          <w:sz w:val="18"/>
          <w:szCs w:val="18"/>
          <w:color w:val="auto"/>
        </w:rPr>
        <w:t>As of , there were outstanding options to purchase an aggregate of exercise price of $ per share, under the 2018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shares of common stock of FT, with a weighted-average</w:t>
      </w:r>
    </w:p>
    <w:p>
      <w:pPr>
        <w:spacing w:after="0" w:line="499" w:lineRule="exact"/>
        <w:rPr>
          <w:sz w:val="20"/>
          <w:szCs w:val="20"/>
          <w:color w:val="auto"/>
        </w:rPr>
      </w:pPr>
    </w:p>
    <w:p>
      <w:pPr>
        <w:sectPr>
          <w:pgSz w:w="11900" w:h="16838" w:orient="portrait"/>
          <w:cols w:equalWidth="0" w:num="2">
            <w:col w:w="6160" w:space="620"/>
            <w:col w:w="4460"/>
          </w:cols>
          <w:pgMar w:left="320" w:top="14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227</w:t>
      </w:r>
    </w:p>
    <w:p>
      <w:pPr>
        <w:sectPr>
          <w:pgSz w:w="11900" w:h="16838" w:orient="portrait"/>
          <w:cols w:equalWidth="0" w:num="1">
            <w:col w:w="11240"/>
          </w:cols>
          <w:pgMar w:left="320" w:top="1417" w:right="339" w:bottom="1440" w:gutter="0" w:footer="0" w:header="0"/>
          <w:type w:val="continuous"/>
        </w:sectPr>
      </w:pPr>
    </w:p>
    <w:bookmarkStart w:id="233" w:name="page234"/>
    <w:bookmarkEnd w:id="233"/>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April 28, 2025, in connection with our conversion from a Delaware corporation to a Nevada corporation, we entered into the Investors’ Rights Agreement, pursuant to which certain holders of our redeemable convertible preferred stock and common stock are entitled to demand the registration of certain or all of our Class A common stock that such persons beneficially own or their convertible preferred stock is convertible into. See the section titled “Certain Relationships and Related Party Transactions—Investors’ Rights Agreement.”</w:t>
      </w:r>
    </w:p>
    <w:p>
      <w:pPr>
        <w:spacing w:after="0" w:line="122"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auto"/>
        </w:rPr>
        <w:t>Anti-Takeover Effects of Certain Provisions of Nevada Law, Our Amended and Restated Articles of Incorporation and Our Amended and Restated Bylaws</w:t>
      </w:r>
    </w:p>
    <w:p>
      <w:pPr>
        <w:spacing w:after="0" w:line="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provisions of Nevada law, our amended and restated articles of incorporation, and our amended and restated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Nevada Law</w:t>
      </w:r>
    </w:p>
    <w:p>
      <w:pPr>
        <w:spacing w:after="0" w:line="1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Nevada’s “combinations with interested stockholders” statutes (NRS 78.411 through 78.444, inclusive) prohibit specified types of business “combinations” between certain Nevada corporations and any person deemed to be an “interested stockholder” for two years after such person first becomes an “interested stockholder” unless the corporation's board of directors approves the combination (or the transaction by which such person becomes an “interested stockholder”) in advance, or unless the combination is approved by the board of directors and sixty percent of the corporation's voting power not beneficially owned by the interested stockholder, its affiliates and associates. Further, in the absence of prior approval certain restrictions may apply even after such two-year period. However, these statutes do not apply to any combination of a corporation and an interested stockholder after the expiration of four years after the person first became an interested stockholder. For purposes of these statutes, an “interested stockholder” is any person who is (1) the beneficial owner, directly or indirectly, of ten percent or more of the voting power of the outstanding voting shares of the corporation, or (2) an affiliate or associate of the corporation and at any time within the two previous years was the beneficial owner, directly or indirectly, of ten percent or more of the voting power of the then-outstanding shares of the corporation. The definition of the term “combination” is sufficiently broad to cover most significant transactions between a corporation and an “interested stockholder.” Our original articles of incorporation provided, and our amended and restated articles of incorporation will provide, that these statutes do not apply to us.</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Nevada’s “acquisition of controlling interest” statutes (NRS 78.378 through 78.3793, inclusive) contain provisions governing the acquisition of a controlling interest in certain Nevada corporations. These “control share” laws provide generally that any person that acquires a “controlling interest” in certain Nevada corporations may be denied voting rights, unless a majority of the disinterested stockholders of the corporation elects to restore such voting rights. These laws would apply to us if we were to have 200 or more stockholders of record (at least 100 of whom have addresses in Nevada appearing on our stock ledger) and do business in the State of Nevada directly or through an affiliated corporation, unless our articles of incorporation or bylaws in effect on the tenth day after the acquisition of a controlling interest provide otherwise. These laws provide that a person acquires a “controlling interest” whenever a person acquires shares of a subject corporation that, but for the application of these provisions of the NRS,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240"/>
          </w:cols>
          <w:pgMar w:left="320" w:top="1440" w:right="339" w:bottom="1440" w:gutter="0" w:footer="0" w:header="0"/>
        </w:sectPr>
      </w:pPr>
    </w:p>
    <w:bookmarkStart w:id="234" w:name="page235"/>
    <w:bookmarkEnd w:id="234"/>
    <w:p>
      <w:pPr>
        <w:jc w:val="both"/>
        <w:spacing w:after="0" w:line="268" w:lineRule="auto"/>
        <w:rPr>
          <w:sz w:val="20"/>
          <w:szCs w:val="20"/>
          <w:color w:val="auto"/>
        </w:rPr>
      </w:pPr>
      <w:r>
        <w:rPr>
          <w:rFonts w:ascii="Arial" w:cs="Arial" w:eastAsia="Arial" w:hAnsi="Arial"/>
          <w:sz w:val="18"/>
          <w:szCs w:val="18"/>
          <w:color w:val="auto"/>
        </w:rPr>
        <w:t>person acquired or offered to acquire a controlling interest become “control shares” to which the voting restrictions described above apply. Our original articles of incorporation provided, and our amended and restated articles of incorporation will provide, that these statutes do not apply to us.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addition, NRS 78.139 also provides that directors may resist a change or potential change in control of the corporation if the board of directors determines that the change or potential change is opposed to or not in the best interest of the corporation upon consideration of any relevant facts, circumstances, contingencies or constituencies pursuant to NRS 78.138(4).</w:t>
      </w:r>
    </w:p>
    <w:p>
      <w:pPr>
        <w:spacing w:after="0" w:line="117" w:lineRule="exact"/>
        <w:rPr>
          <w:sz w:val="20"/>
          <w:szCs w:val="20"/>
          <w:color w:val="auto"/>
        </w:rPr>
      </w:pPr>
    </w:p>
    <w:p>
      <w:pPr>
        <w:ind w:left="340" w:right="680"/>
        <w:spacing w:after="0" w:line="438" w:lineRule="auto"/>
        <w:rPr>
          <w:sz w:val="20"/>
          <w:szCs w:val="20"/>
          <w:color w:val="auto"/>
        </w:rPr>
      </w:pPr>
      <w:r>
        <w:rPr>
          <w:rFonts w:ascii="Arial" w:cs="Arial" w:eastAsia="Arial" w:hAnsi="Arial"/>
          <w:sz w:val="18"/>
          <w:szCs w:val="18"/>
          <w:color w:val="auto"/>
        </w:rPr>
        <w:t xml:space="preserve">These provisions, if applicable to us, may have the effect of delaying, deferring, or preventing changes in control of our company. </w:t>
      </w:r>
      <w:r>
        <w:rPr>
          <w:rFonts w:ascii="Arial" w:cs="Arial" w:eastAsia="Arial" w:hAnsi="Arial"/>
          <w:sz w:val="18"/>
          <w:szCs w:val="18"/>
          <w:b w:val="1"/>
          <w:bCs w:val="1"/>
          <w:i w:val="1"/>
          <w:iCs w:val="1"/>
          <w:color w:val="auto"/>
        </w:rPr>
        <w:t>Amended and Restated Articles of Incorporation and Amended and Restated Bylaws Provisions</w:t>
      </w:r>
    </w:p>
    <w:p>
      <w:pPr>
        <w:spacing w:after="0" w:line="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Provisions of our amended and restated articles of incorporation and amended and restated bylaws will include a number of provisions that could deter hostile takeovers or delay or prevent changes in control of our board of directors or management. Among other things, our articles of incorporation and bylaws will:</w:t>
      </w:r>
    </w:p>
    <w:p>
      <w:pPr>
        <w:spacing w:after="0" w:line="117"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provide for a dual-class common stock structure, with differing voting rights;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permit our board of directors to issue shares of our preferred stock, with such powers, rights, preferences, and privileges as they may designate;</w:t>
      </w:r>
    </w:p>
    <w:p>
      <w:pPr>
        <w:spacing w:after="0" w:line="98"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provide that a majority of the members of the our board of directors shall constitute a quorum; provided that, for as long as Mr. Cagney, our co-founder and member of our board of directors, beneficially owns more than 50% of the voting power of our capital stock, the chair of our board of directors must be present to constitute a quorum (unless such individual has recused themself from such board action);</w:t>
      </w:r>
    </w:p>
    <w:p>
      <w:pPr>
        <w:spacing w:after="0" w:line="12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provide that stockholders representing a majority of the voting power of our capital stock, represented in person or by proxy (regardless of whether the proxy has authority to vote on any matter), are necessary to constitute a quorum for the transaction of business at any meeting;</w:t>
      </w:r>
    </w:p>
    <w:p>
      <w:pPr>
        <w:spacing w:after="0" w:line="116"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 of directors, provided that, for as long as Mr. Cagney, our co-founder and member of our board of directors, beneficially owns more than 50% of the voting power of our capital stock, the authorized number of directors may also be changed by resolution of the board of directors or by holders of at least a majority of the voting power of our capital stock;</w:t>
      </w:r>
    </w:p>
    <w:p>
      <w:pPr>
        <w:spacing w:after="0" w:line="12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provide that all vacancies and newly created directorships, except as otherwise required by law, our governing documents or resolution of our board of directors, and subject to the rights of holders of our preferred stock, may only be filled by the affirmative vote of a majority of directors then in office, even if less than a quorum, provided that, for as long as Mr. Cagney, our co-founder and member of our board of directors, beneficially owns more than 50% of the voting power of our capital stock, any vacancy may also be filled by holders of at least a majority of the voting power of our capital stock;</w:t>
      </w:r>
    </w:p>
    <w:p>
      <w:pPr>
        <w:spacing w:after="0" w:line="1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provide that if, and for so long as, our board of directors is classified, and subject to the rights of holders of our preferred stock, a director may only be removed from the board of directors by the stockholders for cause;</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 provided that, for as long as Mr. Cagney, our co-founder and member of our board of directors, beneficially owns more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240"/>
          </w:cols>
          <w:pgMar w:left="320" w:top="1417" w:right="339" w:bottom="1440" w:gutter="0" w:footer="0" w:header="0"/>
        </w:sectPr>
      </w:pPr>
    </w:p>
    <w:bookmarkStart w:id="235" w:name="page236"/>
    <w:bookmarkEnd w:id="235"/>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50% of the voting power of our capital stock, any action to be taken by our stockholders may also be taken by written consent;</w:t>
      </w:r>
    </w:p>
    <w:p>
      <w:pPr>
        <w:spacing w:after="0" w:line="171" w:lineRule="exact"/>
        <w:rPr>
          <w:sz w:val="20"/>
          <w:szCs w:val="20"/>
          <w:color w:val="auto"/>
        </w:rPr>
      </w:pPr>
    </w:p>
    <w:p>
      <w:pPr>
        <w:jc w:val="both"/>
        <w:ind w:left="660" w:hanging="328"/>
        <w:spacing w:after="0" w:line="268"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11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plurality of the shares of common stock entitled to vote in any election of directors to elect all of the directors standing for election;</w:t>
      </w:r>
    </w:p>
    <w:p>
      <w:pPr>
        <w:spacing w:after="0" w:line="98"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only by the board of directors, the chairperson of the board of directors, our chief executive officer or president, provided that, for as long as Mr. Cagney, our co-founder and member of our board of directors, beneficially owns more than 50% of the voting power of our capital stock, special meetings of our stockholders may also be called by holders of at least a majority of the voting power of our capital stock; and</w:t>
      </w:r>
    </w:p>
    <w:p>
      <w:pPr>
        <w:spacing w:after="0" w:line="122"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provide that stockholders will be permitted to amend certain provisions of our articles of incorporation and our bylaws only upon the approval of at least two-thirds of the voting power of our then outstanding capital stock entitled to vote, voting together as a single class, provided that, for as long as Mr. Cagney, our co-founder and member of our board of directors, beneficially owns more than 50% of the voting power of our capital stock, stockholders holding at least a majority of the voting power of our capital stock, voting together as a single class, will be permitted to amend our bylaws and approve amendments to certain provisions of our articles of incorporation.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amended and restated articles of incorporation and amended and restated bylaws will provide that, to the fullest extent permitted by law, and unless we consent in writing to the selection of an alternative forum, the Eighth Judicial District Court of Clark County, Nevada, will be the sole and exclusive forum for any actions, suits or proceedings, whether civil, administrative or investigative, including (i) any derivative action or proceeding brought on our behalf; (ii) any action asserting a claim of breach of a fiduciary duty owed by any of our directors, stockholders, officers or other employees to us or our stockholders; (iii) any action arising pursuant to any provision of NRS Chapters 78 or 92A or any provision of our articles of incorporation or bylaws; (iv) to interpret, apply, enforce or determine the validity of our articles of incorporation and bylaws; or (v) asserting a claim governed by the internal affairs doctrine; provided that the exclusive forum provisions will not apply to suits brought to enforce any liability or duty created by the Securities Act or the Exchange Act, or to any claim for which the federal courts have exclusive jurisdiction. Our articles of incorporation and bylaws will further provide that, in the event that the Eighth Judicial District Court of Clark County, Nevada does not have jurisdiction over any such action, suit or proceeding, then any other state district court located in the State of Nevada will be the sole and exclusive forum therefor and in the event that no state district court in the State of Nevada has jurisdiction over any such action, suit or proceeding, then a federal court located within the State of Nevada will be the sole and exclusive forum therefor. Although we believe these provisions benefit us by providing increased consistency in the application of Nevada law in the types of lawsuits to which they apply, the provisions may have the effect of discouraging lawsuits against our directors and officers. Any person or entity purchasing or otherwise acquiring or holding or owning (or continuing to hold or own) any interest in any of our securities shall be deemed to have notice of and consented to the foregoing bylaw provisions. Our stockholders will not be deemed to have waived our compliance with the federal securities laws and the rules and regulations thereunder as a result of our exclusive forum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ectPr>
          <w:pgSz w:w="11900" w:h="16838" w:orient="portrait"/>
          <w:cols w:equalWidth="0" w:num="1">
            <w:col w:w="11240"/>
          </w:cols>
          <w:pgMar w:left="320" w:top="1440" w:right="339" w:bottom="1440" w:gutter="0" w:footer="0" w:header="0"/>
        </w:sectPr>
      </w:pPr>
    </w:p>
    <w:p>
      <w:pPr>
        <w:spacing w:after="0" w:line="183"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Upon the completion of this offering, the transfer agent and registrar for our common stock will be registrar’s address is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 The transfer agent and</w:t>
      </w:r>
    </w:p>
    <w:p>
      <w:pPr>
        <w:spacing w:after="0" w:line="387" w:lineRule="exact"/>
        <w:rPr>
          <w:sz w:val="20"/>
          <w:szCs w:val="20"/>
          <w:color w:val="auto"/>
        </w:rPr>
      </w:pPr>
    </w:p>
    <w:p>
      <w:pPr>
        <w:sectPr>
          <w:pgSz w:w="11900" w:h="16838" w:orient="portrait"/>
          <w:cols w:equalWidth="0" w:num="2">
            <w:col w:w="8500" w:space="720"/>
            <w:col w:w="202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Listing</w:t>
      </w:r>
    </w:p>
    <w:p>
      <w:pPr>
        <w:sectPr>
          <w:pgSz w:w="11900" w:h="16838" w:orient="portrait"/>
          <w:cols w:equalWidth="0" w:num="1">
            <w:col w:w="11240"/>
          </w:cols>
          <w:pgMar w:left="320" w:top="1440" w:right="339" w:bottom="1440" w:gutter="0" w:footer="0" w:header="0"/>
          <w:type w:val="continuous"/>
        </w:sectPr>
      </w:pP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intend to apply to list our Class A common stock on</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under the symbol “FIGR.”</w:t>
      </w:r>
    </w:p>
    <w:p>
      <w:pPr>
        <w:spacing w:after="0" w:line="200" w:lineRule="exact"/>
        <w:rPr>
          <w:sz w:val="20"/>
          <w:szCs w:val="20"/>
          <w:color w:val="auto"/>
        </w:rPr>
      </w:pPr>
    </w:p>
    <w:p>
      <w:pPr>
        <w:sectPr>
          <w:pgSz w:w="11900" w:h="16838" w:orient="portrait"/>
          <w:cols w:equalWidth="0" w:num="2">
            <w:col w:w="4800" w:space="720"/>
            <w:col w:w="57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231</w:t>
      </w:r>
    </w:p>
    <w:p>
      <w:pPr>
        <w:sectPr>
          <w:pgSz w:w="11900" w:h="16838" w:orient="portrait"/>
          <w:cols w:equalWidth="0" w:num="1">
            <w:col w:w="11240"/>
          </w:cols>
          <w:pgMar w:left="320" w:top="1440" w:right="339" w:bottom="1440" w:gutter="0" w:footer="0" w:header="0"/>
          <w:type w:val="continuous"/>
        </w:sectPr>
      </w:pPr>
    </w:p>
    <w:bookmarkStart w:id="237" w:name="page238"/>
    <w:bookmarkEnd w:id="237"/>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Prior to this offering, there has been no public market for our Class A common stock, and we cannot predict the effect, if any, that market sales of shares of our Class A common stock or the availability of shares of our Class A common stock for sale will have on the market price of our Class A common stock prevailing from time to time. Future sales of shares of our Class A common stock in the public market, or the availability of such shares for sale in the public market, could adversely affect market prices of our Class A common stock prevailing from time to time. As described below, only a limited number of shares of our Class A common stock will be available for sale shortly after this offering due to contractual and legal restrictions on resale. Nevertheless, sales of our Class A common stock in the public market after such restrictions lapse, or the perception that those sales may occur, could adversely affect the prevailing market price at such time and our ability to raise equity capital in the future.</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the completion of this offering, based on our shares of our capital stock outstanding as of , 2025, we will have a total of shares of our Class A common stock outstanding and shares of our Class B common stock outstanding (after giving effect to the Capital Stock Conversion, the Reclassification, and the Class B Stock Exchange). Of these outstanding shares, all shares of our</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Class A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12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remaining outstanding shares of our Class A common stock (including shares issuable upon conversion of our Class B common stock) will be, and shares subject to stock options will be upon issuance, deemed “restricted securities” as that term is defined under Rule</w:t>
      </w:r>
    </w:p>
    <w:p>
      <w:pPr>
        <w:spacing w:after="0" w:line="2" w:lineRule="exact"/>
        <w:rPr>
          <w:sz w:val="20"/>
          <w:szCs w:val="20"/>
          <w:color w:val="auto"/>
        </w:rPr>
      </w:pPr>
    </w:p>
    <w:p>
      <w:pPr>
        <w:jc w:val="both"/>
        <w:ind w:firstLine="8"/>
        <w:spacing w:after="0" w:line="255" w:lineRule="auto"/>
        <w:tabs>
          <w:tab w:leader="none" w:pos="4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 As a result of the lock-up agreements described below and subject to the provisions of Rules 144 or 701, shares of our Class A common stock will be available for sale in the public market as follows:</w:t>
      </w:r>
    </w:p>
    <w:p>
      <w:pPr>
        <w:sectPr>
          <w:pgSz w:w="11900" w:h="16838" w:orient="portrait"/>
          <w:cols w:equalWidth="0" w:num="1">
            <w:col w:w="11240"/>
          </w:cols>
          <w:pgMar w:left="320" w:top="1440" w:right="339" w:bottom="1440" w:gutter="0" w:footer="0" w:header="0"/>
        </w:sectPr>
      </w:pPr>
    </w:p>
    <w:p>
      <w:pPr>
        <w:spacing w:after="0" w:line="1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60" w:hanging="4"/>
        <w:spacing w:after="0" w:line="287" w:lineRule="auto"/>
        <w:rPr>
          <w:sz w:val="20"/>
          <w:szCs w:val="20"/>
          <w:color w:val="auto"/>
        </w:rPr>
      </w:pPr>
      <w:r>
        <w:rPr>
          <w:rFonts w:ascii="Arial" w:cs="Arial" w:eastAsia="Arial" w:hAnsi="Arial"/>
          <w:sz w:val="18"/>
          <w:szCs w:val="18"/>
          <w:color w:val="auto"/>
        </w:rPr>
        <w:t>beginning on the date of this prospectus, all available for sale in the public market; and</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Class A common stock sold in this offering will be immediately</w:t>
      </w:r>
    </w:p>
    <w:p>
      <w:pPr>
        <w:spacing w:after="0" w:line="387" w:lineRule="exact"/>
        <w:rPr>
          <w:sz w:val="20"/>
          <w:szCs w:val="20"/>
          <w:color w:val="auto"/>
        </w:rPr>
      </w:pPr>
    </w:p>
    <w:p>
      <w:pPr>
        <w:sectPr>
          <w:pgSz w:w="11900" w:h="16838" w:orient="portrait"/>
          <w:cols w:equalWidth="0" w:num="3">
            <w:col w:w="400" w:space="260"/>
            <w:col w:w="3620" w:space="720"/>
            <w:col w:w="6240"/>
          </w:cols>
          <w:pgMar w:left="320" w:top="1440" w:right="339" w:bottom="1440" w:gutter="0" w:footer="0" w:header="0"/>
          <w:type w:val="continuous"/>
        </w:sect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beginning 181 days after the date of this prospectus, subject to the terms of the lock-up agreements described below, all remaining</w:t>
      </w:r>
    </w:p>
    <w:p>
      <w:pPr>
        <w:sectPr>
          <w:pgSz w:w="11900" w:h="16838" w:orient="portrait"/>
          <w:cols w:equalWidth="0" w:num="1">
            <w:col w:w="11240"/>
          </w:cols>
          <w:pgMar w:left="320" w:top="1440" w:right="339" w:bottom="1440" w:gutter="0" w:footer="0" w:header="0"/>
          <w:type w:val="continuous"/>
        </w:sectPr>
      </w:pPr>
    </w:p>
    <w:p>
      <w:pPr>
        <w:spacing w:after="0" w:line="32" w:lineRule="exact"/>
        <w:rPr>
          <w:sz w:val="20"/>
          <w:szCs w:val="20"/>
          <w:color w:val="auto"/>
        </w:rPr>
      </w:pPr>
    </w:p>
    <w:p>
      <w:pPr>
        <w:ind w:left="660"/>
        <w:spacing w:after="0" w:line="260" w:lineRule="auto"/>
        <w:rPr>
          <w:sz w:val="20"/>
          <w:szCs w:val="20"/>
          <w:color w:val="auto"/>
        </w:rPr>
      </w:pPr>
      <w:r>
        <w:rPr>
          <w:rFonts w:ascii="Arial" w:cs="Arial" w:eastAsia="Arial" w:hAnsi="Arial"/>
          <w:sz w:val="18"/>
          <w:szCs w:val="18"/>
          <w:color w:val="auto"/>
        </w:rPr>
        <w:t>shares will become eligible for sale in the public market, of which shares will be held by affiliates and subject to the volume and other restrictions of Rule 144, as described below.</w:t>
      </w:r>
    </w:p>
    <w:p>
      <w:pPr>
        <w:sectPr>
          <w:pgSz w:w="11900" w:h="16838" w:orient="portrait"/>
          <w:cols w:equalWidth="0" w:num="1">
            <w:col w:w="11240"/>
          </w:cols>
          <w:pgMar w:left="320" w:top="1440" w:right="33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ectPr>
          <w:pgSz w:w="11900" w:h="16838" w:orient="portrait"/>
          <w:cols w:equalWidth="0" w:num="1">
            <w:col w:w="11240"/>
          </w:cols>
          <w:pgMar w:left="320" w:top="1440" w:right="339" w:bottom="1440" w:gutter="0" w:footer="0" w:header="0"/>
          <w:type w:val="continuous"/>
        </w:sectPr>
      </w:pP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our directors and executive officers and substantially all of the holders of our equity securities have agreed or expect to agree, subject to certain exceptions, not to offer, sell or transfer any shares of our common stock or securities convertible into or exchangeable or</w:t>
      </w:r>
    </w:p>
    <w:p>
      <w:pPr>
        <w:spacing w:after="0" w:line="2" w:lineRule="exact"/>
        <w:rPr>
          <w:sz w:val="20"/>
          <w:szCs w:val="20"/>
          <w:color w:val="auto"/>
        </w:rPr>
      </w:pPr>
    </w:p>
    <w:p>
      <w:pPr>
        <w:jc w:val="both"/>
        <w:ind w:left="560" w:hanging="554"/>
        <w:spacing w:after="0" w:line="250" w:lineRule="auto"/>
        <w:rPr>
          <w:sz w:val="20"/>
          <w:szCs w:val="20"/>
          <w:color w:val="auto"/>
        </w:rPr>
      </w:pPr>
      <w:r>
        <w:rPr>
          <w:rFonts w:ascii="Arial" w:cs="Arial" w:eastAsia="Arial" w:hAnsi="Arial"/>
          <w:sz w:val="18"/>
          <w:szCs w:val="18"/>
          <w:color w:val="auto"/>
        </w:rPr>
        <w:t>exercisable for our common stock for</w:t>
      </w:r>
      <w:r>
        <w:rPr>
          <w:sz w:val="20"/>
          <w:szCs w:val="20"/>
          <w:color w:val="auto"/>
        </w:rPr>
        <w:t xml:space="preserve"> </w:t>
      </w:r>
      <w:r>
        <w:rPr>
          <w:rFonts w:ascii="Arial" w:cs="Arial" w:eastAsia="Arial" w:hAnsi="Arial"/>
          <w:sz w:val="18"/>
          <w:szCs w:val="18"/>
          <w:color w:val="auto"/>
        </w:rPr>
        <w:t>days after the date of this prospectus without first obtaining the written consent of and , as representatives of the several underwriters of this offering. and may, in their sole discretion, and subject to FINRA</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Rule 5131, release any of the securities subject to the lock-up agreements with the underwriters at any time. For additional information about the lock-up agreements see the section titled “Underwriting.”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Class A common stock proposed to be sold for at least six months is entitled to sell those shares without complying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240"/>
          </w:cols>
          <w:pgMar w:left="320" w:top="1440" w:right="339" w:bottom="1440" w:gutter="0" w:footer="0" w:header="0"/>
          <w:type w:val="continuous"/>
        </w:sectPr>
      </w:pPr>
    </w:p>
    <w:bookmarkStart w:id="238" w:name="page239"/>
    <w:bookmarkEnd w:id="238"/>
    <w:p>
      <w:pPr>
        <w:spacing w:after="0"/>
        <w:rPr>
          <w:sz w:val="20"/>
          <w:szCs w:val="20"/>
          <w:color w:val="auto"/>
        </w:rPr>
      </w:pPr>
      <w:r>
        <w:rPr>
          <w:rFonts w:ascii="Arial" w:cs="Arial" w:eastAsia="Arial" w:hAnsi="Arial"/>
          <w:sz w:val="18"/>
          <w:szCs w:val="18"/>
          <w:color w:val="auto"/>
        </w:rPr>
        <w:t>manner of sale, volume limitation or notice provisions of Rule 144, subject to compliance with the public information requirements of Rule</w:t>
      </w:r>
    </w:p>
    <w:p>
      <w:pPr>
        <w:spacing w:after="0" w:line="27" w:lineRule="exact"/>
        <w:rPr>
          <w:sz w:val="20"/>
          <w:szCs w:val="20"/>
          <w:color w:val="auto"/>
        </w:rPr>
      </w:pPr>
    </w:p>
    <w:p>
      <w:pPr>
        <w:jc w:val="both"/>
        <w:ind w:firstLine="8"/>
        <w:spacing w:after="0" w:line="250" w:lineRule="auto"/>
        <w:tabs>
          <w:tab w:leader="none" w:pos="412"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such a person has beneficially owned the shares proposed to be sold for at least one year, including the holding period of any prior owner other than our affiliates, then that person would be entitled to sell those shares without complying with any of the requirements of Rule</w:t>
      </w:r>
    </w:p>
    <w:p>
      <w:pPr>
        <w:spacing w:after="0"/>
        <w:tabs>
          <w:tab w:leader="none" w:pos="0" w:val="left"/>
        </w:tabs>
        <w:numPr>
          <w:ilvl w:val="0"/>
          <w:numId w:val="87"/>
        </w:numPr>
        <w:rPr>
          <w:rFonts w:ascii="Arial" w:cs="Arial" w:eastAsia="Arial" w:hAnsi="Arial"/>
          <w:sz w:val="18"/>
          <w:szCs w:val="18"/>
          <w:color w:val="auto"/>
        </w:rPr>
      </w:pPr>
    </w:p>
    <w:p>
      <w:pPr>
        <w:spacing w:after="0" w:line="15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general, under Rule 144, as currently in effect, our affiliates or persons selling shares of our Class A common stock on behalf of our affiliates are entitled to sell upon expiration of the lock-up agreements and market standoff provisions described above, within any three-month period, a number of shares that does not exceed the greater of:</w:t>
      </w:r>
    </w:p>
    <w:p>
      <w:pPr>
        <w:sectPr>
          <w:pgSz w:w="11900" w:h="16838" w:orient="portrait"/>
          <w:cols w:equalWidth="0" w:num="1">
            <w:col w:w="11240"/>
          </w:cols>
          <w:pgMar w:left="320" w:top="1417" w:right="339" w:bottom="1440" w:gutter="0" w:footer="0" w:header="0"/>
        </w:sectPr>
      </w:pP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80" w:hanging="4"/>
        <w:spacing w:after="0" w:line="287" w:lineRule="auto"/>
        <w:rPr>
          <w:sz w:val="20"/>
          <w:szCs w:val="20"/>
          <w:color w:val="auto"/>
        </w:rPr>
      </w:pPr>
      <w:r>
        <w:rPr>
          <w:rFonts w:ascii="Arial" w:cs="Arial" w:eastAsia="Arial" w:hAnsi="Arial"/>
          <w:sz w:val="18"/>
          <w:szCs w:val="18"/>
          <w:color w:val="auto"/>
        </w:rPr>
        <w:t>1% of the number of shares of our Class A common stock then outstanding, which will equal approximately immediately after this offering; and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shares</w:t>
      </w:r>
    </w:p>
    <w:p>
      <w:pPr>
        <w:spacing w:after="0" w:line="398" w:lineRule="exact"/>
        <w:rPr>
          <w:sz w:val="20"/>
          <w:szCs w:val="20"/>
          <w:color w:val="auto"/>
        </w:rPr>
      </w:pPr>
    </w:p>
    <w:p>
      <w:pPr>
        <w:sectPr>
          <w:pgSz w:w="11900" w:h="16838" w:orient="portrait"/>
          <w:cols w:equalWidth="0" w:num="3">
            <w:col w:w="400" w:space="260"/>
            <w:col w:w="9320" w:space="720"/>
            <w:col w:w="540"/>
          </w:cols>
          <w:pgMar w:left="320" w:top="1417" w:right="339" w:bottom="1440" w:gutter="0" w:footer="0" w:header="0"/>
          <w:type w:val="continuous"/>
        </w:sectPr>
      </w:pPr>
    </w:p>
    <w:p>
      <w:pPr>
        <w:ind w:left="660" w:hanging="328"/>
        <w:spacing w:after="0" w:line="28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during the four calendar weeks preceding the date of filing of a notice on Form 144 with respect to the sale.</w:t>
      </w:r>
    </w:p>
    <w:p>
      <w:pPr>
        <w:spacing w:after="0" w:line="9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Sales under Rule 144 by our affiliates or persons selling shares of our Class A common stock on behalf of our affiliates are also subject to certain manner of sale provisions and notice requirements and to the availability of current public information about us.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general, under Rule 701 a person who purchased shares of our capital stock pursuant to a written compensatory plan or contract and who is not deemed to have been one of our affiliates during the immediately preceding 90 days may sell these shares in reliance upon Rule 144, but without being required to comply with the notice, manner of sale or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effective date of this prospectus before selling such shares pursuant to Rule 701.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April 28, 2025, in connection with our conversion from a Delaware corporation to a Nevada corporation, we entered into the Investors’ Rights Agreement, pursuant to which certain holders of our redeemable convertible preferred stock and common stock are entitled to demand the registration of certain or all of our Class A common stock that such persons beneficially own or their convertible preferred stock is convertible into. See the section titled “Certain Relationships and Related Party Transactions—Investors’ Rights Agreement.”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on Form S-8</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intend to file a registration statement on Form S-8 under the Securities Act promptly after the completion of this offering to register shares of our common stock subject to options outstanding, as well as reserved for future issuance, under our equity compensation plans. The registration statement on Form S-8 is expected to become effective immediately upon filing, and shares covered by the registration statement will then become eligible for sale in the public market, subject to the Rule 144 limitations applicable to affiliates, vesting restrictions and any applicable market standoff provisions and lock-up agreements. See the sections titled “Executive Compensation—2025 Incentive Award Plan,” “—2018 Equity Incentive Plan,” and “—2025 Employee Stock Purchase Plan,” for a description of our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240"/>
          </w:cols>
          <w:pgMar w:left="320" w:top="1417" w:right="339" w:bottom="1440" w:gutter="0" w:footer="0" w:header="0"/>
          <w:type w:val="continuous"/>
        </w:sectPr>
      </w:pPr>
    </w:p>
    <w:bookmarkStart w:id="239" w:name="page240"/>
    <w:bookmarkEnd w:id="239"/>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any alternative minimum tax. In addition, it does not address consequences relevant to Non-U.S. Holders subject to special rules, including, without limitation:</w:t>
      </w:r>
    </w:p>
    <w:p>
      <w:pPr>
        <w:spacing w:after="0" w:line="125"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hedge, straddle, or other risk reduction strategy or as part of a conversion transaction or other integrated investment;</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employee stock option or otherwise as compensation;</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 and</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the stock being taken into account in an applicable financial statement.</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If an entity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240"/>
          </w:cols>
          <w:pgMar w:left="320" w:top="1440" w:right="33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color w:val="auto"/>
        </w:rPr>
        <w:t>partnerships holding our Class A common stock and the partners in such partnerships should consult their tax advisors regarding the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consequences to them.</w:t>
      </w:r>
    </w:p>
    <w:p>
      <w:pPr>
        <w:spacing w:after="0" w:line="15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a Non-U.S. Holder</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w:t>
      </w:r>
    </w:p>
    <w:p>
      <w:pPr>
        <w:spacing w:after="0" w:line="117"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described in the section 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2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240"/>
          </w:cols>
          <w:pgMar w:left="320" w:top="1417" w:right="339" w:bottom="1440" w:gutter="0" w:footer="0" w:header="0"/>
        </w:sectPr>
      </w:pPr>
    </w:p>
    <w:bookmarkStart w:id="241" w:name="page242"/>
    <w:bookmarkEnd w:id="241"/>
    <w:p>
      <w:pPr>
        <w:jc w:val="both"/>
        <w:spacing w:after="0" w:line="287" w:lineRule="auto"/>
        <w:rPr>
          <w:sz w:val="20"/>
          <w:szCs w:val="20"/>
          <w:color w:val="auto"/>
        </w:rPr>
      </w:pPr>
      <w:r>
        <w:rPr>
          <w:rFonts w:ascii="Arial" w:cs="Arial" w:eastAsia="Arial" w:hAnsi="Arial"/>
          <w:sz w:val="18"/>
          <w:szCs w:val="18"/>
          <w:color w:val="auto"/>
        </w:rPr>
        <w:t>Form W-8ECI, certifying that the dividends are effectively connected with the Non-U.S. Holder’s conduct of a trade or business within the United States.</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Taxable Disposition</w:t>
      </w:r>
    </w:p>
    <w:p>
      <w:pPr>
        <w:spacing w:after="0" w:line="171"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7"/>
          <w:szCs w:val="17"/>
          <w:color w:val="auto"/>
        </w:rPr>
        <w:t>Subject to the discussion below under “—Additional Withholding Tax on Payments Made to Foreign Accounts,” a Non-U.S. Holder will not be subject to U.S. federal income tax on any gain realized upon the sale or other taxable disposition of our Class A common stock unless:</w:t>
      </w:r>
    </w:p>
    <w:p>
      <w:pPr>
        <w:spacing w:after="0" w:line="76" w:lineRule="exact"/>
        <w:rPr>
          <w:sz w:val="20"/>
          <w:szCs w:val="20"/>
          <w:color w:val="auto"/>
        </w:rPr>
      </w:pPr>
    </w:p>
    <w:p>
      <w:pPr>
        <w:jc w:val="both"/>
        <w:ind w:left="660" w:hanging="328"/>
        <w:spacing w:after="0" w:line="268"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1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Class A common stock constitutes a U.S. real property interest (“USRPI”) by reason of our status as a U.S. real property holding corporation (“USRPHC”) for U.S. federal income tax purposes.</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gain, as adjusted for certain items.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3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Payments of dividends on our Class A common stock will not be subject to backup withholding, provided the applicable withholding agent does not have actual knowledge or reason to know the holder is a United States person and the holder either certifies its non-U.S. status, such as by furnishing a valid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240"/>
          </w:cols>
          <w:pgMar w:left="320" w:top="1417" w:right="339" w:bottom="1440" w:gutter="0" w:footer="0" w:header="0"/>
        </w:sectPr>
      </w:pPr>
    </w:p>
    <w:bookmarkStart w:id="242" w:name="page243"/>
    <w:bookmarkEnd w:id="242"/>
    <w:p>
      <w:pPr>
        <w:jc w:val="both"/>
        <w:spacing w:after="0" w:line="255" w:lineRule="auto"/>
        <w:rPr>
          <w:sz w:val="20"/>
          <w:szCs w:val="20"/>
          <w:color w:val="auto"/>
        </w:rPr>
      </w:pPr>
      <w:r>
        <w:rPr>
          <w:rFonts w:ascii="Arial" w:cs="Arial" w:eastAsia="Arial" w:hAnsi="Arial"/>
          <w:sz w:val="18"/>
          <w:szCs w:val="18"/>
          <w:color w:val="auto"/>
        </w:rPr>
        <w:t>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131"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9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3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our Class A common stock, proposed Treasury Regulations eliminate FATCA withholding on payments of gross proceeds entirely. Taxpayers generally may rely on these proposed Treasury Regulations until final Treasury Regulations are issued.</w:t>
      </w:r>
    </w:p>
    <w:p>
      <w:pPr>
        <w:spacing w:after="0" w:line="12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240"/>
          </w:cols>
          <w:pgMar w:left="320" w:top="1417" w:right="339" w:bottom="1440" w:gutter="0" w:footer="0" w:header="0"/>
        </w:sectPr>
      </w:pPr>
    </w:p>
    <w:bookmarkStart w:id="243" w:name="page244"/>
    <w:bookmarkEnd w:id="243"/>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 Subject to certain conditions, each underwriter has severally agreed to purchase the number of shares of Class A common stock indicated in the following table. Goldman Sachs &amp; Co. LLC, Jefferies LLC and BofA Securities, Inc. are the representatives of the underwriters.</w:t>
      </w:r>
    </w:p>
    <w:p>
      <w:pPr>
        <w:spacing w:after="0" w:line="167" w:lineRule="exact"/>
        <w:rPr>
          <w:sz w:val="20"/>
          <w:szCs w:val="20"/>
          <w:color w:val="auto"/>
        </w:rPr>
      </w:pPr>
    </w:p>
    <w:p>
      <w:pPr>
        <w:ind w:left="20"/>
        <w:spacing w:after="0"/>
        <w:tabs>
          <w:tab w:leader="none" w:pos="9820" w:val="left"/>
        </w:tabs>
        <w:rPr>
          <w:sz w:val="20"/>
          <w:szCs w:val="20"/>
          <w:color w:val="auto"/>
        </w:rPr>
      </w:pPr>
      <w:r>
        <w:rPr>
          <w:rFonts w:ascii="Arial" w:cs="Arial" w:eastAsia="Arial" w:hAnsi="Arial"/>
          <w:sz w:val="14"/>
          <w:szCs w:val="14"/>
          <w:b w:val="1"/>
          <w:bCs w:val="1"/>
          <w:color w:val="auto"/>
        </w:rPr>
        <w:t>Underwriters</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Goldman Sachs &amp; Co. LLC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17780</wp:posOffset>
            </wp:positionV>
            <wp:extent cx="9944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635</wp:posOffset>
            </wp:positionV>
            <wp:extent cx="9944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26035</wp:posOffset>
            </wp:positionV>
            <wp:extent cx="9944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7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have granted the underwriters an option to buy up to an additional shares of Class A common stock from us to cover sales by the underwriters of a greater number of shares than the total number set forth in the table above. They may exercise that option for 30 days from the date of this prospectus. If any shares are purchased pursuant to this option, the underwriters will severally purchase shares in approximately the same proportion as set forth in the table above.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00" w:type="dxa"/>
            <w:vAlign w:val="bottom"/>
            <w:gridSpan w:val="2"/>
          </w:tcPr>
          <w:p>
            <w:pPr>
              <w:spacing w:after="0"/>
              <w:rPr>
                <w:sz w:val="20"/>
                <w:szCs w:val="20"/>
                <w:color w:val="auto"/>
              </w:rPr>
            </w:pPr>
            <w:r>
              <w:rPr>
                <w:rFonts w:ascii="Arial" w:cs="Arial" w:eastAsia="Arial" w:hAnsi="Arial"/>
                <w:sz w:val="18"/>
                <w:szCs w:val="18"/>
                <w:color w:val="auto"/>
              </w:rPr>
              <w:t>amounts are shown assuming both no exercise and full exercise of the underwriters’ option to purchase</w:t>
            </w:r>
          </w:p>
        </w:tc>
        <w:tc>
          <w:tcPr>
            <w:tcW w:w="2940" w:type="dxa"/>
            <w:vAlign w:val="bottom"/>
            <w:gridSpan w:val="3"/>
          </w:tcPr>
          <w:p>
            <w:pPr>
              <w:jc w:val="right"/>
              <w:ind w:right="616"/>
              <w:spacing w:after="0"/>
              <w:rPr>
                <w:sz w:val="20"/>
                <w:szCs w:val="20"/>
                <w:color w:val="auto"/>
              </w:rPr>
            </w:pPr>
            <w:r>
              <w:rPr>
                <w:rFonts w:ascii="Arial" w:cs="Arial" w:eastAsia="Arial" w:hAnsi="Arial"/>
                <w:sz w:val="18"/>
                <w:szCs w:val="18"/>
                <w:color w:val="auto"/>
              </w:rPr>
              <w:t>additional shares.</w:t>
            </w:r>
          </w:p>
        </w:tc>
      </w:tr>
      <w:tr>
        <w:trPr>
          <w:trHeight w:val="409"/>
        </w:trPr>
        <w:tc>
          <w:tcPr>
            <w:tcW w:w="8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No Exercise</w:t>
            </w:r>
          </w:p>
        </w:tc>
        <w:tc>
          <w:tcPr>
            <w:tcW w:w="1560" w:type="dxa"/>
            <w:vAlign w:val="bottom"/>
          </w:tcPr>
          <w:p>
            <w:pPr>
              <w:jc w:val="right"/>
              <w:ind w:right="256"/>
              <w:spacing w:after="0"/>
              <w:rPr>
                <w:sz w:val="20"/>
                <w:szCs w:val="20"/>
                <w:color w:val="auto"/>
              </w:rPr>
            </w:pPr>
            <w:r>
              <w:rPr>
                <w:rFonts w:ascii="Arial" w:cs="Arial" w:eastAsia="Arial" w:hAnsi="Arial"/>
                <w:sz w:val="14"/>
                <w:szCs w:val="14"/>
                <w:b w:val="1"/>
                <w:bCs w:val="1"/>
                <w:color w:val="auto"/>
              </w:rPr>
              <w:t>Full Exercise</w:t>
            </w: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356"/>
              <w:spacing w:after="0"/>
              <w:rPr>
                <w:sz w:val="20"/>
                <w:szCs w:val="20"/>
                <w:color w:val="auto"/>
              </w:rPr>
            </w:pPr>
            <w:r>
              <w:rPr>
                <w:rFonts w:ascii="Arial" w:cs="Arial" w:eastAsia="Arial" w:hAnsi="Arial"/>
                <w:sz w:val="18"/>
                <w:szCs w:val="18"/>
                <w:color w:val="auto"/>
                <w:w w:val="99"/>
              </w:rPr>
              <w:t>$</w:t>
            </w:r>
          </w:p>
        </w:tc>
      </w:tr>
      <w:tr>
        <w:trPr>
          <w:trHeight w:val="239"/>
        </w:trPr>
        <w:tc>
          <w:tcPr>
            <w:tcW w:w="8020" w:type="dxa"/>
            <w:vAlign w:val="bottom"/>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1356"/>
              <w:spacing w:after="0"/>
              <w:rPr>
                <w:sz w:val="20"/>
                <w:szCs w:val="20"/>
                <w:color w:val="auto"/>
              </w:rPr>
            </w:pPr>
            <w:r>
              <w:rPr>
                <w:rFonts w:ascii="Arial" w:cs="Arial" w:eastAsia="Arial" w:hAnsi="Arial"/>
                <w:sz w:val="18"/>
                <w:szCs w:val="18"/>
                <w:color w:val="auto"/>
                <w:w w:val="99"/>
              </w:rPr>
              <w:t>$</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page of this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this offering, there has been no public market for the shares of our Class A common stock. The initial public offering price has been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25" w:lineRule="exact"/>
        <w:rPr>
          <w:sz w:val="20"/>
          <w:szCs w:val="20"/>
          <w:color w:val="auto"/>
        </w:rPr>
      </w:pPr>
    </w:p>
    <w:p>
      <w:pPr>
        <w:ind w:left="340"/>
        <w:spacing w:after="0"/>
        <w:tabs>
          <w:tab w:leader="none" w:pos="5500" w:val="left"/>
        </w:tabs>
        <w:rPr>
          <w:sz w:val="20"/>
          <w:szCs w:val="20"/>
          <w:color w:val="auto"/>
        </w:rPr>
      </w:pPr>
      <w:r>
        <w:rPr>
          <w:rFonts w:ascii="Arial" w:cs="Arial" w:eastAsia="Arial" w:hAnsi="Arial"/>
          <w:sz w:val="18"/>
          <w:szCs w:val="18"/>
          <w:color w:val="auto"/>
        </w:rPr>
        <w:t>We intend to apply to list our Class A common stock on</w:t>
      </w:r>
      <w:r>
        <w:rPr>
          <w:sz w:val="20"/>
          <w:szCs w:val="20"/>
          <w:color w:val="auto"/>
        </w:rPr>
        <w:tab/>
      </w:r>
      <w:r>
        <w:rPr>
          <w:rFonts w:ascii="Arial" w:cs="Arial" w:eastAsia="Arial" w:hAnsi="Arial"/>
          <w:sz w:val="18"/>
          <w:szCs w:val="18"/>
          <w:color w:val="auto"/>
        </w:rPr>
        <w:t>under the symbol “FIGR.”</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this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this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240"/>
          </w:cols>
          <w:pgMar w:left="320" w:top="1440" w:right="339" w:bottom="1440" w:gutter="0" w:footer="0" w:header="0"/>
        </w:sectPr>
      </w:pPr>
    </w:p>
    <w:bookmarkStart w:id="244" w:name="page245"/>
    <w:bookmarkEnd w:id="244"/>
    <w:p>
      <w:pPr>
        <w:jc w:val="both"/>
        <w:spacing w:after="0" w:line="255" w:lineRule="auto"/>
        <w:rPr>
          <w:sz w:val="20"/>
          <w:szCs w:val="20"/>
          <w:color w:val="auto"/>
        </w:rPr>
      </w:pPr>
      <w:r>
        <w:rPr>
          <w:rFonts w:ascii="Arial" w:cs="Arial" w:eastAsia="Arial" w:hAnsi="Arial"/>
          <w:sz w:val="18"/>
          <w:szCs w:val="18"/>
          <w:color w:val="auto"/>
        </w:rPr>
        <w:t>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Stabilizing transactions consist of various bids for or purchases of Class A common stock made by the underwriters in the open market prior to the completion of this offering.</w:t>
      </w:r>
    </w:p>
    <w:p>
      <w:pPr>
        <w:spacing w:after="0" w:line="12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these activities and may end any of these activities at any time. These transactions may be effected on , in the over-the-counter market or otherwise.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estimate that our share of the total expenses of this offering, excluding underwriting discounts and commissions, will be</w:t>
      </w:r>
    </w:p>
    <w:p>
      <w:pPr>
        <w:spacing w:after="0" w:line="2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approximately $ . We have also agreed to reimburse the underwriters for certain expenses, including those related to FINRA, incurred by them in connection with this offering in an amount not to exceed $ .</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agreed with the underwriters, subject to certain exceptions detailed below, that, for a period of days after the date of this prospectus (the “restricted period”), we will not: (i) offer, sell, pledge, grant any option to purchase, make any short sale or otherwise transfer or dispose of, directly or indirectly, or publicly file with the SEC a registration statement under the Securities Act relating to, any securities of the company that are substantially similar to the shares of Class A common stock or Class B common stock, including but not limited to any options or warrants to purchase shares of such common stock or any securities that are convertible into or exchangeable for, or that represent the right to receive, shares of such common stock or any such substantially similar securities, or (ii) enter into any swap or other agreement that transfers, in whole or in part, any of the economic consequences of ownership of shares of Class A common stock, Class B common stock, or any such other securities, or (iii) otherwise publicly announce any intention to engage in any of the foregoing, whether any such transaction described in clause (i) or (ii) above is to be settled by delivery of our Class A common stock, Class B common stock, or such other securities, in cash or otherwise (other than the shares being offered or pursuant to employee stock option plans existing on, or upon the conversion or exchange of convertible or exchangeable securities outstanding as of, the date of this prospectus), without the</w:t>
      </w:r>
    </w:p>
    <w:p>
      <w:pPr>
        <w:spacing w:after="0" w:line="3"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color w:val="auto"/>
        </w:rPr>
        <w:t>prior written consent of</w:t>
      </w:r>
      <w:r>
        <w:rPr>
          <w:sz w:val="20"/>
          <w:szCs w:val="20"/>
          <w:color w:val="auto"/>
        </w:rPr>
        <w:tab/>
      </w:r>
      <w:r>
        <w:rPr>
          <w:rFonts w:ascii="Arial" w:cs="Arial" w:eastAsia="Arial" w:hAnsi="Arial"/>
          <w:sz w:val="13"/>
          <w:szCs w:val="13"/>
          <w:color w:val="auto"/>
        </w:rPr>
        <w:t>.</w:t>
      </w:r>
    </w:p>
    <w:p>
      <w:pPr>
        <w:sectPr>
          <w:pgSz w:w="11900" w:h="16838" w:orient="portrait"/>
          <w:cols w:equalWidth="0" w:num="1">
            <w:col w:w="11240"/>
          </w:cols>
          <w:pgMar w:left="320" w:top="1417" w:right="339" w:bottom="1440" w:gutter="0" w:footer="0" w:header="0"/>
        </w:sectPr>
      </w:pPr>
    </w:p>
    <w:p>
      <w:pPr>
        <w:spacing w:after="0" w:line="15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restrictions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described</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preceding</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paragraphs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applicable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subject</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specified</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exceptions,</w:t>
      </w:r>
    </w:p>
    <w:p>
      <w:pPr>
        <w:spacing w:after="0" w:line="32" w:lineRule="exact"/>
        <w:rPr>
          <w:sz w:val="20"/>
          <w:szCs w:val="20"/>
          <w:color w:val="auto"/>
        </w:rPr>
      </w:pPr>
    </w:p>
    <w:p>
      <w:pPr>
        <w:sectPr>
          <w:pgSz w:w="11900" w:h="16838" w:orient="portrait"/>
          <w:cols w:equalWidth="0" w:num="15">
            <w:col w:w="640" w:space="220"/>
            <w:col w:w="880" w:space="220"/>
            <w:col w:w="780" w:space="220"/>
            <w:col w:w="140" w:space="220"/>
            <w:col w:w="240" w:space="240"/>
            <w:col w:w="780" w:space="220"/>
            <w:col w:w="920" w:space="220"/>
            <w:col w:w="800" w:space="220"/>
            <w:col w:w="160" w:space="220"/>
            <w:col w:w="180" w:space="220"/>
            <w:col w:w="260" w:space="240"/>
            <w:col w:w="560" w:space="220"/>
            <w:col w:w="160" w:space="220"/>
            <w:col w:w="700" w:space="220"/>
            <w:col w:w="920"/>
          </w:cols>
          <w:pgMar w:left="320" w:top="1417" w:right="339" w:bottom="1440" w:gutter="0" w:footer="0" w:header="0"/>
          <w:type w:val="continuous"/>
        </w:sectPr>
      </w:pPr>
    </w:p>
    <w:p>
      <w:pPr>
        <w:spacing w:after="0"/>
        <w:rPr>
          <w:sz w:val="20"/>
          <w:szCs w:val="20"/>
          <w:color w:val="auto"/>
        </w:rPr>
      </w:pPr>
      <w:r>
        <w:rPr>
          <w:rFonts w:ascii="Arial" w:cs="Arial" w:eastAsia="Arial" w:hAnsi="Arial"/>
          <w:sz w:val="17"/>
          <w:szCs w:val="17"/>
          <w:color w:val="auto"/>
        </w:rPr>
        <w:t>including: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t>
      </w:r>
    </w:p>
    <w:p>
      <w:pPr>
        <w:spacing w:after="0" w:line="205" w:lineRule="exact"/>
        <w:rPr>
          <w:sz w:val="20"/>
          <w:szCs w:val="20"/>
          <w:color w:val="auto"/>
        </w:rPr>
      </w:pPr>
    </w:p>
    <w:p>
      <w:pPr>
        <w:sectPr>
          <w:pgSz w:w="11900" w:h="16838" w:orient="portrait"/>
          <w:cols w:equalWidth="0" w:num="2">
            <w:col w:w="1800" w:space="720"/>
            <w:col w:w="8720"/>
          </w:cols>
          <w:pgMar w:left="320" w:top="1417" w:right="339" w:bottom="1440" w:gutter="0" w:footer="0" w:header="0"/>
          <w:type w:val="continuous"/>
        </w:sectPr>
      </w:pPr>
    </w:p>
    <w:p>
      <w:pPr>
        <w:ind w:firstLine="324"/>
        <w:spacing w:after="0" w:line="287" w:lineRule="auto"/>
        <w:rPr>
          <w:sz w:val="20"/>
          <w:szCs w:val="20"/>
          <w:color w:val="auto"/>
        </w:rPr>
      </w:pPr>
      <w:r>
        <w:rPr>
          <w:rFonts w:ascii="Arial" w:cs="Arial" w:eastAsia="Arial" w:hAnsi="Arial"/>
          <w:sz w:val="18"/>
          <w:szCs w:val="18"/>
          <w:color w:val="auto"/>
        </w:rPr>
        <w:t>Our executive officers and directors and holders of substantially all of our Class A common stock (such persons, the “lock-up parties”) have entered into lock-up agreements with the underwriters,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240"/>
          </w:cols>
          <w:pgMar w:left="320" w:top="1417" w:right="339" w:bottom="1440" w:gutter="0" w:footer="0" w:header="0"/>
          <w:type w:val="continuous"/>
        </w:sectPr>
      </w:pPr>
    </w:p>
    <w:bookmarkStart w:id="245" w:name="page246"/>
    <w:bookmarkEnd w:id="245"/>
    <w:p>
      <w:pPr>
        <w:spacing w:after="0"/>
        <w:rPr>
          <w:sz w:val="20"/>
          <w:szCs w:val="20"/>
          <w:color w:val="auto"/>
        </w:rPr>
      </w:pPr>
      <w:r>
        <w:rPr>
          <w:rFonts w:ascii="Arial" w:cs="Arial" w:eastAsia="Arial" w:hAnsi="Arial"/>
          <w:sz w:val="18"/>
          <w:szCs w:val="18"/>
          <w:color w:val="auto"/>
        </w:rPr>
        <w:t>to certain exceptions, pursuant to which each lock-up party, for the duration of the restricted period, may not (and may not cause any of their</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direct or indirect affiliates to), without the prior written consent of : (i) offer, sell, contract to sell, pledge, grant any option to purchase, lend or otherwise dispose of any shares of Class A common stock Class B common stock, or any options or warrants to purchase any shares of such common stock, or any securities convertible into, exchangeable for or that represent the right to receive shares of such common stock (we refer to such options, warrants or other securities, collectively, as derivative instruments),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or transfer of any of the economic consequences of ownership, in whole or in part, directly or indirectly, of any shares of Class A common stock or derivative instruments, whether any such transaction or arrangement (or instrument provided for thereunder) would be settled by delivery of such Class A common stock or other securities, in cash or otherwise or (iii) otherwise publicly announce any intention to engage in or cause any action or activity described in clause (i) above or transaction or arrangement described in clause (ii) above.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restrictions described in the preceding paragraphs applicable to us are subject to specified exceptions, including: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section titled “Shares Eligible for Future Sale” for a discussion of certain transfer restrictions.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example, certain of the underwriters and their affiliates have engaged, and may in the future engage, in investment banking, commercial banking and other financial advisory and commercial dealings with us and our affiliates. They have received, or may in the future receive, customary fees and commissions for these transactions. Goldman Sachs Bank USA, which is an affiliate of Goldman Sachs &amp; Co. LLC, serves as repo agent and buyer under our master repurchase agreement, dated as of February 27, 2023, by and between Goldman Sachs Bank USA, as repo agent and buyer, and Figure Lending Borrower I, LLC, as seller, as amended from time to time. Further, Jefferies Funding LLC, which is an affiliate of Jefferies LLC, serves as the buyer under our master repurchase agreement, dated as of November 22, 2022, by and between Jefferies Funding LLC, as buyer, and FL LLC, as seller, as amended from time to time. Additionally, Goldman Sachs &amp; Co. LLC and Jefferies LLC have acted, and may continue to act, as joint bookrunners in the offerings of asset-backed securities issued by our securitization VIEs from time to time.</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240"/>
          </w:cols>
          <w:pgMar w:left="320" w:top="1417" w:right="339" w:bottom="1440" w:gutter="0" w:footer="0" w:header="0"/>
        </w:sectPr>
      </w:pPr>
    </w:p>
    <w:bookmarkStart w:id="246" w:name="page247"/>
    <w:bookmarkEnd w:id="246"/>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relation to each Member State of the European Economic Area (each, a “Member State”), no securities have been offered or will be offered pursuant to the offering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125"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or</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provided that no such offer of shares shall require us or any representative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has been obtained to each such proposed offer or resale.</w:t>
      </w:r>
    </w:p>
    <w:p>
      <w:pPr>
        <w:spacing w:after="0" w:line="12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For the purposes of this provision, the expression an “offer of shares”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 shares of Class A common stock have been offered or will be offered pursuant to this offering to the public in the United Kingdom prior to the publication of a prospectus in relation to the shares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shares may be made to the public in the United Kingdom at any time under the following exemptions under the UK Prospectus Regulation:</w:t>
      </w:r>
    </w:p>
    <w:p>
      <w:pPr>
        <w:spacing w:after="0" w:line="125"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Article 2 of the UK Prospectus Regulation;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Article 2 of the UK Prospectus Regulation);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(“FSMA”);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240"/>
          </w:cols>
          <w:pgMar w:left="320" w:top="1440" w:right="339" w:bottom="1440" w:gutter="0" w:footer="0" w:header="0"/>
        </w:sectPr>
      </w:pPr>
    </w:p>
    <w:bookmarkStart w:id="247" w:name="page248"/>
    <w:bookmarkEnd w:id="247"/>
    <w:p>
      <w:pPr>
        <w:jc w:val="both"/>
        <w:ind w:firstLine="324"/>
        <w:spacing w:after="0" w:line="287" w:lineRule="auto"/>
        <w:rPr>
          <w:sz w:val="20"/>
          <w:szCs w:val="20"/>
          <w:color w:val="auto"/>
        </w:rPr>
      </w:pPr>
      <w:r>
        <w:rPr>
          <w:rFonts w:ascii="Arial" w:cs="Arial" w:eastAsia="Arial" w:hAnsi="Arial"/>
          <w:sz w:val="18"/>
          <w:szCs w:val="18"/>
          <w:color w:val="auto"/>
        </w:rPr>
        <w:t>provided that no such offer of shares shall require us or any representative to publish a prospectus pursuant to section 85 of the FSMA or supplement a prospectus pursuant to Article 23 of the UK Prospectus Regulation.</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have not authorized and do not authorize the making of any offer of shares through any financial intermediary on their behalf, other than offers made by the underwriters with a view to the final placement of the shares as contemplated in this prospectus. Accordingly, no purchaser of the shares, other than the underwriters, is authorized to make any further offer of the shares on behalf of us or the underwriters.</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Article 2 of the UK Prospectus Regulation) (i) who have professional experience in matters relating to investments falling within Article 19(5) of the Financial Services and Markets Act 2000 (Financial Promotion) Order 2005, as amended (the “Order”) 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1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Israel</w:t>
      </w:r>
    </w:p>
    <w:p>
      <w:pPr>
        <w:spacing w:after="0" w:line="1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document does not constitute a prospectus under the Israeli Securities Law, 5728-1968, or the Securities Law, and has not been filed with or approved by the Israel Securities Authority. In Israel, this registration statement is being distributed only to, and is directed only at, and any offer of the shares of Class A common stock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Australia</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prospectus:</w:t>
      </w:r>
    </w:p>
    <w:p>
      <w:pPr>
        <w:spacing w:after="0" w:line="171" w:lineRule="exact"/>
        <w:rPr>
          <w:sz w:val="20"/>
          <w:szCs w:val="20"/>
          <w:color w:val="auto"/>
        </w:rPr>
      </w:pPr>
    </w:p>
    <w:p>
      <w:pPr>
        <w:ind w:left="660" w:hanging="328"/>
        <w:spacing w:after="0" w:line="287"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(the “Corporations Act”);</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240"/>
          </w:cols>
          <w:pgMar w:left="320" w:top="1417" w:right="339" w:bottom="1440" w:gutter="0" w:footer="0" w:header="0"/>
        </w:sectPr>
      </w:pPr>
    </w:p>
    <w:bookmarkStart w:id="248" w:name="page249"/>
    <w:bookmarkEnd w:id="248"/>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include the information required of a disclosure document for the purposes of the Corporations Act; and</w:t>
      </w:r>
    </w:p>
    <w:p>
      <w:pPr>
        <w:spacing w:after="0" w:line="171" w:lineRule="exact"/>
        <w:rPr>
          <w:sz w:val="20"/>
          <w:szCs w:val="20"/>
          <w:color w:val="auto"/>
        </w:rPr>
      </w:pPr>
    </w:p>
    <w:p>
      <w:pPr>
        <w:ind w:left="660" w:right="20" w:hanging="328"/>
        <w:spacing w:after="0" w:line="287"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shares of Class A common stock may not be directly or indirectly offered for subscription or purchased or sold, and no invitations to subscribe for or buy the shares of Class A common stock may be issued, and no draft or definitive offering memorandum, advertisement or other offering material relating to any shares of Class A common stock may be distributed in Australia, except where disclosure to investors is not required under Chapter 6D of the Corporations Act or is otherwise in compliance with all applicable Australian laws and regulations. By submitting an application for the shares of Class A common stock, you represent and warrant to us that you are an Exempt Investor.</w:t>
      </w:r>
    </w:p>
    <w:p>
      <w:pPr>
        <w:spacing w:after="0" w:line="1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any offer of shares of Class A common stock under this prospectus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Class A common stock you undertake to us that you will not, for a period of 12 months from the date of issue of the shares of Class A common stock, offer, transfer, assign or otherwise alienate those shares of Class A common stock to investors in Australia except in circumstances where disclosure to investors is not required under Chapter 6D.2 of the Corporations Act or where a compliant disclosure document is prepared and lodged with ASIC.</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Brazil</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offer and sale of the shares of Class A common stock have not been and will not be registered with the Brazilian Securities Commission (Comissão de Valores Mobiliários, or "CVM") and, therefore, will not be carried out by any means that would constitute a public offering in Brazil under CVM Resolution No.160, dated July 13, 2022, as amended (the "CVM Resolution") or an unauthorized distribution under Brazilian laws and regulations. The shares of Class A common stock may only be offered to Brazilian "professional investors" (as defined by applicable CVM regulation), who may only acquire the shares of Class A common stock through a non-Brazilian account, with settlement outside Brazil in non-Brazilian currency. The trading of the shares of Class A common stock on regulated securities markets in Brazil is prohibited.</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Canada</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shares of Class A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details of these rights or consult with a legal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240"/>
          </w:cols>
          <w:pgMar w:left="320" w:top="1440" w:right="339" w:bottom="1440" w:gutter="0" w:footer="0" w:header="0"/>
        </w:sectPr>
      </w:pPr>
    </w:p>
    <w:bookmarkStart w:id="249" w:name="page250"/>
    <w:bookmarkEnd w:id="249"/>
    <w:p>
      <w:pPr>
        <w:jc w:val="both"/>
        <w:ind w:firstLine="324"/>
        <w:spacing w:after="0" w:line="28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DFSA has no responsibility for reviewing or verifying any documents in connection with Exempt Offers. The DFSA has not approved this prospectus nor taken steps to verify the information set forth herein and has no responsibility for the prospectus. The shares of our Class A common stock to which this prospectus relates may be illiquid or subject to restrictions on their resale. Prospective purchasers of the shares offered should conduct their own due diligence on the shares. If you do not understand the contents of this prospectus, then you should consult an authorized financial advisor.</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Hong Kong</w:t>
      </w:r>
    </w:p>
    <w:p>
      <w:pPr>
        <w:spacing w:after="0" w:line="1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shares of Class A common stock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of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of Class A common stock which are or are intended to be disposed of only to persons outside Hong Kong or only to “professional investors” in Hong Kong as defined in the Securities and Futures Ordinance and any rules made thereunder.</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Japan</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 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For Qualified Institutional Investors (“QII”)</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240"/>
          </w:cols>
          <w:pgMar w:left="320" w:top="1417" w:right="339" w:bottom="1440" w:gutter="0" w:footer="0" w:header="0"/>
        </w:sectPr>
      </w:pPr>
    </w:p>
    <w:bookmarkStart w:id="250" w:name="page251"/>
    <w:bookmarkEnd w:id="250"/>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For Non-QII Investors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Singapore</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Where the shares of Class A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of Class A common stock under Section 275 of the SFA except: (i) to an institutional investor under Section 274 of the SFA or to a relevant person (as defined in Section 275(2) of the SFA), (ii) where such transfer arises from an offer in that corporation’s securities pursuant to Section 275(1A) of the SFA, (iii) where no consideration is or will be given for the transfer, (iv) where the transfer is by operation of law, (v) as specified in Section 276(7) of the SFA or (vi) as specified in Regulation 32 of the Securities and Futures (Offers of Investments) (Shares and Debentures) Regulations 2005 of Singapore (“Regulation 32”).</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Where the shares of Class A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(i) to an institutional investor under Section 274 of the SFA or to a relevant person (as defined in Section 275(2) of the SFA), (ii)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(iii) where no consideration is or will be given for the transfer, (iv) where the transfer is by operation of law, (v) as specified in Section 276(7) of the SFA or (vi) as specified in Regulation 32.</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Singapore SFA Product Classification – In connection with Section 309B of the SFA and the Securities and Future (Capital Markets Products) Regulations 2018 (the “CMP Regulations”), we have determined, and hereby notify all relevant persons (as defined in the CMP Regulations) that the shares of Class A common stock are “prescribed capital markets products” (as defined in the CMP Regulations) and Excluded Investment Products (as defined in MAS Notice SFA 04-N12: Notice on the Sale of Investment Products and MAS Notice FAA-N16: Notice on Recommendations on Investment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Switzerland</w:t>
      </w:r>
    </w:p>
    <w:p>
      <w:pPr>
        <w:spacing w:after="0" w:line="1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prospectus is not intended to constitute an offer or solicitation to purchase or invest in the shares of Class A common stock. The shares of Class A common stock may not be publicly offered, directly or indirectly, in Switzerland within the meaning of the Swiss Financial Services Act (“FinSA”) and will not be listed on the SIX Swiss Exchange (“SIX”) or on any other stock exchange or regulated trading venue (exchange or multilateral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venue (exchange or multilateral trading facility) in Switzerland. Neither this document nor any other offering or marketing material relating to the shares of Class A common stock constitutes a prospectus pursuant to the FinSA, and neither this document nor any other offering or marketing material relating to the shares of Class A common stock or this offering may be publicly distributed or otherwise made publicly available in Switzerland.</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this offering, us, or the shares of Class A common stock have been or will be filed with or approved by any Swiss regulatory authority. In particular, this document will not be filed with, and the offer of shares of Class A common stock will not be supervised by, the Swiss Financial Market Supervisory Authority (FINMA), and the offer of shares of Class A common stock has not been and will not be authorized under the Swiss Federal Act on Collective Investment Schemes (“CISA”). The investor protection afforded to acquirers of interests in collective investment schemes under the CISA does not extend to acquirers of shares of Class A common stock.</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shares of Class A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validity of the shares of Class A common stock offered hereby will be passed upon for us by Brownstein Hyatt Farber Schreck, LLP, Las Vegas, Nevada. Certain matters of U.S. federal and New York State law will be passed upon for us by Latham &amp; Watkins LLP, and for the underwriters by Davis Polk &amp; Wardwell LLP, New York, New York.</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consolidated financial statements included in this prospectus have been audited by KPMG LLP, an independent registered public accounting firm, as stated in their reports appearing herein. Such consolidated financial statements as of December 31, 2024 and 2023 and for each year in the two-year period ended December 31, 2024 are included in reliance upon the reports of such firm upon their authority as experts in accounting and auditing.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We have filed with the SEC a registration statement on Form S-1 under the Securities Act with respect to the shares of our Class A common stock offered by this prospectus. This prospectus constitutes only a part of the registration statement. Some items are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document referred to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reports, proxy and information statements, and other information about issuers, like us, that file electronically with the SEC.</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Immediately upon the effectiveness of the registration statement of which this prospectus forms a part, we will become subject to the information and reporting requirements of the Exchange Act and, in accordance with this law, will file periodic reports, proxy statements, and other information with the SEC. We also maintain a website at https://www.figure.com/. Upon the effectiveness of the registration statement of which this prospectus forms a part, you may access these materials free of charge as soon as reasonably practicable after they are electronically filed with, or furnished to, the SEC. Information contained on our website is not a part of or incorporated by reference into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COMBINED CONSOLIDATED FINANCIAL STATEMENTS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360" w:type="dxa"/>
            <w:vAlign w:val="bottom"/>
            <w:gridSpan w:val="24"/>
            <w:vMerge w:val="restart"/>
          </w:tcPr>
          <w:p>
            <w:pPr>
              <w:spacing w:after="0"/>
              <w:rPr>
                <w:sz w:val="20"/>
                <w:szCs w:val="20"/>
                <w:color w:val="auto"/>
              </w:rPr>
            </w:pPr>
            <w:r>
              <w:rPr>
                <w:rFonts w:ascii="Arial" w:cs="Arial" w:eastAsia="Arial" w:hAnsi="Arial"/>
                <w:sz w:val="18"/>
                <w:szCs w:val="18"/>
                <w:b w:val="1"/>
                <w:bCs w:val="1"/>
                <w:color w:val="auto"/>
              </w:rPr>
              <w:t>Unaudited Condensed Combined Consolidated Financial Statements of FT Intermediate, Inc. and Figure Markets</w:t>
            </w:r>
          </w:p>
        </w:tc>
        <w:tc>
          <w:tcPr>
            <w:tcW w:w="86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7"/>
        </w:trPr>
        <w:tc>
          <w:tcPr>
            <w:tcW w:w="10360" w:type="dxa"/>
            <w:vAlign w:val="bottom"/>
            <w:gridSpan w:val="24"/>
            <w:vMerge w:val="continue"/>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10360" w:type="dxa"/>
            <w:vAlign w:val="bottom"/>
            <w:gridSpan w:val="24"/>
          </w:tcPr>
          <w:p>
            <w:pPr>
              <w:spacing w:after="0"/>
              <w:rPr>
                <w:sz w:val="20"/>
                <w:szCs w:val="20"/>
                <w:color w:val="auto"/>
              </w:rPr>
            </w:pPr>
            <w:r>
              <w:rPr>
                <w:rFonts w:ascii="Arial" w:cs="Arial" w:eastAsia="Arial" w:hAnsi="Arial"/>
                <w:sz w:val="18"/>
                <w:szCs w:val="18"/>
                <w:b w:val="1"/>
                <w:bCs w:val="1"/>
                <w:color w:val="auto"/>
              </w:rPr>
              <w:t>Holdings, Inc. and their Subsidiaries as of and for the three months ended March 31, 2025 and 2024</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0360" w:type="dxa"/>
            <w:vAlign w:val="bottom"/>
            <w:gridSpan w:val="24"/>
          </w:tcPr>
          <w:p>
            <w:pPr>
              <w:spacing w:after="0" w:line="195" w:lineRule="exact"/>
              <w:rPr>
                <w:sz w:val="20"/>
                <w:szCs w:val="20"/>
                <w:color w:val="auto"/>
              </w:rPr>
            </w:pPr>
            <w:r>
              <w:rPr>
                <w:rFonts w:ascii="Arial" w:cs="Arial" w:eastAsia="Arial" w:hAnsi="Arial"/>
                <w:sz w:val="18"/>
                <w:szCs w:val="18"/>
                <w:color w:val="0000FF"/>
              </w:rPr>
              <w:t>Condensed Combined Consolidated Balance Sheets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gridSpan w:val="3"/>
          </w:tcPr>
          <w:p>
            <w:pPr>
              <w:jc w:val="right"/>
              <w:ind w:right="20"/>
              <w:spacing w:after="0" w:line="195" w:lineRule="exact"/>
              <w:rPr>
                <w:sz w:val="20"/>
                <w:szCs w:val="20"/>
                <w:color w:val="auto"/>
              </w:rPr>
            </w:pPr>
            <w:r>
              <w:rPr>
                <w:rFonts w:ascii="Arial" w:cs="Arial" w:eastAsia="Arial" w:hAnsi="Arial"/>
                <w:sz w:val="18"/>
                <w:szCs w:val="18"/>
                <w:color w:val="0000FF"/>
              </w:rPr>
              <w:t>F-2</w:t>
            </w: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4"/>
          </w:tcPr>
          <w:p>
            <w:pPr>
              <w:spacing w:after="0"/>
              <w:rPr>
                <w:sz w:val="20"/>
                <w:szCs w:val="20"/>
                <w:color w:val="auto"/>
              </w:rPr>
            </w:pPr>
            <w:r>
              <w:rPr>
                <w:rFonts w:ascii="Arial" w:cs="Arial" w:eastAsia="Arial" w:hAnsi="Arial"/>
                <w:sz w:val="18"/>
                <w:szCs w:val="18"/>
                <w:color w:val="0000FF"/>
              </w:rPr>
              <w:t>Condensed Combined Consolidated Statements of Operations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0000FF"/>
              </w:rPr>
              <w:t>F-3</w:t>
            </w: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23"/>
          </w:tcPr>
          <w:p>
            <w:pPr>
              <w:spacing w:after="0"/>
              <w:rPr>
                <w:sz w:val="20"/>
                <w:szCs w:val="20"/>
                <w:color w:val="auto"/>
              </w:rPr>
            </w:pPr>
            <w:r>
              <w:rPr>
                <w:rFonts w:ascii="Arial" w:cs="Arial" w:eastAsia="Arial" w:hAnsi="Arial"/>
                <w:sz w:val="18"/>
                <w:szCs w:val="18"/>
                <w:color w:val="0000FF"/>
                <w:w w:val="99"/>
              </w:rPr>
              <w:t>Condensed Combined Consolidated Statements of Stockholders’ Equity</w:t>
            </w:r>
          </w:p>
        </w:tc>
        <w:tc>
          <w:tcPr>
            <w:tcW w:w="4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0000FF"/>
              </w:rPr>
              <w:t>F-4</w:t>
            </w: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gridSpan w:val="23"/>
          </w:tcPr>
          <w:p>
            <w:pPr>
              <w:spacing w:after="0"/>
              <w:rPr>
                <w:sz w:val="20"/>
                <w:szCs w:val="20"/>
                <w:color w:val="auto"/>
              </w:rPr>
            </w:pPr>
            <w:r>
              <w:rPr>
                <w:rFonts w:ascii="Arial" w:cs="Arial" w:eastAsia="Arial" w:hAnsi="Arial"/>
                <w:sz w:val="18"/>
                <w:szCs w:val="18"/>
                <w:color w:val="0000FF"/>
              </w:rPr>
              <w:t>Condensed Combined Consolidated Statements of Cash Flows</w:t>
            </w:r>
          </w:p>
        </w:tc>
        <w:tc>
          <w:tcPr>
            <w:tcW w:w="4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0000FF"/>
              </w:rPr>
              <w:t>F-6</w:t>
            </w: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4"/>
          </w:tcPr>
          <w:p>
            <w:pPr>
              <w:spacing w:after="0"/>
              <w:rPr>
                <w:sz w:val="20"/>
                <w:szCs w:val="20"/>
                <w:color w:val="auto"/>
              </w:rPr>
            </w:pPr>
            <w:r>
              <w:rPr>
                <w:rFonts w:ascii="Arial" w:cs="Arial" w:eastAsia="Arial" w:hAnsi="Arial"/>
                <w:sz w:val="18"/>
                <w:szCs w:val="18"/>
                <w:color w:val="0000FF"/>
              </w:rPr>
              <w:t>Notes to Condensed Combined Consolidated Financial Statements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0000FF"/>
              </w:rPr>
              <w:t>F-8</w:t>
            </w: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880" w:type="dxa"/>
            <w:vAlign w:val="bottom"/>
            <w:gridSpan w:val="9"/>
          </w:tcPr>
          <w:p>
            <w:pPr>
              <w:spacing w:after="0"/>
              <w:rPr>
                <w:sz w:val="20"/>
                <w:szCs w:val="20"/>
                <w:color w:val="auto"/>
              </w:rPr>
            </w:pPr>
            <w:r>
              <w:rPr>
                <w:rFonts w:ascii="Arial" w:cs="Arial" w:eastAsia="Arial" w:hAnsi="Arial"/>
                <w:sz w:val="18"/>
                <w:szCs w:val="18"/>
                <w:color w:val="0000FF"/>
                <w:w w:val="98"/>
              </w:rPr>
              <w:t>Note 1 – Business and Organization</w:t>
            </w:r>
          </w:p>
        </w:tc>
        <w:tc>
          <w:tcPr>
            <w:tcW w:w="2240" w:type="dxa"/>
            <w:vAlign w:val="bottom"/>
            <w:gridSpan w:val="12"/>
          </w:tcPr>
          <w:p>
            <w:pPr>
              <w:spacing w:after="0"/>
              <w:rPr>
                <w:sz w:val="18"/>
                <w:szCs w:val="18"/>
                <w:color w:val="auto"/>
              </w:rPr>
            </w:pPr>
          </w:p>
        </w:tc>
        <w:tc>
          <w:tcPr>
            <w:tcW w:w="502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0000FF"/>
              </w:rPr>
              <w:t>F-8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4160" w:type="dxa"/>
            <w:vAlign w:val="bottom"/>
            <w:gridSpan w:val="16"/>
          </w:tcPr>
          <w:p>
            <w:pPr>
              <w:spacing w:after="0"/>
              <w:rPr>
                <w:sz w:val="20"/>
                <w:szCs w:val="20"/>
                <w:color w:val="auto"/>
              </w:rPr>
            </w:pPr>
            <w:r>
              <w:rPr>
                <w:rFonts w:ascii="Arial" w:cs="Arial" w:eastAsia="Arial" w:hAnsi="Arial"/>
                <w:sz w:val="18"/>
                <w:szCs w:val="18"/>
                <w:color w:val="0000FF"/>
                <w:w w:val="98"/>
              </w:rPr>
              <w:t>Note 2 – Summary of Significant Accounting Policies</w:t>
            </w:r>
          </w:p>
        </w:tc>
        <w:tc>
          <w:tcPr>
            <w:tcW w:w="5980" w:type="dxa"/>
            <w:vAlign w:val="bottom"/>
            <w:gridSpan w:val="7"/>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0000FF"/>
              </w:rPr>
              <w:t>F-8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4160" w:type="dxa"/>
            <w:vAlign w:val="bottom"/>
            <w:gridSpan w:val="16"/>
          </w:tcPr>
          <w:p>
            <w:pPr>
              <w:spacing w:after="0"/>
              <w:rPr>
                <w:sz w:val="20"/>
                <w:szCs w:val="20"/>
                <w:color w:val="auto"/>
              </w:rPr>
            </w:pPr>
            <w:r>
              <w:rPr>
                <w:rFonts w:ascii="Arial" w:cs="Arial" w:eastAsia="Arial" w:hAnsi="Arial"/>
                <w:sz w:val="18"/>
                <w:szCs w:val="18"/>
                <w:color w:val="0000FF"/>
              </w:rPr>
              <w:t>Note 3 – Investments</w:t>
            </w:r>
          </w:p>
        </w:tc>
        <w:tc>
          <w:tcPr>
            <w:tcW w:w="5980" w:type="dxa"/>
            <w:vAlign w:val="bottom"/>
            <w:gridSpan w:val="7"/>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0000FF"/>
              </w:rPr>
              <w:t>F-23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480" w:type="dxa"/>
            <w:vAlign w:val="bottom"/>
            <w:gridSpan w:val="3"/>
          </w:tcPr>
          <w:p>
            <w:pPr>
              <w:spacing w:after="0"/>
              <w:rPr>
                <w:sz w:val="20"/>
                <w:szCs w:val="20"/>
                <w:color w:val="auto"/>
              </w:rPr>
            </w:pPr>
            <w:r>
              <w:rPr>
                <w:rFonts w:ascii="Arial" w:cs="Arial" w:eastAsia="Arial" w:hAnsi="Arial"/>
                <w:sz w:val="18"/>
                <w:szCs w:val="18"/>
                <w:color w:val="0000FF"/>
                <w:w w:val="99"/>
              </w:rPr>
              <w:t>Note 4 – Servicing</w:t>
            </w:r>
          </w:p>
        </w:tc>
        <w:tc>
          <w:tcPr>
            <w:tcW w:w="220" w:type="dxa"/>
            <w:vAlign w:val="bottom"/>
          </w:tcPr>
          <w:p>
            <w:pPr>
              <w:spacing w:after="0"/>
              <w:rPr>
                <w:sz w:val="18"/>
                <w:szCs w:val="18"/>
                <w:color w:val="auto"/>
              </w:rPr>
            </w:pPr>
          </w:p>
        </w:tc>
        <w:tc>
          <w:tcPr>
            <w:tcW w:w="8440" w:type="dxa"/>
            <w:vAlign w:val="bottom"/>
            <w:gridSpan w:val="19"/>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0000FF"/>
              </w:rPr>
              <w:t>F-26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480" w:type="dxa"/>
            <w:vAlign w:val="bottom"/>
            <w:gridSpan w:val="3"/>
          </w:tcPr>
          <w:p>
            <w:pPr>
              <w:spacing w:after="0"/>
              <w:rPr>
                <w:sz w:val="20"/>
                <w:szCs w:val="20"/>
                <w:color w:val="auto"/>
              </w:rPr>
            </w:pPr>
            <w:r>
              <w:rPr>
                <w:rFonts w:ascii="Arial" w:cs="Arial" w:eastAsia="Arial" w:hAnsi="Arial"/>
                <w:sz w:val="18"/>
                <w:szCs w:val="18"/>
                <w:color w:val="0000FF"/>
              </w:rPr>
              <w:t>Note 5 – Loans</w:t>
            </w:r>
          </w:p>
        </w:tc>
        <w:tc>
          <w:tcPr>
            <w:tcW w:w="8660" w:type="dxa"/>
            <w:vAlign w:val="bottom"/>
            <w:gridSpan w:val="20"/>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0000FF"/>
              </w:rPr>
              <w:t>F-28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0000FF"/>
                <w:w w:val="99"/>
              </w:rPr>
              <w:t>Note 6 – Debt</w:t>
            </w:r>
          </w:p>
        </w:tc>
        <w:tc>
          <w:tcPr>
            <w:tcW w:w="100" w:type="dxa"/>
            <w:vAlign w:val="bottom"/>
          </w:tcPr>
          <w:p>
            <w:pPr>
              <w:spacing w:after="0"/>
              <w:rPr>
                <w:sz w:val="18"/>
                <w:szCs w:val="18"/>
                <w:color w:val="auto"/>
              </w:rPr>
            </w:pPr>
          </w:p>
        </w:tc>
        <w:tc>
          <w:tcPr>
            <w:tcW w:w="8920" w:type="dxa"/>
            <w:vAlign w:val="bottom"/>
            <w:gridSpan w:val="21"/>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0000FF"/>
              </w:rPr>
              <w:t>F-30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0000FF"/>
                <w:w w:val="95"/>
              </w:rPr>
              <w:t>Note 7 – Equity</w:t>
            </w:r>
          </w:p>
        </w:tc>
        <w:tc>
          <w:tcPr>
            <w:tcW w:w="8920" w:type="dxa"/>
            <w:vAlign w:val="bottom"/>
            <w:gridSpan w:val="21"/>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0000FF"/>
              </w:rPr>
              <w:t>F-33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140" w:type="dxa"/>
            <w:vAlign w:val="bottom"/>
            <w:gridSpan w:val="23"/>
          </w:tcPr>
          <w:p>
            <w:pPr>
              <w:spacing w:after="0"/>
              <w:rPr>
                <w:sz w:val="20"/>
                <w:szCs w:val="20"/>
                <w:color w:val="auto"/>
              </w:rPr>
            </w:pPr>
            <w:r>
              <w:rPr>
                <w:rFonts w:ascii="Arial" w:cs="Arial" w:eastAsia="Arial" w:hAnsi="Arial"/>
                <w:sz w:val="18"/>
                <w:szCs w:val="18"/>
                <w:color w:val="0000FF"/>
              </w:rPr>
              <w:t>Note 8 – Variable Interest Entities</w:t>
            </w:r>
          </w:p>
        </w:tc>
        <w:tc>
          <w:tcPr>
            <w:tcW w:w="38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0000FF"/>
              </w:rPr>
              <w:t>F-38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140" w:type="dxa"/>
            <w:vAlign w:val="bottom"/>
            <w:gridSpan w:val="23"/>
          </w:tcPr>
          <w:p>
            <w:pPr>
              <w:spacing w:after="0"/>
              <w:rPr>
                <w:sz w:val="20"/>
                <w:szCs w:val="20"/>
                <w:color w:val="auto"/>
              </w:rPr>
            </w:pPr>
            <w:r>
              <w:rPr>
                <w:rFonts w:ascii="Arial" w:cs="Arial" w:eastAsia="Arial" w:hAnsi="Arial"/>
                <w:sz w:val="18"/>
                <w:szCs w:val="18"/>
                <w:color w:val="0000FF"/>
              </w:rPr>
              <w:t>Note 9 – Commitments and Contingencies</w:t>
            </w:r>
          </w:p>
        </w:tc>
        <w:tc>
          <w:tcPr>
            <w:tcW w:w="38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0000FF"/>
              </w:rPr>
              <w:t>F-39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000" w:type="dxa"/>
            <w:vAlign w:val="bottom"/>
            <w:gridSpan w:val="10"/>
          </w:tcPr>
          <w:p>
            <w:pPr>
              <w:spacing w:after="0"/>
              <w:rPr>
                <w:sz w:val="20"/>
                <w:szCs w:val="20"/>
                <w:color w:val="auto"/>
              </w:rPr>
            </w:pPr>
            <w:r>
              <w:rPr>
                <w:rFonts w:ascii="Arial" w:cs="Arial" w:eastAsia="Arial" w:hAnsi="Arial"/>
                <w:sz w:val="18"/>
                <w:szCs w:val="18"/>
                <w:color w:val="0000FF"/>
                <w:w w:val="99"/>
              </w:rPr>
              <w:t>Note 10 – Related Party Transactions</w:t>
            </w:r>
          </w:p>
        </w:tc>
        <w:tc>
          <w:tcPr>
            <w:tcW w:w="380" w:type="dxa"/>
            <w:vAlign w:val="bottom"/>
            <w:gridSpan w:val="2"/>
          </w:tcPr>
          <w:p>
            <w:pPr>
              <w:spacing w:after="0"/>
              <w:rPr>
                <w:sz w:val="18"/>
                <w:szCs w:val="18"/>
                <w:color w:val="auto"/>
              </w:rPr>
            </w:pPr>
          </w:p>
        </w:tc>
        <w:tc>
          <w:tcPr>
            <w:tcW w:w="6760" w:type="dxa"/>
            <w:vAlign w:val="bottom"/>
            <w:gridSpan w:val="11"/>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0000FF"/>
              </w:rPr>
              <w:t>F-41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000" w:type="dxa"/>
            <w:vAlign w:val="bottom"/>
            <w:gridSpan w:val="10"/>
          </w:tcPr>
          <w:p>
            <w:pPr>
              <w:spacing w:after="0"/>
              <w:rPr>
                <w:sz w:val="20"/>
                <w:szCs w:val="20"/>
                <w:color w:val="auto"/>
              </w:rPr>
            </w:pPr>
            <w:r>
              <w:rPr>
                <w:rFonts w:ascii="Arial" w:cs="Arial" w:eastAsia="Arial" w:hAnsi="Arial"/>
                <w:sz w:val="18"/>
                <w:szCs w:val="18"/>
                <w:color w:val="0000FF"/>
              </w:rPr>
              <w:t>Note 11 – Fair Value Measurements</w:t>
            </w:r>
          </w:p>
        </w:tc>
        <w:tc>
          <w:tcPr>
            <w:tcW w:w="7140" w:type="dxa"/>
            <w:vAlign w:val="bottom"/>
            <w:gridSpan w:val="13"/>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0000FF"/>
              </w:rPr>
              <w:t>F-43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rPr>
              <w:t>Note 12 – Income Taxes</w:t>
            </w:r>
          </w:p>
        </w:tc>
        <w:tc>
          <w:tcPr>
            <w:tcW w:w="7280" w:type="dxa"/>
            <w:vAlign w:val="bottom"/>
            <w:gridSpan w:val="15"/>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0000FF"/>
              </w:rPr>
              <w:t>F-49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400" w:type="dxa"/>
            <w:vAlign w:val="bottom"/>
            <w:gridSpan w:val="6"/>
          </w:tcPr>
          <w:p>
            <w:pPr>
              <w:spacing w:after="0"/>
              <w:rPr>
                <w:sz w:val="20"/>
                <w:szCs w:val="20"/>
                <w:color w:val="auto"/>
              </w:rPr>
            </w:pPr>
            <w:r>
              <w:rPr>
                <w:rFonts w:ascii="Arial" w:cs="Arial" w:eastAsia="Arial" w:hAnsi="Arial"/>
                <w:sz w:val="18"/>
                <w:szCs w:val="18"/>
                <w:color w:val="0000FF"/>
                <w:w w:val="99"/>
              </w:rPr>
              <w:t>Note 13 – Subsequent Events</w:t>
            </w:r>
          </w:p>
        </w:tc>
        <w:tc>
          <w:tcPr>
            <w:tcW w:w="7740" w:type="dxa"/>
            <w:vAlign w:val="bottom"/>
            <w:gridSpan w:val="17"/>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0000FF"/>
              </w:rPr>
              <w:t>F-49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360" w:type="dxa"/>
            <w:vAlign w:val="bottom"/>
            <w:gridSpan w:val="24"/>
            <w:vMerge w:val="restart"/>
          </w:tcPr>
          <w:p>
            <w:pPr>
              <w:spacing w:after="0"/>
              <w:rPr>
                <w:sz w:val="20"/>
                <w:szCs w:val="20"/>
                <w:color w:val="auto"/>
              </w:rPr>
            </w:pPr>
            <w:r>
              <w:rPr>
                <w:rFonts w:ascii="Arial" w:cs="Arial" w:eastAsia="Arial" w:hAnsi="Arial"/>
                <w:sz w:val="18"/>
                <w:szCs w:val="18"/>
                <w:b w:val="1"/>
                <w:bCs w:val="1"/>
                <w:color w:val="auto"/>
              </w:rPr>
              <w:t>Audited Combined Consolidated Financial Statements of FT Intermediate, Inc. and Figure Markets Holdings, Inc. and</w:t>
            </w:r>
          </w:p>
        </w:tc>
        <w:tc>
          <w:tcPr>
            <w:tcW w:w="86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360" w:type="dxa"/>
            <w:vAlign w:val="bottom"/>
            <w:gridSpan w:val="24"/>
            <w:vMerge w:val="continue"/>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10360" w:type="dxa"/>
            <w:vAlign w:val="bottom"/>
            <w:gridSpan w:val="24"/>
          </w:tcPr>
          <w:p>
            <w:pPr>
              <w:spacing w:after="0"/>
              <w:rPr>
                <w:sz w:val="20"/>
                <w:szCs w:val="20"/>
                <w:color w:val="auto"/>
              </w:rPr>
            </w:pPr>
            <w:r>
              <w:rPr>
                <w:rFonts w:ascii="Arial" w:cs="Arial" w:eastAsia="Arial" w:hAnsi="Arial"/>
                <w:sz w:val="18"/>
                <w:szCs w:val="18"/>
                <w:b w:val="1"/>
                <w:bCs w:val="1"/>
                <w:color w:val="auto"/>
              </w:rPr>
              <w:t>their Subsidiaries as of and for the years December 31, 2024 and 2023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0360" w:type="dxa"/>
            <w:vAlign w:val="bottom"/>
            <w:gridSpan w:val="24"/>
          </w:tcPr>
          <w:p>
            <w:pPr>
              <w:spacing w:after="0" w:line="195" w:lineRule="exact"/>
              <w:rPr>
                <w:sz w:val="20"/>
                <w:szCs w:val="20"/>
                <w:color w:val="auto"/>
              </w:rPr>
            </w:pPr>
            <w:r>
              <w:rPr>
                <w:rFonts w:ascii="Arial" w:cs="Arial" w:eastAsia="Arial" w:hAnsi="Arial"/>
                <w:sz w:val="18"/>
                <w:szCs w:val="18"/>
                <w:color w:val="0000FF"/>
              </w:rPr>
              <w:t>Report of Independent Registered Public Accounting Firm</w:t>
            </w:r>
          </w:p>
        </w:tc>
        <w:tc>
          <w:tcPr>
            <w:tcW w:w="380" w:type="dxa"/>
            <w:vAlign w:val="bottom"/>
          </w:tcPr>
          <w:p>
            <w:pPr>
              <w:spacing w:after="0"/>
              <w:rPr>
                <w:sz w:val="16"/>
                <w:szCs w:val="16"/>
                <w:color w:val="auto"/>
              </w:rPr>
            </w:pPr>
          </w:p>
        </w:tc>
        <w:tc>
          <w:tcPr>
            <w:tcW w:w="480" w:type="dxa"/>
            <w:vAlign w:val="bottom"/>
            <w:gridSpan w:val="4"/>
          </w:tcPr>
          <w:p>
            <w:pPr>
              <w:jc w:val="right"/>
              <w:ind w:right="20"/>
              <w:spacing w:after="0" w:line="195" w:lineRule="exact"/>
              <w:rPr>
                <w:sz w:val="20"/>
                <w:szCs w:val="20"/>
                <w:color w:val="auto"/>
              </w:rPr>
            </w:pPr>
            <w:r>
              <w:rPr>
                <w:rFonts w:ascii="Arial" w:cs="Arial" w:eastAsia="Arial" w:hAnsi="Arial"/>
                <w:sz w:val="18"/>
                <w:szCs w:val="18"/>
                <w:color w:val="0000FF"/>
              </w:rPr>
              <w:t>F-51</w:t>
            </w: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gridSpan w:val="12"/>
          </w:tcPr>
          <w:p>
            <w:pPr>
              <w:spacing w:after="0"/>
              <w:rPr>
                <w:sz w:val="20"/>
                <w:szCs w:val="20"/>
                <w:color w:val="auto"/>
              </w:rPr>
            </w:pPr>
            <w:r>
              <w:rPr>
                <w:rFonts w:ascii="Arial" w:cs="Arial" w:eastAsia="Arial" w:hAnsi="Arial"/>
                <w:sz w:val="18"/>
                <w:szCs w:val="18"/>
                <w:color w:val="0000FF"/>
                <w:w w:val="99"/>
              </w:rPr>
              <w:t>Combined Consolidated Balance Sheets</w:t>
            </w:r>
          </w:p>
        </w:tc>
        <w:tc>
          <w:tcPr>
            <w:tcW w:w="1360" w:type="dxa"/>
            <w:vAlign w:val="bottom"/>
            <w:gridSpan w:val="6"/>
          </w:tcPr>
          <w:p>
            <w:pPr>
              <w:spacing w:after="0"/>
              <w:rPr>
                <w:sz w:val="18"/>
                <w:szCs w:val="18"/>
                <w:color w:val="auto"/>
              </w:rPr>
            </w:pPr>
          </w:p>
        </w:tc>
        <w:tc>
          <w:tcPr>
            <w:tcW w:w="5760" w:type="dxa"/>
            <w:vAlign w:val="bottom"/>
            <w:gridSpan w:val="6"/>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0000FF"/>
              </w:rPr>
              <w:t>F-52</w:t>
            </w:r>
          </w:p>
        </w:tc>
        <w:tc>
          <w:tcPr>
            <w:tcW w:w="0" w:type="dxa"/>
            <w:vAlign w:val="bottom"/>
          </w:tcPr>
          <w:p>
            <w:pPr>
              <w:spacing w:after="0"/>
              <w:rPr>
                <w:sz w:val="1"/>
                <w:szCs w:val="1"/>
                <w:color w:val="auto"/>
              </w:rPr>
            </w:pPr>
          </w:p>
        </w:tc>
      </w:tr>
      <w:tr>
        <w:trPr>
          <w:trHeight w:val="20"/>
        </w:trPr>
        <w:tc>
          <w:tcPr>
            <w:tcW w:w="2620" w:type="dxa"/>
            <w:vAlign w:val="bottom"/>
            <w:gridSpan w:val="7"/>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gridSpan w:val="14"/>
          </w:tcPr>
          <w:p>
            <w:pPr>
              <w:spacing w:after="0"/>
              <w:rPr>
                <w:sz w:val="20"/>
                <w:szCs w:val="20"/>
                <w:color w:val="auto"/>
              </w:rPr>
            </w:pPr>
            <w:r>
              <w:rPr>
                <w:rFonts w:ascii="Arial" w:cs="Arial" w:eastAsia="Arial" w:hAnsi="Arial"/>
                <w:sz w:val="18"/>
                <w:szCs w:val="18"/>
                <w:color w:val="0000FF"/>
                <w:w w:val="99"/>
              </w:rPr>
              <w:t>Combined Consolidated Statements of Operations</w:t>
            </w:r>
          </w:p>
        </w:tc>
        <w:tc>
          <w:tcPr>
            <w:tcW w:w="6340" w:type="dxa"/>
            <w:vAlign w:val="bottom"/>
            <w:gridSpan w:val="10"/>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0000FF"/>
              </w:rPr>
              <w:t>F-54</w:t>
            </w:r>
          </w:p>
        </w:tc>
        <w:tc>
          <w:tcPr>
            <w:tcW w:w="0" w:type="dxa"/>
            <w:vAlign w:val="bottom"/>
          </w:tcPr>
          <w:p>
            <w:pPr>
              <w:spacing w:after="0"/>
              <w:rPr>
                <w:sz w:val="1"/>
                <w:szCs w:val="1"/>
                <w:color w:val="auto"/>
              </w:rPr>
            </w:pPr>
          </w:p>
        </w:tc>
      </w:tr>
      <w:tr>
        <w:trPr>
          <w:trHeight w:val="20"/>
        </w:trPr>
        <w:tc>
          <w:tcPr>
            <w:tcW w:w="2620" w:type="dxa"/>
            <w:vAlign w:val="bottom"/>
            <w:gridSpan w:val="7"/>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92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24"/>
          </w:tcPr>
          <w:p>
            <w:pPr>
              <w:spacing w:after="0"/>
              <w:rPr>
                <w:sz w:val="20"/>
                <w:szCs w:val="20"/>
                <w:color w:val="auto"/>
              </w:rPr>
            </w:pPr>
            <w:r>
              <w:rPr>
                <w:rFonts w:ascii="Arial" w:cs="Arial" w:eastAsia="Arial" w:hAnsi="Arial"/>
                <w:sz w:val="18"/>
                <w:szCs w:val="18"/>
                <w:color w:val="0000FF"/>
              </w:rPr>
              <w:t>Combined Consolidated Statements of Stockholders' Equity</w:t>
            </w:r>
          </w:p>
        </w:tc>
        <w:tc>
          <w:tcPr>
            <w:tcW w:w="38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0000FF"/>
              </w:rPr>
              <w:t>F-55</w:t>
            </w:r>
          </w:p>
        </w:tc>
        <w:tc>
          <w:tcPr>
            <w:tcW w:w="0" w:type="dxa"/>
            <w:vAlign w:val="bottom"/>
          </w:tcPr>
          <w:p>
            <w:pPr>
              <w:spacing w:after="0"/>
              <w:rPr>
                <w:sz w:val="1"/>
                <w:szCs w:val="1"/>
                <w:color w:val="auto"/>
              </w:rPr>
            </w:pPr>
          </w:p>
        </w:tc>
      </w:tr>
      <w:tr>
        <w:trPr>
          <w:trHeight w:val="20"/>
        </w:trPr>
        <w:tc>
          <w:tcPr>
            <w:tcW w:w="2620" w:type="dxa"/>
            <w:vAlign w:val="bottom"/>
            <w:gridSpan w:val="7"/>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980" w:type="dxa"/>
            <w:vAlign w:val="bottom"/>
            <w:tcBorders>
              <w:left w:val="single" w:sz="8" w:color="0000FF"/>
            </w:tcBorders>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80" w:type="dxa"/>
            <w:vAlign w:val="bottom"/>
            <w:gridSpan w:val="15"/>
          </w:tcPr>
          <w:p>
            <w:pPr>
              <w:spacing w:after="0"/>
              <w:rPr>
                <w:sz w:val="20"/>
                <w:szCs w:val="20"/>
                <w:color w:val="auto"/>
              </w:rPr>
            </w:pPr>
            <w:r>
              <w:rPr>
                <w:rFonts w:ascii="Arial" w:cs="Arial" w:eastAsia="Arial" w:hAnsi="Arial"/>
                <w:sz w:val="18"/>
                <w:szCs w:val="18"/>
                <w:color w:val="0000FF"/>
                <w:w w:val="99"/>
              </w:rPr>
              <w:t>Combined Consolidated Statements of Cash Flows</w:t>
            </w:r>
          </w:p>
        </w:tc>
        <w:tc>
          <w:tcPr>
            <w:tcW w:w="680" w:type="dxa"/>
            <w:vAlign w:val="bottom"/>
            <w:gridSpan w:val="4"/>
          </w:tcPr>
          <w:p>
            <w:pPr>
              <w:spacing w:after="0"/>
              <w:rPr>
                <w:sz w:val="18"/>
                <w:szCs w:val="18"/>
                <w:color w:val="auto"/>
              </w:rPr>
            </w:pPr>
          </w:p>
        </w:tc>
        <w:tc>
          <w:tcPr>
            <w:tcW w:w="5600" w:type="dxa"/>
            <w:vAlign w:val="bottom"/>
            <w:gridSpan w:val="5"/>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0000FF"/>
              </w:rPr>
              <w:t>F-56</w:t>
            </w:r>
          </w:p>
        </w:tc>
        <w:tc>
          <w:tcPr>
            <w:tcW w:w="0" w:type="dxa"/>
            <w:vAlign w:val="bottom"/>
          </w:tcPr>
          <w:p>
            <w:pPr>
              <w:spacing w:after="0"/>
              <w:rPr>
                <w:sz w:val="1"/>
                <w:szCs w:val="1"/>
                <w:color w:val="auto"/>
              </w:rPr>
            </w:pPr>
          </w:p>
        </w:tc>
      </w:tr>
      <w:tr>
        <w:trPr>
          <w:trHeight w:val="20"/>
        </w:trPr>
        <w:tc>
          <w:tcPr>
            <w:tcW w:w="2620" w:type="dxa"/>
            <w:vAlign w:val="bottom"/>
            <w:gridSpan w:val="7"/>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980" w:type="dxa"/>
            <w:vAlign w:val="bottom"/>
            <w:tcBorders>
              <w:left w:val="single" w:sz="8" w:color="0000FF"/>
            </w:tcBorders>
            <w:gridSpan w:val="5"/>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gridSpan w:val="17"/>
          </w:tcPr>
          <w:p>
            <w:pPr>
              <w:spacing w:after="0"/>
              <w:rPr>
                <w:sz w:val="20"/>
                <w:szCs w:val="20"/>
                <w:color w:val="auto"/>
              </w:rPr>
            </w:pPr>
            <w:r>
              <w:rPr>
                <w:rFonts w:ascii="Arial" w:cs="Arial" w:eastAsia="Arial" w:hAnsi="Arial"/>
                <w:sz w:val="18"/>
                <w:szCs w:val="18"/>
                <w:color w:val="0000FF"/>
                <w:w w:val="99"/>
              </w:rPr>
              <w:t>Notes to Combined Consolidated Financial Statements</w:t>
            </w:r>
          </w:p>
        </w:tc>
        <w:tc>
          <w:tcPr>
            <w:tcW w:w="5980" w:type="dxa"/>
            <w:vAlign w:val="bottom"/>
            <w:gridSpan w:val="7"/>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0000FF"/>
              </w:rPr>
              <w:t>F-58</w:t>
            </w: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2400" w:type="dxa"/>
            <w:vAlign w:val="bottom"/>
            <w:gridSpan w:val="6"/>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280" w:type="dxa"/>
            <w:vAlign w:val="bottom"/>
            <w:tcBorders>
              <w:left w:val="single" w:sz="8" w:color="0000FF"/>
            </w:tcBorders>
            <w:gridSpan w:val="7"/>
            <w:shd w:val="clear" w:color="auto" w:fill="0000FF"/>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4160" w:type="dxa"/>
            <w:vAlign w:val="bottom"/>
            <w:gridSpan w:val="16"/>
          </w:tcPr>
          <w:p>
            <w:pPr>
              <w:spacing w:after="0"/>
              <w:rPr>
                <w:sz w:val="20"/>
                <w:szCs w:val="20"/>
                <w:color w:val="auto"/>
              </w:rPr>
            </w:pPr>
            <w:r>
              <w:rPr>
                <w:rFonts w:ascii="Arial" w:cs="Arial" w:eastAsia="Arial" w:hAnsi="Arial"/>
                <w:sz w:val="18"/>
                <w:szCs w:val="18"/>
                <w:color w:val="0000FF"/>
              </w:rPr>
              <w:t>Note 1 – Business and Organization</w:t>
            </w:r>
          </w:p>
        </w:tc>
        <w:tc>
          <w:tcPr>
            <w:tcW w:w="5980" w:type="dxa"/>
            <w:vAlign w:val="bottom"/>
            <w:gridSpan w:val="7"/>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0000FF"/>
              </w:rPr>
              <w:t>F-58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00" w:type="dxa"/>
            <w:vAlign w:val="bottom"/>
            <w:gridSpan w:val="6"/>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7260" w:type="dxa"/>
            <w:vAlign w:val="bottom"/>
            <w:gridSpan w:val="1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4160" w:type="dxa"/>
            <w:vAlign w:val="bottom"/>
            <w:gridSpan w:val="16"/>
          </w:tcPr>
          <w:p>
            <w:pPr>
              <w:spacing w:after="0"/>
              <w:rPr>
                <w:sz w:val="20"/>
                <w:szCs w:val="20"/>
                <w:color w:val="auto"/>
              </w:rPr>
            </w:pPr>
            <w:r>
              <w:rPr>
                <w:rFonts w:ascii="Arial" w:cs="Arial" w:eastAsia="Arial" w:hAnsi="Arial"/>
                <w:sz w:val="18"/>
                <w:szCs w:val="18"/>
                <w:color w:val="0000FF"/>
                <w:w w:val="98"/>
              </w:rPr>
              <w:t>Note 2 – Summary of Significant Accounting Policies</w:t>
            </w:r>
          </w:p>
        </w:tc>
        <w:tc>
          <w:tcPr>
            <w:tcW w:w="5980" w:type="dxa"/>
            <w:vAlign w:val="bottom"/>
            <w:gridSpan w:val="7"/>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0000FF"/>
              </w:rPr>
              <w:t>F-58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00" w:type="dxa"/>
            <w:vAlign w:val="bottom"/>
            <w:gridSpan w:val="6"/>
            <w:shd w:val="clear" w:color="auto" w:fill="0000FF"/>
          </w:tcPr>
          <w:p>
            <w:pPr>
              <w:spacing w:after="0" w:line="20" w:lineRule="exact"/>
              <w:rPr>
                <w:sz w:val="1"/>
                <w:szCs w:val="1"/>
                <w:color w:val="auto"/>
              </w:rPr>
            </w:pPr>
          </w:p>
        </w:tc>
        <w:tc>
          <w:tcPr>
            <w:tcW w:w="1760" w:type="dxa"/>
            <w:vAlign w:val="bottom"/>
            <w:gridSpan w:val="10"/>
            <w:shd w:val="clear" w:color="auto" w:fill="0000FF"/>
          </w:tcPr>
          <w:p>
            <w:pPr>
              <w:spacing w:after="0" w:line="20" w:lineRule="exact"/>
              <w:rPr>
                <w:sz w:val="1"/>
                <w:szCs w:val="1"/>
                <w:color w:val="auto"/>
              </w:rPr>
            </w:pPr>
          </w:p>
        </w:tc>
        <w:tc>
          <w:tcPr>
            <w:tcW w:w="5980" w:type="dxa"/>
            <w:vAlign w:val="bottom"/>
            <w:tcBorders>
              <w:left w:val="single" w:sz="8" w:color="0000FF"/>
            </w:tcBorders>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4160" w:type="dxa"/>
            <w:vAlign w:val="bottom"/>
            <w:gridSpan w:val="16"/>
          </w:tcPr>
          <w:p>
            <w:pPr>
              <w:spacing w:after="0"/>
              <w:rPr>
                <w:sz w:val="20"/>
                <w:szCs w:val="20"/>
                <w:color w:val="auto"/>
              </w:rPr>
            </w:pPr>
            <w:r>
              <w:rPr>
                <w:rFonts w:ascii="Arial" w:cs="Arial" w:eastAsia="Arial" w:hAnsi="Arial"/>
                <w:sz w:val="18"/>
                <w:szCs w:val="18"/>
                <w:color w:val="0000FF"/>
              </w:rPr>
              <w:t>Note 3 – Investments</w:t>
            </w:r>
          </w:p>
        </w:tc>
        <w:tc>
          <w:tcPr>
            <w:tcW w:w="5980" w:type="dxa"/>
            <w:vAlign w:val="bottom"/>
            <w:gridSpan w:val="7"/>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0000FF"/>
              </w:rPr>
              <w:t>F-73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740" w:type="dxa"/>
            <w:vAlign w:val="bottom"/>
            <w:gridSpan w:val="1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480" w:type="dxa"/>
            <w:vAlign w:val="bottom"/>
            <w:gridSpan w:val="3"/>
          </w:tcPr>
          <w:p>
            <w:pPr>
              <w:spacing w:after="0"/>
              <w:rPr>
                <w:sz w:val="20"/>
                <w:szCs w:val="20"/>
                <w:color w:val="auto"/>
              </w:rPr>
            </w:pPr>
            <w:r>
              <w:rPr>
                <w:rFonts w:ascii="Arial" w:cs="Arial" w:eastAsia="Arial" w:hAnsi="Arial"/>
                <w:sz w:val="18"/>
                <w:szCs w:val="18"/>
                <w:color w:val="0000FF"/>
                <w:w w:val="99"/>
              </w:rPr>
              <w:t>Note 4 – Servicing</w:t>
            </w:r>
          </w:p>
        </w:tc>
        <w:tc>
          <w:tcPr>
            <w:tcW w:w="220" w:type="dxa"/>
            <w:vAlign w:val="bottom"/>
          </w:tcPr>
          <w:p>
            <w:pPr>
              <w:spacing w:after="0"/>
              <w:rPr>
                <w:sz w:val="18"/>
                <w:szCs w:val="18"/>
                <w:color w:val="auto"/>
              </w:rPr>
            </w:pPr>
          </w:p>
        </w:tc>
        <w:tc>
          <w:tcPr>
            <w:tcW w:w="8440" w:type="dxa"/>
            <w:vAlign w:val="bottom"/>
            <w:gridSpan w:val="19"/>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0000FF"/>
              </w:rPr>
              <w:t>F-76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480" w:type="dxa"/>
            <w:vAlign w:val="bottom"/>
            <w:gridSpan w:val="3"/>
          </w:tcPr>
          <w:p>
            <w:pPr>
              <w:spacing w:after="0"/>
              <w:rPr>
                <w:sz w:val="20"/>
                <w:szCs w:val="20"/>
                <w:color w:val="auto"/>
              </w:rPr>
            </w:pPr>
            <w:r>
              <w:rPr>
                <w:rFonts w:ascii="Arial" w:cs="Arial" w:eastAsia="Arial" w:hAnsi="Arial"/>
                <w:sz w:val="18"/>
                <w:szCs w:val="18"/>
                <w:color w:val="0000FF"/>
              </w:rPr>
              <w:t>Note 5 – Loans</w:t>
            </w:r>
          </w:p>
        </w:tc>
        <w:tc>
          <w:tcPr>
            <w:tcW w:w="8660" w:type="dxa"/>
            <w:vAlign w:val="bottom"/>
            <w:gridSpan w:val="20"/>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0000FF"/>
              </w:rPr>
              <w:t>F-78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7740" w:type="dxa"/>
            <w:vAlign w:val="bottom"/>
            <w:gridSpan w:val="1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0000FF"/>
                <w:w w:val="99"/>
              </w:rPr>
              <w:t>Note 6 – Debt</w:t>
            </w:r>
          </w:p>
        </w:tc>
        <w:tc>
          <w:tcPr>
            <w:tcW w:w="100" w:type="dxa"/>
            <w:vAlign w:val="bottom"/>
          </w:tcPr>
          <w:p>
            <w:pPr>
              <w:spacing w:after="0"/>
              <w:rPr>
                <w:sz w:val="18"/>
                <w:szCs w:val="18"/>
                <w:color w:val="auto"/>
              </w:rPr>
            </w:pPr>
          </w:p>
        </w:tc>
        <w:tc>
          <w:tcPr>
            <w:tcW w:w="8920" w:type="dxa"/>
            <w:vAlign w:val="bottom"/>
            <w:gridSpan w:val="21"/>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0000FF"/>
              </w:rPr>
              <w:t>F-81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7740" w:type="dxa"/>
            <w:vAlign w:val="bottom"/>
            <w:gridSpan w:val="1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0000FF"/>
                <w:w w:val="95"/>
              </w:rPr>
              <w:t>Note 7 – Equity</w:t>
            </w:r>
          </w:p>
        </w:tc>
        <w:tc>
          <w:tcPr>
            <w:tcW w:w="8920" w:type="dxa"/>
            <w:vAlign w:val="bottom"/>
            <w:gridSpan w:val="21"/>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0000FF"/>
              </w:rPr>
              <w:t>F-83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140" w:type="dxa"/>
            <w:vAlign w:val="bottom"/>
            <w:gridSpan w:val="23"/>
          </w:tcPr>
          <w:p>
            <w:pPr>
              <w:spacing w:after="0"/>
              <w:rPr>
                <w:sz w:val="20"/>
                <w:szCs w:val="20"/>
                <w:color w:val="auto"/>
              </w:rPr>
            </w:pPr>
            <w:r>
              <w:rPr>
                <w:rFonts w:ascii="Arial" w:cs="Arial" w:eastAsia="Arial" w:hAnsi="Arial"/>
                <w:sz w:val="18"/>
                <w:szCs w:val="18"/>
                <w:color w:val="0000FF"/>
              </w:rPr>
              <w:t>Note 8 – Variable Interest Entities</w:t>
            </w:r>
          </w:p>
        </w:tc>
        <w:tc>
          <w:tcPr>
            <w:tcW w:w="38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0000FF"/>
              </w:rPr>
              <w:t>F-91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00" w:type="dxa"/>
            <w:vAlign w:val="bottom"/>
            <w:gridSpan w:val="6"/>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80" w:type="dxa"/>
            <w:vAlign w:val="bottom"/>
            <w:gridSpan w:val="1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140" w:type="dxa"/>
            <w:vAlign w:val="bottom"/>
            <w:gridSpan w:val="23"/>
          </w:tcPr>
          <w:p>
            <w:pPr>
              <w:spacing w:after="0"/>
              <w:rPr>
                <w:sz w:val="20"/>
                <w:szCs w:val="20"/>
                <w:color w:val="auto"/>
              </w:rPr>
            </w:pPr>
            <w:r>
              <w:rPr>
                <w:rFonts w:ascii="Arial" w:cs="Arial" w:eastAsia="Arial" w:hAnsi="Arial"/>
                <w:sz w:val="18"/>
                <w:szCs w:val="18"/>
                <w:color w:val="0000FF"/>
              </w:rPr>
              <w:t>Note 9 – Commitments and Contingencies</w:t>
            </w:r>
          </w:p>
        </w:tc>
        <w:tc>
          <w:tcPr>
            <w:tcW w:w="38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0000FF"/>
              </w:rPr>
              <w:t>F-92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00" w:type="dxa"/>
            <w:vAlign w:val="bottom"/>
            <w:gridSpan w:val="6"/>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676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000" w:type="dxa"/>
            <w:vAlign w:val="bottom"/>
            <w:gridSpan w:val="10"/>
          </w:tcPr>
          <w:p>
            <w:pPr>
              <w:spacing w:after="0"/>
              <w:rPr>
                <w:sz w:val="20"/>
                <w:szCs w:val="20"/>
                <w:color w:val="auto"/>
              </w:rPr>
            </w:pPr>
            <w:r>
              <w:rPr>
                <w:rFonts w:ascii="Arial" w:cs="Arial" w:eastAsia="Arial" w:hAnsi="Arial"/>
                <w:sz w:val="18"/>
                <w:szCs w:val="18"/>
                <w:color w:val="0000FF"/>
                <w:w w:val="99"/>
              </w:rPr>
              <w:t>Note 10 – Related Party Transactions</w:t>
            </w:r>
          </w:p>
        </w:tc>
        <w:tc>
          <w:tcPr>
            <w:tcW w:w="380" w:type="dxa"/>
            <w:vAlign w:val="bottom"/>
            <w:gridSpan w:val="2"/>
          </w:tcPr>
          <w:p>
            <w:pPr>
              <w:spacing w:after="0"/>
              <w:rPr>
                <w:sz w:val="18"/>
                <w:szCs w:val="18"/>
                <w:color w:val="auto"/>
              </w:rPr>
            </w:pPr>
          </w:p>
        </w:tc>
        <w:tc>
          <w:tcPr>
            <w:tcW w:w="6760" w:type="dxa"/>
            <w:vAlign w:val="bottom"/>
            <w:gridSpan w:val="11"/>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0000FF"/>
              </w:rPr>
              <w:t>F-94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00" w:type="dxa"/>
            <w:vAlign w:val="bottom"/>
            <w:gridSpan w:val="6"/>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7140" w:type="dxa"/>
            <w:vAlign w:val="bottom"/>
            <w:gridSpan w:val="1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000" w:type="dxa"/>
            <w:vAlign w:val="bottom"/>
            <w:gridSpan w:val="10"/>
          </w:tcPr>
          <w:p>
            <w:pPr>
              <w:spacing w:after="0"/>
              <w:rPr>
                <w:sz w:val="20"/>
                <w:szCs w:val="20"/>
                <w:color w:val="auto"/>
              </w:rPr>
            </w:pPr>
            <w:r>
              <w:rPr>
                <w:rFonts w:ascii="Arial" w:cs="Arial" w:eastAsia="Arial" w:hAnsi="Arial"/>
                <w:sz w:val="18"/>
                <w:szCs w:val="18"/>
                <w:color w:val="0000FF"/>
              </w:rPr>
              <w:t>Note 11 – Fair Value Measurements</w:t>
            </w:r>
          </w:p>
        </w:tc>
        <w:tc>
          <w:tcPr>
            <w:tcW w:w="7140" w:type="dxa"/>
            <w:vAlign w:val="bottom"/>
            <w:gridSpan w:val="13"/>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0000FF"/>
              </w:rPr>
              <w:t>F-95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00" w:type="dxa"/>
            <w:vAlign w:val="bottom"/>
            <w:gridSpan w:val="6"/>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280" w:type="dxa"/>
            <w:vAlign w:val="bottom"/>
            <w:gridSpan w:val="1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rPr>
              <w:t>Note 12 – Income Taxes</w:t>
            </w:r>
          </w:p>
        </w:tc>
        <w:tc>
          <w:tcPr>
            <w:tcW w:w="7280" w:type="dxa"/>
            <w:vAlign w:val="bottom"/>
            <w:gridSpan w:val="15"/>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0000FF"/>
                <w:w w:val="93"/>
              </w:rPr>
              <w:t>F-100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740" w:type="dxa"/>
            <w:vAlign w:val="bottom"/>
            <w:gridSpan w:val="1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400" w:type="dxa"/>
            <w:vAlign w:val="bottom"/>
            <w:gridSpan w:val="6"/>
          </w:tcPr>
          <w:p>
            <w:pPr>
              <w:spacing w:after="0"/>
              <w:rPr>
                <w:sz w:val="20"/>
                <w:szCs w:val="20"/>
                <w:color w:val="auto"/>
              </w:rPr>
            </w:pPr>
            <w:r>
              <w:rPr>
                <w:rFonts w:ascii="Arial" w:cs="Arial" w:eastAsia="Arial" w:hAnsi="Arial"/>
                <w:sz w:val="18"/>
                <w:szCs w:val="18"/>
                <w:color w:val="0000FF"/>
                <w:w w:val="99"/>
              </w:rPr>
              <w:t>Note 13 – Subsequent Events</w:t>
            </w:r>
          </w:p>
        </w:tc>
        <w:tc>
          <w:tcPr>
            <w:tcW w:w="7740" w:type="dxa"/>
            <w:vAlign w:val="bottom"/>
            <w:gridSpan w:val="17"/>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0000FF"/>
                <w:w w:val="93"/>
              </w:rPr>
              <w:t>F-102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20"/>
          </w:cols>
          <w:pgMar w:left="340" w:top="1440" w:right="339" w:bottom="1440" w:gutter="0" w:footer="0" w:header="0"/>
        </w:sectPr>
      </w:pPr>
    </w:p>
    <w:bookmarkStart w:id="254" w:name="page255"/>
    <w:bookmarkEnd w:id="254"/>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CONSOLIDATED BALANCE SHEETS (UNAUDITED)</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ind w:left="100"/>
              <w:spacing w:after="0"/>
              <w:rPr>
                <w:sz w:val="20"/>
                <w:szCs w:val="20"/>
                <w:color w:val="auto"/>
              </w:rPr>
            </w:pPr>
            <w:r>
              <w:rPr>
                <w:rFonts w:ascii="Arial" w:cs="Arial" w:eastAsia="Arial" w:hAnsi="Arial"/>
                <w:sz w:val="13"/>
                <w:szCs w:val="13"/>
                <w:b w:val="1"/>
                <w:bCs w:val="1"/>
                <w:color w:val="auto"/>
              </w:rPr>
              <w:t>March 31, 2025</w:t>
            </w:r>
          </w:p>
        </w:tc>
        <w:tc>
          <w:tcPr>
            <w:tcW w:w="160" w:type="dxa"/>
            <w:vAlign w:val="bottom"/>
          </w:tcPr>
          <w:p>
            <w:pPr>
              <w:spacing w:after="0"/>
              <w:rPr>
                <w:sz w:val="15"/>
                <w:szCs w:val="15"/>
                <w:color w:val="auto"/>
              </w:rPr>
            </w:pPr>
          </w:p>
        </w:tc>
        <w:tc>
          <w:tcPr>
            <w:tcW w:w="1400" w:type="dxa"/>
            <w:vAlign w:val="bottom"/>
          </w:tcPr>
          <w:p>
            <w:pPr>
              <w:jc w:val="right"/>
              <w:ind w:right="144"/>
              <w:spacing w:after="0"/>
              <w:rPr>
                <w:sz w:val="20"/>
                <w:szCs w:val="20"/>
                <w:color w:val="auto"/>
              </w:rPr>
            </w:pPr>
            <w:r>
              <w:rPr>
                <w:rFonts w:ascii="Arial" w:cs="Arial" w:eastAsia="Arial" w:hAnsi="Arial"/>
                <w:sz w:val="13"/>
                <w:szCs w:val="13"/>
                <w:b w:val="1"/>
                <w:bCs w:val="1"/>
                <w:color w:val="auto"/>
                <w:w w:val="99"/>
              </w:rPr>
              <w:t>December 31, 2024</w:t>
            </w:r>
          </w:p>
        </w:tc>
        <w:tc>
          <w:tcPr>
            <w:tcW w:w="0" w:type="dxa"/>
            <w:vAlign w:val="bottom"/>
          </w:tcPr>
          <w:p>
            <w:pPr>
              <w:spacing w:after="0"/>
              <w:rPr>
                <w:sz w:val="1"/>
                <w:szCs w:val="1"/>
                <w:color w:val="auto"/>
              </w:rPr>
            </w:pPr>
          </w:p>
        </w:tc>
      </w:tr>
      <w:tr>
        <w:trPr>
          <w:trHeight w:val="186"/>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020" w:type="dxa"/>
            <w:vAlign w:val="bottom"/>
          </w:tcPr>
          <w:p>
            <w:pPr>
              <w:ind w:left="460"/>
              <w:spacing w:after="0"/>
              <w:rPr>
                <w:sz w:val="20"/>
                <w:szCs w:val="20"/>
                <w:color w:val="auto"/>
              </w:rPr>
            </w:pPr>
            <w:r>
              <w:rPr>
                <w:rFonts w:ascii="Arial" w:cs="Arial" w:eastAsia="Arial" w:hAnsi="Arial"/>
                <w:sz w:val="15"/>
                <w:szCs w:val="15"/>
                <w:color w:val="auto"/>
              </w:rPr>
              <w:t>Current assets: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20" w:type="dxa"/>
            <w:vAlign w:val="bottom"/>
            <w:shd w:val="clear" w:color="auto" w:fill="CCEEFF"/>
          </w:tcPr>
          <w:p>
            <w:pPr>
              <w:ind w:left="900"/>
              <w:spacing w:after="0"/>
              <w:rPr>
                <w:sz w:val="20"/>
                <w:szCs w:val="20"/>
                <w:color w:val="auto"/>
              </w:rPr>
            </w:pPr>
            <w:r>
              <w:rPr>
                <w:rFonts w:ascii="Arial" w:cs="Arial" w:eastAsia="Arial" w:hAnsi="Arial"/>
                <w:sz w:val="15"/>
                <w:szCs w:val="15"/>
                <w:color w:val="auto"/>
              </w:rPr>
              <w:t>Cash and cash equivalents</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332,024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287,256</w:t>
            </w:r>
          </w:p>
        </w:tc>
        <w:tc>
          <w:tcPr>
            <w:tcW w:w="0" w:type="dxa"/>
            <w:vAlign w:val="bottom"/>
          </w:tcPr>
          <w:p>
            <w:pPr>
              <w:spacing w:after="0"/>
              <w:rPr>
                <w:sz w:val="1"/>
                <w:szCs w:val="1"/>
                <w:color w:val="auto"/>
              </w:rPr>
            </w:pPr>
          </w:p>
        </w:tc>
      </w:tr>
      <w:tr>
        <w:trPr>
          <w:trHeight w:val="201"/>
        </w:trPr>
        <w:tc>
          <w:tcPr>
            <w:tcW w:w="8020" w:type="dxa"/>
            <w:vAlign w:val="bottom"/>
          </w:tcPr>
          <w:p>
            <w:pPr>
              <w:ind w:left="900"/>
              <w:spacing w:after="0"/>
              <w:rPr>
                <w:sz w:val="20"/>
                <w:szCs w:val="20"/>
                <w:color w:val="auto"/>
              </w:rPr>
            </w:pPr>
            <w:r>
              <w:rPr>
                <w:rFonts w:ascii="Arial" w:cs="Arial" w:eastAsia="Arial" w:hAnsi="Arial"/>
                <w:sz w:val="15"/>
                <w:szCs w:val="15"/>
                <w:color w:val="auto"/>
              </w:rPr>
              <w:t>Restricted cash</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52,511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57,777</w:t>
            </w:r>
          </w:p>
        </w:tc>
        <w:tc>
          <w:tcPr>
            <w:tcW w:w="0" w:type="dxa"/>
            <w:vAlign w:val="bottom"/>
          </w:tcPr>
          <w:p>
            <w:pPr>
              <w:spacing w:after="0"/>
              <w:rPr>
                <w:sz w:val="1"/>
                <w:szCs w:val="1"/>
                <w:color w:val="auto"/>
              </w:rPr>
            </w:pPr>
          </w:p>
        </w:tc>
      </w:tr>
      <w:tr>
        <w:trPr>
          <w:trHeight w:val="204"/>
        </w:trPr>
        <w:tc>
          <w:tcPr>
            <w:tcW w:w="8020" w:type="dxa"/>
            <w:vAlign w:val="bottom"/>
            <w:shd w:val="clear" w:color="auto" w:fill="CCEEFF"/>
          </w:tcPr>
          <w:p>
            <w:pPr>
              <w:ind w:left="900"/>
              <w:spacing w:after="0"/>
              <w:rPr>
                <w:sz w:val="20"/>
                <w:szCs w:val="20"/>
                <w:color w:val="auto"/>
              </w:rPr>
            </w:pPr>
            <w:r>
              <w:rPr>
                <w:rFonts w:ascii="Arial" w:cs="Arial" w:eastAsia="Arial" w:hAnsi="Arial"/>
                <w:sz w:val="15"/>
                <w:szCs w:val="15"/>
                <w:color w:val="auto"/>
              </w:rPr>
              <w:t>Loans held for sale, at fair value</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530,525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395,922</w:t>
            </w:r>
          </w:p>
        </w:tc>
        <w:tc>
          <w:tcPr>
            <w:tcW w:w="0" w:type="dxa"/>
            <w:vAlign w:val="bottom"/>
          </w:tcPr>
          <w:p>
            <w:pPr>
              <w:spacing w:after="0"/>
              <w:rPr>
                <w:sz w:val="1"/>
                <w:szCs w:val="1"/>
                <w:color w:val="auto"/>
              </w:rPr>
            </w:pPr>
          </w:p>
        </w:tc>
      </w:tr>
      <w:tr>
        <w:trPr>
          <w:trHeight w:val="201"/>
        </w:trPr>
        <w:tc>
          <w:tcPr>
            <w:tcW w:w="8020" w:type="dxa"/>
            <w:vAlign w:val="bottom"/>
          </w:tcPr>
          <w:p>
            <w:pPr>
              <w:ind w:left="900"/>
              <w:spacing w:after="0"/>
              <w:rPr>
                <w:sz w:val="20"/>
                <w:szCs w:val="20"/>
                <w:color w:val="auto"/>
              </w:rPr>
            </w:pPr>
            <w:r>
              <w:rPr>
                <w:rFonts w:ascii="Arial" w:cs="Arial" w:eastAsia="Arial" w:hAnsi="Arial"/>
                <w:sz w:val="15"/>
                <w:szCs w:val="15"/>
                <w:color w:val="auto"/>
              </w:rPr>
              <w:t>Digital assets ($72,161 and $76,362 at fair value)</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73,661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77,862</w:t>
            </w:r>
          </w:p>
        </w:tc>
        <w:tc>
          <w:tcPr>
            <w:tcW w:w="0" w:type="dxa"/>
            <w:vAlign w:val="bottom"/>
          </w:tcPr>
          <w:p>
            <w:pPr>
              <w:spacing w:after="0"/>
              <w:rPr>
                <w:sz w:val="1"/>
                <w:szCs w:val="1"/>
                <w:color w:val="auto"/>
              </w:rPr>
            </w:pPr>
          </w:p>
        </w:tc>
      </w:tr>
      <w:tr>
        <w:trPr>
          <w:trHeight w:val="204"/>
        </w:trPr>
        <w:tc>
          <w:tcPr>
            <w:tcW w:w="8020" w:type="dxa"/>
            <w:vAlign w:val="bottom"/>
            <w:shd w:val="clear" w:color="auto" w:fill="CCEEFF"/>
          </w:tcPr>
          <w:p>
            <w:pPr>
              <w:ind w:left="900"/>
              <w:spacing w:after="0"/>
              <w:rPr>
                <w:sz w:val="20"/>
                <w:szCs w:val="20"/>
                <w:color w:val="auto"/>
              </w:rPr>
            </w:pPr>
            <w:r>
              <w:rPr>
                <w:rFonts w:ascii="Arial" w:cs="Arial" w:eastAsia="Arial" w:hAnsi="Arial"/>
                <w:sz w:val="15"/>
                <w:szCs w:val="15"/>
                <w:color w:val="auto"/>
              </w:rPr>
              <w:t>Accounts receivable, net</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20,998</w:t>
            </w:r>
          </w:p>
        </w:tc>
        <w:tc>
          <w:tcPr>
            <w:tcW w:w="0" w:type="dxa"/>
            <w:vAlign w:val="bottom"/>
          </w:tcPr>
          <w:p>
            <w:pPr>
              <w:spacing w:after="0"/>
              <w:rPr>
                <w:sz w:val="1"/>
                <w:szCs w:val="1"/>
                <w:color w:val="auto"/>
              </w:rPr>
            </w:pPr>
          </w:p>
        </w:tc>
      </w:tr>
      <w:tr>
        <w:trPr>
          <w:trHeight w:val="201"/>
        </w:trPr>
        <w:tc>
          <w:tcPr>
            <w:tcW w:w="8020" w:type="dxa"/>
            <w:vAlign w:val="bottom"/>
            <w:tcBorders>
              <w:bottom w:val="single" w:sz="8" w:color="CCEEFF"/>
            </w:tcBorders>
          </w:tcPr>
          <w:p>
            <w:pPr>
              <w:ind w:left="900"/>
              <w:spacing w:after="0"/>
              <w:rPr>
                <w:sz w:val="20"/>
                <w:szCs w:val="20"/>
                <w:color w:val="auto"/>
              </w:rPr>
            </w:pPr>
            <w:r>
              <w:rPr>
                <w:rFonts w:ascii="Arial" w:cs="Arial" w:eastAsia="Arial" w:hAnsi="Arial"/>
                <w:sz w:val="15"/>
                <w:szCs w:val="15"/>
                <w:color w:val="auto"/>
              </w:rPr>
              <w:t>Other current assets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24,558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14,875</w:t>
            </w:r>
          </w:p>
        </w:tc>
        <w:tc>
          <w:tcPr>
            <w:tcW w:w="0" w:type="dxa"/>
            <w:vAlign w:val="bottom"/>
          </w:tcPr>
          <w:p>
            <w:pPr>
              <w:spacing w:after="0"/>
              <w:rPr>
                <w:sz w:val="1"/>
                <w:szCs w:val="1"/>
                <w:color w:val="auto"/>
              </w:rPr>
            </w:pPr>
          </w:p>
        </w:tc>
      </w:tr>
      <w:tr>
        <w:trPr>
          <w:trHeight w:val="197"/>
        </w:trPr>
        <w:tc>
          <w:tcPr>
            <w:tcW w:w="80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current assets</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1,033,428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854,690</w:t>
            </w:r>
          </w:p>
        </w:tc>
        <w:tc>
          <w:tcPr>
            <w:tcW w:w="0" w:type="dxa"/>
            <w:vAlign w:val="bottom"/>
          </w:tcPr>
          <w:p>
            <w:pPr>
              <w:spacing w:after="0"/>
              <w:rPr>
                <w:sz w:val="1"/>
                <w:szCs w:val="1"/>
                <w:color w:val="auto"/>
              </w:rPr>
            </w:pPr>
          </w:p>
        </w:tc>
      </w:tr>
      <w:tr>
        <w:trPr>
          <w:trHeight w:val="201"/>
        </w:trPr>
        <w:tc>
          <w:tcPr>
            <w:tcW w:w="8020" w:type="dxa"/>
            <w:vAlign w:val="bottom"/>
          </w:tcPr>
          <w:p>
            <w:pPr>
              <w:ind w:left="460"/>
              <w:spacing w:after="0"/>
              <w:rPr>
                <w:sz w:val="20"/>
                <w:szCs w:val="20"/>
                <w:color w:val="auto"/>
              </w:rPr>
            </w:pPr>
            <w:r>
              <w:rPr>
                <w:rFonts w:ascii="Arial" w:cs="Arial" w:eastAsia="Arial" w:hAnsi="Arial"/>
                <w:sz w:val="15"/>
                <w:szCs w:val="15"/>
                <w:color w:val="auto"/>
              </w:rPr>
              <w:t>Loan servicing asset, at fair value</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88,823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88,497</w:t>
            </w:r>
          </w:p>
        </w:tc>
        <w:tc>
          <w:tcPr>
            <w:tcW w:w="0" w:type="dxa"/>
            <w:vAlign w:val="bottom"/>
          </w:tcPr>
          <w:p>
            <w:pPr>
              <w:spacing w:after="0"/>
              <w:rPr>
                <w:sz w:val="1"/>
                <w:szCs w:val="1"/>
                <w:color w:val="auto"/>
              </w:rPr>
            </w:pPr>
          </w:p>
        </w:tc>
      </w:tr>
      <w:tr>
        <w:trPr>
          <w:trHeight w:val="204"/>
        </w:trPr>
        <w:tc>
          <w:tcPr>
            <w:tcW w:w="80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Marketable securities, at fair value</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187,807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163,489</w:t>
            </w:r>
          </w:p>
        </w:tc>
        <w:tc>
          <w:tcPr>
            <w:tcW w:w="0" w:type="dxa"/>
            <w:vAlign w:val="bottom"/>
          </w:tcPr>
          <w:p>
            <w:pPr>
              <w:spacing w:after="0"/>
              <w:rPr>
                <w:sz w:val="1"/>
                <w:szCs w:val="1"/>
                <w:color w:val="auto"/>
              </w:rPr>
            </w:pPr>
          </w:p>
        </w:tc>
      </w:tr>
      <w:tr>
        <w:trPr>
          <w:trHeight w:val="201"/>
        </w:trPr>
        <w:tc>
          <w:tcPr>
            <w:tcW w:w="8020" w:type="dxa"/>
            <w:vAlign w:val="bottom"/>
          </w:tcPr>
          <w:p>
            <w:pPr>
              <w:ind w:left="460"/>
              <w:spacing w:after="0"/>
              <w:rPr>
                <w:sz w:val="20"/>
                <w:szCs w:val="20"/>
                <w:color w:val="auto"/>
              </w:rPr>
            </w:pPr>
            <w:r>
              <w:rPr>
                <w:rFonts w:ascii="Arial" w:cs="Arial" w:eastAsia="Arial" w:hAnsi="Arial"/>
                <w:sz w:val="15"/>
                <w:szCs w:val="15"/>
                <w:color w:val="auto"/>
              </w:rPr>
              <w:t>Digital assets, non-current</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4,195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9,704</w:t>
            </w:r>
          </w:p>
        </w:tc>
        <w:tc>
          <w:tcPr>
            <w:tcW w:w="0" w:type="dxa"/>
            <w:vAlign w:val="bottom"/>
          </w:tcPr>
          <w:p>
            <w:pPr>
              <w:spacing w:after="0"/>
              <w:rPr>
                <w:sz w:val="1"/>
                <w:szCs w:val="1"/>
                <w:color w:val="auto"/>
              </w:rPr>
            </w:pPr>
          </w:p>
        </w:tc>
      </w:tr>
      <w:tr>
        <w:trPr>
          <w:trHeight w:val="204"/>
        </w:trPr>
        <w:tc>
          <w:tcPr>
            <w:tcW w:w="80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Loan to related parties</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9,372</w:t>
            </w:r>
          </w:p>
        </w:tc>
        <w:tc>
          <w:tcPr>
            <w:tcW w:w="0" w:type="dxa"/>
            <w:vAlign w:val="bottom"/>
          </w:tcPr>
          <w:p>
            <w:pPr>
              <w:spacing w:after="0"/>
              <w:rPr>
                <w:sz w:val="1"/>
                <w:szCs w:val="1"/>
                <w:color w:val="auto"/>
              </w:rPr>
            </w:pPr>
          </w:p>
        </w:tc>
      </w:tr>
      <w:tr>
        <w:trPr>
          <w:trHeight w:val="201"/>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5"/>
                <w:szCs w:val="15"/>
                <w:color w:val="auto"/>
              </w:rPr>
              <w:t>Other non-current assets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29,643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33,826</w:t>
            </w:r>
          </w:p>
        </w:tc>
        <w:tc>
          <w:tcPr>
            <w:tcW w:w="0" w:type="dxa"/>
            <w:vAlign w:val="bottom"/>
          </w:tcPr>
          <w:p>
            <w:pPr>
              <w:spacing w:after="0"/>
              <w:rPr>
                <w:sz w:val="1"/>
                <w:szCs w:val="1"/>
                <w:color w:val="auto"/>
              </w:rPr>
            </w:pPr>
          </w:p>
        </w:tc>
      </w:tr>
      <w:tr>
        <w:trPr>
          <w:trHeight w:val="222"/>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assets</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1,354,181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1,159,578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020" w:type="dxa"/>
            <w:vAlign w:val="bottom"/>
          </w:tcPr>
          <w:p>
            <w:pPr>
              <w:ind w:left="460"/>
              <w:spacing w:after="0"/>
              <w:rPr>
                <w:sz w:val="20"/>
                <w:szCs w:val="20"/>
                <w:color w:val="auto"/>
              </w:rPr>
            </w:pPr>
            <w:r>
              <w:rPr>
                <w:rFonts w:ascii="Arial" w:cs="Arial" w:eastAsia="Arial" w:hAnsi="Arial"/>
                <w:sz w:val="15"/>
                <w:szCs w:val="15"/>
                <w:color w:val="auto"/>
              </w:rPr>
              <w:t>Current liabilities: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20" w:type="dxa"/>
            <w:vAlign w:val="bottom"/>
            <w:shd w:val="clear" w:color="auto" w:fill="CCEEFF"/>
          </w:tcPr>
          <w:p>
            <w:pPr>
              <w:ind w:left="900"/>
              <w:spacing w:after="0"/>
              <w:rPr>
                <w:sz w:val="20"/>
                <w:szCs w:val="20"/>
                <w:color w:val="auto"/>
              </w:rPr>
            </w:pPr>
            <w:r>
              <w:rPr>
                <w:rFonts w:ascii="Arial" w:cs="Arial" w:eastAsia="Arial" w:hAnsi="Arial"/>
                <w:sz w:val="15"/>
                <w:szCs w:val="15"/>
                <w:color w:val="auto"/>
              </w:rPr>
              <w:t>Accounts payable and accrued liabilities</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32,299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37,217</w:t>
            </w:r>
          </w:p>
        </w:tc>
        <w:tc>
          <w:tcPr>
            <w:tcW w:w="0" w:type="dxa"/>
            <w:vAlign w:val="bottom"/>
          </w:tcPr>
          <w:p>
            <w:pPr>
              <w:spacing w:after="0"/>
              <w:rPr>
                <w:sz w:val="1"/>
                <w:szCs w:val="1"/>
                <w:color w:val="auto"/>
              </w:rPr>
            </w:pPr>
          </w:p>
        </w:tc>
      </w:tr>
      <w:tr>
        <w:trPr>
          <w:trHeight w:val="201"/>
        </w:trPr>
        <w:tc>
          <w:tcPr>
            <w:tcW w:w="8020" w:type="dxa"/>
            <w:vAlign w:val="bottom"/>
          </w:tcPr>
          <w:p>
            <w:pPr>
              <w:ind w:left="900"/>
              <w:spacing w:after="0"/>
              <w:rPr>
                <w:sz w:val="20"/>
                <w:szCs w:val="20"/>
                <w:color w:val="auto"/>
              </w:rPr>
            </w:pPr>
            <w:r>
              <w:rPr>
                <w:rFonts w:ascii="Arial" w:cs="Arial" w:eastAsia="Arial" w:hAnsi="Arial"/>
                <w:sz w:val="15"/>
                <w:szCs w:val="15"/>
                <w:color w:val="auto"/>
              </w:rPr>
              <w:t>Payables to third-party loan owners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263,915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212,619</w:t>
            </w:r>
          </w:p>
        </w:tc>
        <w:tc>
          <w:tcPr>
            <w:tcW w:w="0" w:type="dxa"/>
            <w:vAlign w:val="bottom"/>
          </w:tcPr>
          <w:p>
            <w:pPr>
              <w:spacing w:after="0"/>
              <w:rPr>
                <w:sz w:val="1"/>
                <w:szCs w:val="1"/>
                <w:color w:val="auto"/>
              </w:rPr>
            </w:pPr>
          </w:p>
        </w:tc>
      </w:tr>
      <w:tr>
        <w:trPr>
          <w:trHeight w:val="204"/>
        </w:trPr>
        <w:tc>
          <w:tcPr>
            <w:tcW w:w="8020" w:type="dxa"/>
            <w:vAlign w:val="bottom"/>
            <w:shd w:val="clear" w:color="auto" w:fill="CCEEFF"/>
          </w:tcPr>
          <w:p>
            <w:pPr>
              <w:ind w:left="900"/>
              <w:spacing w:after="0"/>
              <w:rPr>
                <w:sz w:val="20"/>
                <w:szCs w:val="20"/>
                <w:color w:val="auto"/>
              </w:rPr>
            </w:pPr>
            <w:r>
              <w:rPr>
                <w:rFonts w:ascii="Arial" w:cs="Arial" w:eastAsia="Arial" w:hAnsi="Arial"/>
                <w:sz w:val="15"/>
                <w:szCs w:val="15"/>
                <w:color w:val="auto"/>
              </w:rPr>
              <w:t>Debt, current</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418,063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305,294</w:t>
            </w:r>
          </w:p>
        </w:tc>
        <w:tc>
          <w:tcPr>
            <w:tcW w:w="0" w:type="dxa"/>
            <w:vAlign w:val="bottom"/>
          </w:tcPr>
          <w:p>
            <w:pPr>
              <w:spacing w:after="0"/>
              <w:rPr>
                <w:sz w:val="1"/>
                <w:szCs w:val="1"/>
                <w:color w:val="auto"/>
              </w:rPr>
            </w:pPr>
          </w:p>
        </w:tc>
      </w:tr>
      <w:tr>
        <w:trPr>
          <w:trHeight w:val="201"/>
        </w:trPr>
        <w:tc>
          <w:tcPr>
            <w:tcW w:w="8020" w:type="dxa"/>
            <w:vAlign w:val="bottom"/>
            <w:tcBorders>
              <w:bottom w:val="single" w:sz="8" w:color="CCEEFF"/>
            </w:tcBorders>
          </w:tcPr>
          <w:p>
            <w:pPr>
              <w:ind w:left="900"/>
              <w:spacing w:after="0"/>
              <w:rPr>
                <w:sz w:val="20"/>
                <w:szCs w:val="20"/>
                <w:color w:val="auto"/>
              </w:rPr>
            </w:pPr>
            <w:r>
              <w:rPr>
                <w:rFonts w:ascii="Arial" w:cs="Arial" w:eastAsia="Arial" w:hAnsi="Arial"/>
                <w:sz w:val="15"/>
                <w:szCs w:val="15"/>
                <w:color w:val="auto"/>
              </w:rPr>
              <w:t>Other current liabilities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79,398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70,401</w:t>
            </w:r>
          </w:p>
        </w:tc>
        <w:tc>
          <w:tcPr>
            <w:tcW w:w="0" w:type="dxa"/>
            <w:vAlign w:val="bottom"/>
          </w:tcPr>
          <w:p>
            <w:pPr>
              <w:spacing w:after="0"/>
              <w:rPr>
                <w:sz w:val="1"/>
                <w:szCs w:val="1"/>
                <w:color w:val="auto"/>
              </w:rPr>
            </w:pPr>
          </w:p>
        </w:tc>
      </w:tr>
      <w:tr>
        <w:trPr>
          <w:trHeight w:val="197"/>
        </w:trPr>
        <w:tc>
          <w:tcPr>
            <w:tcW w:w="80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current liabilities</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793,675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625,531</w:t>
            </w:r>
          </w:p>
        </w:tc>
        <w:tc>
          <w:tcPr>
            <w:tcW w:w="0" w:type="dxa"/>
            <w:vAlign w:val="bottom"/>
          </w:tcPr>
          <w:p>
            <w:pPr>
              <w:spacing w:after="0"/>
              <w:rPr>
                <w:sz w:val="1"/>
                <w:szCs w:val="1"/>
                <w:color w:val="auto"/>
              </w:rPr>
            </w:pPr>
          </w:p>
        </w:tc>
      </w:tr>
      <w:tr>
        <w:trPr>
          <w:trHeight w:val="201"/>
        </w:trPr>
        <w:tc>
          <w:tcPr>
            <w:tcW w:w="8020" w:type="dxa"/>
            <w:vAlign w:val="bottom"/>
          </w:tcPr>
          <w:p>
            <w:pPr>
              <w:ind w:left="460"/>
              <w:spacing w:after="0"/>
              <w:rPr>
                <w:sz w:val="20"/>
                <w:szCs w:val="20"/>
                <w:color w:val="auto"/>
              </w:rPr>
            </w:pPr>
            <w:r>
              <w:rPr>
                <w:rFonts w:ascii="Arial" w:cs="Arial" w:eastAsia="Arial" w:hAnsi="Arial"/>
                <w:sz w:val="15"/>
                <w:szCs w:val="15"/>
                <w:color w:val="auto"/>
              </w:rPr>
              <w:t>Debt, non-current ($201 and $— at fair value)</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191,670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167,882</w:t>
            </w:r>
          </w:p>
        </w:tc>
        <w:tc>
          <w:tcPr>
            <w:tcW w:w="0" w:type="dxa"/>
            <w:vAlign w:val="bottom"/>
          </w:tcPr>
          <w:p>
            <w:pPr>
              <w:spacing w:after="0"/>
              <w:rPr>
                <w:sz w:val="1"/>
                <w:szCs w:val="1"/>
                <w:color w:val="auto"/>
              </w:rPr>
            </w:pPr>
          </w:p>
        </w:tc>
      </w:tr>
      <w:tr>
        <w:trPr>
          <w:trHeight w:val="204"/>
        </w:trPr>
        <w:tc>
          <w:tcPr>
            <w:tcW w:w="80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Lease liability, non current</w:t>
            </w: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2,790</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Total liabilities</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985,651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796,203</w:t>
            </w:r>
          </w:p>
        </w:tc>
        <w:tc>
          <w:tcPr>
            <w:tcW w:w="0" w:type="dxa"/>
            <w:vAlign w:val="bottom"/>
          </w:tcPr>
          <w:p>
            <w:pPr>
              <w:spacing w:after="0"/>
              <w:rPr>
                <w:sz w:val="1"/>
                <w:szCs w:val="1"/>
                <w:color w:val="auto"/>
              </w:rPr>
            </w:pPr>
          </w:p>
        </w:tc>
      </w:tr>
      <w:tr>
        <w:trPr>
          <w:trHeight w:val="184"/>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Commitments and contingencies (Note 9)</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8020" w:type="dxa"/>
            <w:vAlign w:val="bottom"/>
            <w:shd w:val="clear" w:color="auto" w:fill="CCEEFF"/>
          </w:tcPr>
          <w:p>
            <w:pPr>
              <w:ind w:left="440"/>
              <w:spacing w:after="0" w:line="149" w:lineRule="exact"/>
              <w:rPr>
                <w:sz w:val="20"/>
                <w:szCs w:val="20"/>
                <w:color w:val="auto"/>
              </w:rPr>
            </w:pPr>
            <w:r>
              <w:rPr>
                <w:rFonts w:ascii="Arial" w:cs="Arial" w:eastAsia="Arial" w:hAnsi="Arial"/>
                <w:sz w:val="15"/>
                <w:szCs w:val="15"/>
                <w:color w:val="auto"/>
              </w:rPr>
              <w:t>Convertible Preferred stock — FTI, $.00001 par value per share: 104,575,110 shares authorized, 104,575,110</w:t>
            </w: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020" w:type="dxa"/>
            <w:vAlign w:val="bottom"/>
            <w:shd w:val="clear" w:color="auto" w:fill="CCEEFF"/>
          </w:tcPr>
          <w:p>
            <w:pPr>
              <w:ind w:left="760"/>
              <w:spacing w:after="0" w:line="158" w:lineRule="exact"/>
              <w:rPr>
                <w:sz w:val="20"/>
                <w:szCs w:val="20"/>
                <w:color w:val="auto"/>
              </w:rPr>
            </w:pPr>
            <w:r>
              <w:rPr>
                <w:rFonts w:ascii="Arial" w:cs="Arial" w:eastAsia="Arial" w:hAnsi="Arial"/>
                <w:sz w:val="15"/>
                <w:szCs w:val="15"/>
                <w:color w:val="auto"/>
              </w:rPr>
              <w:t>shares issued and outstanding at March 31, 2025, liquidation preference $455,274,000; 104,575,110</w:t>
            </w: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020" w:type="dxa"/>
            <w:vAlign w:val="bottom"/>
            <w:shd w:val="clear" w:color="auto" w:fill="CCEEFF"/>
          </w:tcPr>
          <w:p>
            <w:pPr>
              <w:ind w:left="760"/>
              <w:spacing w:after="0" w:line="153" w:lineRule="exact"/>
              <w:rPr>
                <w:sz w:val="20"/>
                <w:szCs w:val="20"/>
                <w:color w:val="auto"/>
              </w:rPr>
            </w:pPr>
            <w:r>
              <w:rPr>
                <w:rFonts w:ascii="Arial" w:cs="Arial" w:eastAsia="Arial" w:hAnsi="Arial"/>
                <w:sz w:val="15"/>
                <w:szCs w:val="15"/>
                <w:color w:val="auto"/>
              </w:rPr>
              <w:t>shares authorized, 104,575,110 issued and outstanding at December 31, 2024, liquidation preference</w:t>
            </w:r>
          </w:p>
        </w:tc>
        <w:tc>
          <w:tcPr>
            <w:tcW w:w="22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760"/>
              <w:spacing w:after="0"/>
              <w:rPr>
                <w:sz w:val="20"/>
                <w:szCs w:val="20"/>
                <w:color w:val="auto"/>
              </w:rPr>
            </w:pPr>
            <w:r>
              <w:rPr>
                <w:rFonts w:ascii="Arial" w:cs="Arial" w:eastAsia="Arial" w:hAnsi="Arial"/>
                <w:sz w:val="15"/>
                <w:szCs w:val="15"/>
                <w:color w:val="auto"/>
              </w:rPr>
              <w:t>$455,274,000</w:t>
            </w:r>
          </w:p>
        </w:tc>
        <w:tc>
          <w:tcPr>
            <w:tcW w:w="220" w:type="dxa"/>
            <w:vAlign w:val="bottom"/>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020" w:type="dxa"/>
            <w:vAlign w:val="bottom"/>
          </w:tcPr>
          <w:p>
            <w:pPr>
              <w:ind w:left="440"/>
              <w:spacing w:after="0" w:line="149" w:lineRule="exact"/>
              <w:rPr>
                <w:sz w:val="20"/>
                <w:szCs w:val="20"/>
                <w:color w:val="auto"/>
              </w:rPr>
            </w:pPr>
            <w:r>
              <w:rPr>
                <w:rFonts w:ascii="Arial" w:cs="Arial" w:eastAsia="Arial" w:hAnsi="Arial"/>
                <w:sz w:val="15"/>
                <w:szCs w:val="15"/>
                <w:color w:val="auto"/>
              </w:rPr>
              <w:t>Convertible Preferred stock — Markets, $.00001 par value per share: 56,573,362 shares authorized,</w:t>
            </w: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020" w:type="dxa"/>
            <w:vAlign w:val="bottom"/>
          </w:tcPr>
          <w:p>
            <w:pPr>
              <w:ind w:left="680"/>
              <w:spacing w:after="0" w:line="158" w:lineRule="exact"/>
              <w:rPr>
                <w:sz w:val="20"/>
                <w:szCs w:val="20"/>
                <w:color w:val="auto"/>
              </w:rPr>
            </w:pPr>
            <w:r>
              <w:rPr>
                <w:rFonts w:ascii="Arial" w:cs="Arial" w:eastAsia="Arial" w:hAnsi="Arial"/>
                <w:sz w:val="15"/>
                <w:szCs w:val="15"/>
                <w:color w:val="auto"/>
              </w:rPr>
              <w:t>36,326,136 shares issued and outstanding at March 31, 2025, liquidation preference $73,292,000;</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020" w:type="dxa"/>
            <w:vAlign w:val="bottom"/>
          </w:tcPr>
          <w:p>
            <w:pPr>
              <w:ind w:left="680"/>
              <w:spacing w:after="0" w:line="153" w:lineRule="exact"/>
              <w:rPr>
                <w:sz w:val="20"/>
                <w:szCs w:val="20"/>
                <w:color w:val="auto"/>
              </w:rPr>
            </w:pPr>
            <w:r>
              <w:rPr>
                <w:rFonts w:ascii="Arial" w:cs="Arial" w:eastAsia="Arial" w:hAnsi="Arial"/>
                <w:sz w:val="15"/>
                <w:szCs w:val="15"/>
                <w:color w:val="auto"/>
              </w:rPr>
              <w:t>56,573,362 shares authorized, 36,326,136 shares issued and outstanding at December 31, 2024, liquidation</w:t>
            </w:r>
          </w:p>
        </w:tc>
        <w:tc>
          <w:tcPr>
            <w:tcW w:w="22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1"/>
        </w:trPr>
        <w:tc>
          <w:tcPr>
            <w:tcW w:w="8020" w:type="dxa"/>
            <w:vAlign w:val="bottom"/>
          </w:tcPr>
          <w:p>
            <w:pPr>
              <w:ind w:left="680"/>
              <w:spacing w:after="0"/>
              <w:rPr>
                <w:sz w:val="20"/>
                <w:szCs w:val="20"/>
                <w:color w:val="auto"/>
              </w:rPr>
            </w:pPr>
            <w:r>
              <w:rPr>
                <w:rFonts w:ascii="Arial" w:cs="Arial" w:eastAsia="Arial" w:hAnsi="Arial"/>
                <w:sz w:val="15"/>
                <w:szCs w:val="15"/>
                <w:color w:val="auto"/>
              </w:rPr>
              <w:t>preference $73,292,000</w:t>
            </w:r>
          </w:p>
        </w:tc>
        <w:tc>
          <w:tcPr>
            <w:tcW w:w="2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8020" w:type="dxa"/>
            <w:vAlign w:val="bottom"/>
            <w:shd w:val="clear" w:color="auto" w:fill="CCEEFF"/>
          </w:tcPr>
          <w:p>
            <w:pPr>
              <w:ind w:left="440"/>
              <w:spacing w:after="0" w:line="150" w:lineRule="exact"/>
              <w:rPr>
                <w:sz w:val="20"/>
                <w:szCs w:val="20"/>
                <w:color w:val="auto"/>
              </w:rPr>
            </w:pPr>
            <w:r>
              <w:rPr>
                <w:rFonts w:ascii="Arial" w:cs="Arial" w:eastAsia="Arial" w:hAnsi="Arial"/>
                <w:sz w:val="15"/>
                <w:szCs w:val="15"/>
                <w:color w:val="auto"/>
              </w:rPr>
              <w:t>Common stock — FTI, $.00001 par value per share: 202,800,000 shares authorized, 49,114,305 shares issued</w:t>
            </w: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20" w:type="dxa"/>
            <w:vAlign w:val="bottom"/>
            <w:shd w:val="clear" w:color="auto" w:fill="CCEEFF"/>
          </w:tcPr>
          <w:p>
            <w:pPr>
              <w:ind w:left="680"/>
              <w:spacing w:after="0" w:line="158" w:lineRule="exact"/>
              <w:rPr>
                <w:sz w:val="20"/>
                <w:szCs w:val="20"/>
                <w:color w:val="auto"/>
              </w:rPr>
            </w:pPr>
            <w:r>
              <w:rPr>
                <w:rFonts w:ascii="Arial" w:cs="Arial" w:eastAsia="Arial" w:hAnsi="Arial"/>
                <w:sz w:val="15"/>
                <w:szCs w:val="15"/>
                <w:color w:val="auto"/>
              </w:rPr>
              <w:t>and outstanding at March 31, 2025; 202,800,000 shares authorized, 48,918,728 issued and outstanding at</w:t>
            </w: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December 31, 2024</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49"/>
        </w:trPr>
        <w:tc>
          <w:tcPr>
            <w:tcW w:w="8020" w:type="dxa"/>
            <w:vAlign w:val="bottom"/>
          </w:tcPr>
          <w:p>
            <w:pPr>
              <w:ind w:left="440"/>
              <w:spacing w:after="0" w:line="149" w:lineRule="exact"/>
              <w:rPr>
                <w:sz w:val="20"/>
                <w:szCs w:val="20"/>
                <w:color w:val="auto"/>
              </w:rPr>
            </w:pPr>
            <w:r>
              <w:rPr>
                <w:rFonts w:ascii="Arial" w:cs="Arial" w:eastAsia="Arial" w:hAnsi="Arial"/>
                <w:sz w:val="15"/>
                <w:szCs w:val="15"/>
                <w:color w:val="auto"/>
              </w:rPr>
              <w:t>Common stock — Markets, $.00001 par value per share: 188,540,000 shares authorized, 101,076,818 shares</w:t>
            </w: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020" w:type="dxa"/>
            <w:vAlign w:val="bottom"/>
          </w:tcPr>
          <w:p>
            <w:pPr>
              <w:ind w:left="680"/>
              <w:spacing w:after="0" w:line="158" w:lineRule="exact"/>
              <w:rPr>
                <w:sz w:val="20"/>
                <w:szCs w:val="20"/>
                <w:color w:val="auto"/>
              </w:rPr>
            </w:pPr>
            <w:r>
              <w:rPr>
                <w:rFonts w:ascii="Arial" w:cs="Arial" w:eastAsia="Arial" w:hAnsi="Arial"/>
                <w:sz w:val="15"/>
                <w:szCs w:val="15"/>
                <w:color w:val="auto"/>
              </w:rPr>
              <w:t>issued and outstanding at March 31, 2025; 188,540,000 shares authorized, 101,071,089 issued and</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680"/>
              <w:spacing w:after="0"/>
              <w:rPr>
                <w:sz w:val="20"/>
                <w:szCs w:val="20"/>
                <w:color w:val="auto"/>
              </w:rPr>
            </w:pPr>
            <w:r>
              <w:rPr>
                <w:rFonts w:ascii="Arial" w:cs="Arial" w:eastAsia="Arial" w:hAnsi="Arial"/>
                <w:sz w:val="15"/>
                <w:szCs w:val="15"/>
                <w:color w:val="auto"/>
              </w:rPr>
              <w:t>outstanding at December 31, 2024</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Additional paid-in capital</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681,794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675,945</w:t>
            </w:r>
          </w:p>
        </w:tc>
        <w:tc>
          <w:tcPr>
            <w:tcW w:w="0" w:type="dxa"/>
            <w:vAlign w:val="bottom"/>
          </w:tcPr>
          <w:p>
            <w:pPr>
              <w:spacing w:after="0"/>
              <w:rPr>
                <w:sz w:val="1"/>
                <w:szCs w:val="1"/>
                <w:color w:val="auto"/>
              </w:rPr>
            </w:pPr>
          </w:p>
        </w:tc>
      </w:tr>
      <w:tr>
        <w:trPr>
          <w:trHeight w:val="201"/>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5"/>
                <w:szCs w:val="15"/>
                <w:color w:val="auto"/>
              </w:rPr>
              <w:t>Accumulated deficit</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(321,671)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(320,851)</w:t>
            </w:r>
          </w:p>
        </w:tc>
        <w:tc>
          <w:tcPr>
            <w:tcW w:w="0" w:type="dxa"/>
            <w:vAlign w:val="bottom"/>
          </w:tcPr>
          <w:p>
            <w:pPr>
              <w:spacing w:after="0"/>
              <w:rPr>
                <w:sz w:val="1"/>
                <w:szCs w:val="1"/>
                <w:color w:val="auto"/>
              </w:rPr>
            </w:pPr>
          </w:p>
        </w:tc>
      </w:tr>
      <w:tr>
        <w:trPr>
          <w:trHeight w:val="197"/>
        </w:trPr>
        <w:tc>
          <w:tcPr>
            <w:tcW w:w="80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Figure Technology Group stockholders’ equity</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360,127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355,098</w:t>
            </w:r>
          </w:p>
        </w:tc>
        <w:tc>
          <w:tcPr>
            <w:tcW w:w="0" w:type="dxa"/>
            <w:vAlign w:val="bottom"/>
          </w:tcPr>
          <w:p>
            <w:pPr>
              <w:spacing w:after="0"/>
              <w:rPr>
                <w:sz w:val="1"/>
                <w:szCs w:val="1"/>
                <w:color w:val="auto"/>
              </w:rPr>
            </w:pPr>
          </w:p>
        </w:tc>
      </w:tr>
      <w:tr>
        <w:trPr>
          <w:trHeight w:val="201"/>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5"/>
                <w:szCs w:val="15"/>
                <w:color w:val="auto"/>
              </w:rPr>
              <w:t>Noncontrolling interests in consolidated subsidiaries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8,403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8,277</w:t>
            </w:r>
          </w:p>
        </w:tc>
        <w:tc>
          <w:tcPr>
            <w:tcW w:w="0" w:type="dxa"/>
            <w:vAlign w:val="bottom"/>
          </w:tcPr>
          <w:p>
            <w:pPr>
              <w:spacing w:after="0"/>
              <w:rPr>
                <w:sz w:val="1"/>
                <w:szCs w:val="1"/>
                <w:color w:val="auto"/>
              </w:rPr>
            </w:pPr>
          </w:p>
        </w:tc>
      </w:tr>
      <w:tr>
        <w:trPr>
          <w:trHeight w:val="196"/>
        </w:trPr>
        <w:tc>
          <w:tcPr>
            <w:tcW w:w="80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stockholders’ equity</w:t>
            </w: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368,530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363,375</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Arial" w:cs="Arial" w:eastAsia="Arial" w:hAnsi="Arial"/>
                <w:sz w:val="15"/>
                <w:szCs w:val="15"/>
                <w:color w:val="auto"/>
              </w:rPr>
              <w:t>Total liabilities and stockholders’ equity</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1,354,181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1,159,578</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229" w:right="339" w:bottom="1440" w:gutter="0" w:footer="0" w:header="0"/>
        </w:sectPr>
      </w:pPr>
    </w:p>
    <w:bookmarkStart w:id="255" w:name="page256"/>
    <w:bookmarkEnd w:id="255"/>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CONSOLIDATED STATEMENTS OF OPERATIONS (UNAUDITED)</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796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796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Ecosystem and technology fees</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15,613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6,055</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Servicing fees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w:t>
            </w: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Interest income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16,606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9,578</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Origination fees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12,477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15,797</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Gain on sale of loans, net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32,023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24,466</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Gain on servicing asset, net</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13,539</w:t>
            </w:r>
          </w:p>
        </w:tc>
      </w:tr>
      <w:tr>
        <w:trPr>
          <w:trHeight w:val="229"/>
        </w:trPr>
        <w:tc>
          <w:tcPr>
            <w:tcW w:w="7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revenue</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2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net revenue</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84,510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75,264</w:t>
            </w: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18,840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44,722</w:t>
            </w: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Technology and product development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17,416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15,031</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Operations and processing</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10,878</w:t>
            </w: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Sales and marketing</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14,967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12,354</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14,704</w:t>
            </w:r>
          </w:p>
        </w:tc>
      </w:tr>
      <w:tr>
        <w:trPr>
          <w:trHeight w:val="229"/>
        </w:trPr>
        <w:tc>
          <w:tcPr>
            <w:tcW w:w="7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expense</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r>
      <w:tr>
        <w:trPr>
          <w:trHeight w:val="22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expenses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76,438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99,109</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(23,845)</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expense, net</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expense, net</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w:t>
            </w:r>
          </w:p>
        </w:tc>
      </w:tr>
      <w:tr>
        <w:trPr>
          <w:trHeight w:val="22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other expense, net</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(28,485)</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provision (benefit)</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(28,461)</w:t>
            </w: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 in consolidated subsidiaries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Figure Technology Group</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(29,943)</w:t>
            </w:r>
          </w:p>
        </w:tc>
      </w:tr>
      <w:tr>
        <w:trPr>
          <w:trHeight w:val="20"/>
        </w:trPr>
        <w:tc>
          <w:tcPr>
            <w:tcW w:w="7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229" w:right="339" w:bottom="1440" w:gutter="0" w:footer="0" w:header="0"/>
        </w:sectPr>
      </w:pPr>
    </w:p>
    <w:bookmarkStart w:id="256" w:name="page257"/>
    <w:bookmarkEnd w:id="256"/>
    <w:p>
      <w:pPr>
        <w:jc w:val="center"/>
        <w:ind w:right="10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CONDENSED COMBINED CONSOLIDATED STATEMENTS OF STOCKHOLDERS' EQUITY (UNAUDITED)</w:t>
      </w:r>
    </w:p>
    <w:p>
      <w:pPr>
        <w:jc w:val="center"/>
        <w:ind w:right="4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6"/>
              </w:rPr>
              <w:t>Total Figure</w:t>
            </w: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w w:val="98"/>
              </w:rPr>
              <w:t>Noncontrolling</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120" w:type="dxa"/>
            <w:vAlign w:val="bottom"/>
          </w:tcPr>
          <w:p>
            <w:pPr>
              <w:spacing w:after="0"/>
              <w:rPr>
                <w:sz w:val="12"/>
                <w:szCs w:val="12"/>
                <w:color w:val="auto"/>
              </w:rPr>
            </w:pPr>
          </w:p>
        </w:tc>
        <w:tc>
          <w:tcPr>
            <w:tcW w:w="1220" w:type="dxa"/>
            <w:vAlign w:val="bottom"/>
            <w:gridSpan w:val="3"/>
          </w:tcPr>
          <w:p>
            <w:pPr>
              <w:ind w:left="220"/>
              <w:spacing w:after="0"/>
              <w:rPr>
                <w:sz w:val="20"/>
                <w:szCs w:val="20"/>
                <w:color w:val="auto"/>
              </w:rPr>
            </w:pPr>
            <w:r>
              <w:rPr>
                <w:rFonts w:ascii="Arial" w:cs="Arial" w:eastAsia="Arial" w:hAnsi="Arial"/>
                <w:sz w:val="12"/>
                <w:szCs w:val="12"/>
                <w:b w:val="1"/>
                <w:bCs w:val="1"/>
                <w:color w:val="auto"/>
                <w:w w:val="95"/>
              </w:rPr>
              <w:t>FTI — Convertible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FTI — Common Stock</w:t>
            </w:r>
          </w:p>
        </w:tc>
        <w:tc>
          <w:tcPr>
            <w:tcW w:w="142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6"/>
              </w:rPr>
              <w:t>Markets — Convertible</w:t>
            </w:r>
          </w:p>
        </w:tc>
        <w:tc>
          <w:tcPr>
            <w:tcW w:w="152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6"/>
              </w:rPr>
              <w:t>Markets — Common</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5"/>
              </w:rPr>
              <w:t>Additional</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4"/>
              </w:rPr>
              <w:t>Technology</w:t>
            </w:r>
          </w:p>
        </w:tc>
        <w:tc>
          <w:tcPr>
            <w:tcW w:w="9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211"/>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1220" w:type="dxa"/>
            <w:vAlign w:val="bottom"/>
            <w:gridSpan w:val="3"/>
          </w:tcPr>
          <w:p>
            <w:pPr>
              <w:ind w:left="280"/>
              <w:spacing w:after="0" w:line="122" w:lineRule="exact"/>
              <w:rPr>
                <w:sz w:val="20"/>
                <w:szCs w:val="20"/>
                <w:color w:val="auto"/>
              </w:rPr>
            </w:pPr>
            <w:r>
              <w:rPr>
                <w:rFonts w:ascii="Arial" w:cs="Arial" w:eastAsia="Arial" w:hAnsi="Arial"/>
                <w:sz w:val="12"/>
                <w:szCs w:val="12"/>
                <w:b w:val="1"/>
                <w:bCs w:val="1"/>
                <w:color w:val="auto"/>
              </w:rPr>
              <w:t>Preferred Stock</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5"/>
            <w:vMerge w:val="continue"/>
          </w:tcPr>
          <w:p>
            <w:pPr>
              <w:spacing w:after="0"/>
              <w:rPr>
                <w:sz w:val="10"/>
                <w:szCs w:val="10"/>
                <w:color w:val="auto"/>
              </w:rPr>
            </w:pPr>
          </w:p>
        </w:tc>
        <w:tc>
          <w:tcPr>
            <w:tcW w:w="1120" w:type="dxa"/>
            <w:vAlign w:val="bottom"/>
            <w:gridSpan w:val="3"/>
          </w:tcPr>
          <w:p>
            <w:pPr>
              <w:jc w:val="center"/>
              <w:ind w:left="152"/>
              <w:spacing w:after="0" w:line="122" w:lineRule="exact"/>
              <w:rPr>
                <w:sz w:val="20"/>
                <w:szCs w:val="20"/>
                <w:color w:val="auto"/>
              </w:rPr>
            </w:pPr>
            <w:r>
              <w:rPr>
                <w:rFonts w:ascii="Arial" w:cs="Arial" w:eastAsia="Arial" w:hAnsi="Arial"/>
                <w:sz w:val="12"/>
                <w:szCs w:val="12"/>
                <w:b w:val="1"/>
                <w:bCs w:val="1"/>
                <w:color w:val="auto"/>
                <w:w w:val="96"/>
              </w:rPr>
              <w:t>Preferred Stock</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left="432"/>
              <w:spacing w:after="0" w:line="122" w:lineRule="exact"/>
              <w:rPr>
                <w:sz w:val="20"/>
                <w:szCs w:val="20"/>
                <w:color w:val="auto"/>
              </w:rPr>
            </w:pPr>
            <w:r>
              <w:rPr>
                <w:rFonts w:ascii="Arial" w:cs="Arial" w:eastAsia="Arial" w:hAnsi="Arial"/>
                <w:sz w:val="12"/>
                <w:szCs w:val="12"/>
                <w:b w:val="1"/>
                <w:bCs w:val="1"/>
                <w:color w:val="auto"/>
                <w:w w:val="97"/>
              </w:rPr>
              <w:t>Stock</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w w:val="99"/>
              </w:rPr>
              <w:t>Group</w:t>
            </w:r>
          </w:p>
        </w:tc>
        <w:tc>
          <w:tcPr>
            <w:tcW w:w="12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Arial" w:cs="Arial" w:eastAsia="Arial" w:hAnsi="Arial"/>
                <w:sz w:val="12"/>
                <w:szCs w:val="12"/>
                <w:b w:val="1"/>
                <w:bCs w:val="1"/>
                <w:color w:val="auto"/>
                <w:w w:val="96"/>
              </w:rPr>
              <w:t>Interests in</w:t>
            </w:r>
          </w:p>
        </w:tc>
        <w:tc>
          <w:tcPr>
            <w:tcW w:w="1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gridSpan w:val="2"/>
            <w:vMerge w:val="restart"/>
          </w:tcPr>
          <w:p>
            <w:pPr>
              <w:jc w:val="center"/>
              <w:ind w:right="80"/>
              <w:spacing w:after="0" w:line="81" w:lineRule="exact"/>
              <w:rPr>
                <w:sz w:val="20"/>
                <w:szCs w:val="20"/>
                <w:color w:val="auto"/>
              </w:rPr>
            </w:pPr>
            <w:r>
              <w:rPr>
                <w:rFonts w:ascii="Arial" w:cs="Arial" w:eastAsia="Arial" w:hAnsi="Arial"/>
                <w:sz w:val="9"/>
                <w:szCs w:val="9"/>
                <w:b w:val="1"/>
                <w:bCs w:val="1"/>
                <w:color w:val="auto"/>
              </w:rPr>
              <w:t>Paid-In</w:t>
            </w:r>
          </w:p>
        </w:tc>
        <w:tc>
          <w:tcPr>
            <w:tcW w:w="860" w:type="dxa"/>
            <w:vAlign w:val="bottom"/>
            <w:gridSpan w:val="2"/>
            <w:vMerge w:val="restart"/>
          </w:tcPr>
          <w:p>
            <w:pPr>
              <w:ind w:left="20"/>
              <w:spacing w:after="0" w:line="81" w:lineRule="exact"/>
              <w:rPr>
                <w:sz w:val="20"/>
                <w:szCs w:val="20"/>
                <w:color w:val="auto"/>
              </w:rPr>
            </w:pPr>
            <w:r>
              <w:rPr>
                <w:rFonts w:ascii="Arial" w:cs="Arial" w:eastAsia="Arial" w:hAnsi="Arial"/>
                <w:sz w:val="9"/>
                <w:szCs w:val="9"/>
                <w:b w:val="1"/>
                <w:bCs w:val="1"/>
                <w:color w:val="auto"/>
              </w:rPr>
              <w:t>Accumulated</w:t>
            </w:r>
          </w:p>
        </w:tc>
        <w:tc>
          <w:tcPr>
            <w:tcW w:w="880" w:type="dxa"/>
            <w:vAlign w:val="bottom"/>
            <w:gridSpan w:val="3"/>
            <w:vMerge w:val="restart"/>
          </w:tcPr>
          <w:p>
            <w:pPr>
              <w:jc w:val="center"/>
              <w:ind w:right="80"/>
              <w:spacing w:after="0" w:line="81" w:lineRule="exact"/>
              <w:rPr>
                <w:sz w:val="20"/>
                <w:szCs w:val="20"/>
                <w:color w:val="auto"/>
              </w:rPr>
            </w:pPr>
            <w:r>
              <w:rPr>
                <w:rFonts w:ascii="Arial" w:cs="Arial" w:eastAsia="Arial" w:hAnsi="Arial"/>
                <w:sz w:val="9"/>
                <w:szCs w:val="9"/>
                <w:b w:val="1"/>
                <w:bCs w:val="1"/>
                <w:color w:val="auto"/>
              </w:rPr>
              <w:t>Stockholders’</w:t>
            </w:r>
          </w:p>
        </w:tc>
        <w:tc>
          <w:tcPr>
            <w:tcW w:w="960" w:type="dxa"/>
            <w:vAlign w:val="bottom"/>
            <w:gridSpan w:val="3"/>
            <w:vMerge w:val="restart"/>
          </w:tcPr>
          <w:p>
            <w:pPr>
              <w:jc w:val="center"/>
              <w:ind w:right="60"/>
              <w:spacing w:after="0" w:line="81" w:lineRule="exact"/>
              <w:rPr>
                <w:sz w:val="20"/>
                <w:szCs w:val="20"/>
                <w:color w:val="auto"/>
              </w:rPr>
            </w:pPr>
            <w:r>
              <w:rPr>
                <w:rFonts w:ascii="Arial" w:cs="Arial" w:eastAsia="Arial" w:hAnsi="Arial"/>
                <w:sz w:val="9"/>
                <w:szCs w:val="9"/>
                <w:b w:val="1"/>
                <w:bCs w:val="1"/>
                <w:color w:val="auto"/>
              </w:rPr>
              <w:t>Consolidated</w:t>
            </w:r>
          </w:p>
        </w:tc>
        <w:tc>
          <w:tcPr>
            <w:tcW w:w="820" w:type="dxa"/>
            <w:vAlign w:val="bottom"/>
            <w:gridSpan w:val="2"/>
            <w:vMerge w:val="restart"/>
          </w:tcPr>
          <w:p>
            <w:pPr>
              <w:ind w:left="20"/>
              <w:spacing w:after="0" w:line="81" w:lineRule="exact"/>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92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Shares</w:t>
            </w:r>
          </w:p>
        </w:tc>
        <w:tc>
          <w:tcPr>
            <w:tcW w:w="6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4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Shares</w:t>
            </w:r>
          </w:p>
        </w:tc>
        <w:tc>
          <w:tcPr>
            <w:tcW w:w="6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Shares</w:t>
            </w:r>
          </w:p>
        </w:tc>
        <w:tc>
          <w:tcPr>
            <w:tcW w:w="6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94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Shares</w:t>
            </w:r>
          </w:p>
        </w:tc>
        <w:tc>
          <w:tcPr>
            <w:tcW w:w="5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0" w:type="dxa"/>
            <w:vAlign w:val="bottom"/>
            <w:gridSpan w:val="2"/>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9"/>
              </w:rPr>
              <w:t>Capital</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Deficit</w:t>
            </w:r>
          </w:p>
        </w:tc>
        <w:tc>
          <w:tcPr>
            <w:tcW w:w="16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Equity</w:t>
            </w:r>
          </w:p>
        </w:tc>
        <w:tc>
          <w:tcPr>
            <w:tcW w:w="96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8"/>
              </w:rPr>
              <w:t>Subsidiaries</w:t>
            </w:r>
          </w:p>
        </w:tc>
        <w:tc>
          <w:tcPr>
            <w:tcW w:w="160" w:type="dxa"/>
            <w:vAlign w:val="bottom"/>
          </w:tcPr>
          <w:p>
            <w:pPr>
              <w:spacing w:after="0"/>
              <w:rPr>
                <w:sz w:val="14"/>
                <w:szCs w:val="14"/>
                <w:color w:val="auto"/>
              </w:rPr>
            </w:pPr>
          </w:p>
        </w:tc>
        <w:tc>
          <w:tcPr>
            <w:tcW w:w="660" w:type="dxa"/>
            <w:vAlign w:val="bottom"/>
          </w:tcPr>
          <w:p>
            <w:pPr>
              <w:jc w:val="right"/>
              <w:ind w:right="171"/>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33"/>
        </w:trPr>
        <w:tc>
          <w:tcPr>
            <w:tcW w:w="112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b w:val="1"/>
                <w:bCs w:val="1"/>
                <w:color w:val="auto"/>
              </w:rPr>
              <w:t>Balance at</w:t>
            </w: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20" w:type="dxa"/>
            <w:vAlign w:val="bottom"/>
            <w:shd w:val="clear" w:color="auto" w:fill="CCEEFF"/>
          </w:tcPr>
          <w:p>
            <w:pPr>
              <w:ind w:left="180"/>
              <w:spacing w:after="0" w:line="145" w:lineRule="exact"/>
              <w:rPr>
                <w:sz w:val="20"/>
                <w:szCs w:val="20"/>
                <w:color w:val="auto"/>
              </w:rPr>
            </w:pPr>
            <w:r>
              <w:rPr>
                <w:rFonts w:ascii="Arial" w:cs="Arial" w:eastAsia="Arial" w:hAnsi="Arial"/>
                <w:sz w:val="14"/>
                <w:szCs w:val="14"/>
                <w:b w:val="1"/>
                <w:bCs w:val="1"/>
                <w:color w:val="auto"/>
              </w:rPr>
              <w:t>December</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104,575,110</w:t>
            </w:r>
          </w:p>
        </w:tc>
        <w:tc>
          <w:tcPr>
            <w:tcW w:w="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48,918,728</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36,326,136</w:t>
            </w:r>
          </w:p>
        </w:tc>
        <w:tc>
          <w:tcPr>
            <w:tcW w:w="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101,071,089</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$ 675,945</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(320,851)</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355,098</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8,277</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363,375</w:t>
            </w: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31, 2024</w:t>
            </w: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20" w:type="dxa"/>
            <w:vAlign w:val="bottom"/>
          </w:tcPr>
          <w:p>
            <w:pPr>
              <w:ind w:left="20"/>
              <w:spacing w:after="0" w:line="153" w:lineRule="exact"/>
              <w:rPr>
                <w:sz w:val="20"/>
                <w:szCs w:val="20"/>
                <w:color w:val="auto"/>
              </w:rPr>
            </w:pPr>
            <w:r>
              <w:rPr>
                <w:rFonts w:ascii="Arial" w:cs="Arial" w:eastAsia="Arial" w:hAnsi="Arial"/>
                <w:sz w:val="14"/>
                <w:szCs w:val="14"/>
                <w:color w:val="auto"/>
              </w:rPr>
              <w:t>Issuance of</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20" w:type="dxa"/>
            <w:vAlign w:val="bottom"/>
          </w:tcPr>
          <w:p>
            <w:pPr>
              <w:ind w:left="180"/>
              <w:spacing w:after="0" w:line="145" w:lineRule="exact"/>
              <w:rPr>
                <w:sz w:val="20"/>
                <w:szCs w:val="20"/>
                <w:color w:val="auto"/>
              </w:rPr>
            </w:pPr>
            <w:r>
              <w:rPr>
                <w:rFonts w:ascii="Arial" w:cs="Arial" w:eastAsia="Arial" w:hAnsi="Arial"/>
                <w:sz w:val="14"/>
                <w:szCs w:val="14"/>
                <w:color w:val="auto"/>
              </w:rPr>
              <w:t>preferred</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180"/>
              <w:spacing w:after="0" w:line="139" w:lineRule="exact"/>
              <w:rPr>
                <w:sz w:val="20"/>
                <w:szCs w:val="20"/>
                <w:color w:val="auto"/>
              </w:rPr>
            </w:pPr>
            <w:r>
              <w:rPr>
                <w:rFonts w:ascii="Arial" w:cs="Arial" w:eastAsia="Arial" w:hAnsi="Arial"/>
                <w:sz w:val="14"/>
                <w:szCs w:val="14"/>
                <w:color w:val="auto"/>
              </w:rPr>
              <w:t>stock</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2,927</w:t>
            </w:r>
          </w:p>
        </w:tc>
        <w:tc>
          <w:tcPr>
            <w:tcW w:w="100" w:type="dxa"/>
            <w:vAlign w:val="bottom"/>
          </w:tcPr>
          <w:p>
            <w:pPr>
              <w:spacing w:after="0"/>
              <w:rPr>
                <w:sz w:val="12"/>
                <w:szCs w:val="12"/>
                <w:color w:val="auto"/>
              </w:rPr>
            </w:pPr>
          </w:p>
        </w:tc>
        <w:tc>
          <w:tcPr>
            <w:tcW w:w="86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2,927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vMerge w:val="restart"/>
          </w:tcPr>
          <w:p>
            <w:pPr>
              <w:jc w:val="right"/>
              <w:ind w:right="11"/>
              <w:spacing w:after="0"/>
              <w:rPr>
                <w:sz w:val="20"/>
                <w:szCs w:val="20"/>
                <w:color w:val="auto"/>
              </w:rPr>
            </w:pPr>
            <w:r>
              <w:rPr>
                <w:rFonts w:ascii="Arial" w:cs="Arial" w:eastAsia="Arial" w:hAnsi="Arial"/>
                <w:sz w:val="14"/>
                <w:szCs w:val="14"/>
                <w:color w:val="auto"/>
              </w:rPr>
              <w:t>2,927</w:t>
            </w:r>
          </w:p>
        </w:tc>
        <w:tc>
          <w:tcPr>
            <w:tcW w:w="0" w:type="dxa"/>
            <w:vAlign w:val="bottom"/>
          </w:tcPr>
          <w:p>
            <w:pPr>
              <w:spacing w:after="0"/>
              <w:rPr>
                <w:sz w:val="1"/>
                <w:szCs w:val="1"/>
                <w:color w:val="auto"/>
              </w:rPr>
            </w:pPr>
          </w:p>
        </w:tc>
      </w:tr>
      <w:tr>
        <w:trPr>
          <w:trHeight w:val="194"/>
        </w:trPr>
        <w:tc>
          <w:tcPr>
            <w:tcW w:w="1120" w:type="dxa"/>
            <w:vAlign w:val="bottom"/>
          </w:tcPr>
          <w:p>
            <w:pPr>
              <w:ind w:left="180"/>
              <w:spacing w:after="0"/>
              <w:rPr>
                <w:sz w:val="20"/>
                <w:szCs w:val="20"/>
                <w:color w:val="auto"/>
              </w:rPr>
            </w:pPr>
            <w:r>
              <w:rPr>
                <w:rFonts w:ascii="Arial" w:cs="Arial" w:eastAsia="Arial" w:hAnsi="Arial"/>
                <w:sz w:val="14"/>
                <w:szCs w:val="14"/>
                <w:color w:val="auto"/>
              </w:rPr>
              <w:t>warrants</w:t>
            </w:r>
          </w:p>
        </w:tc>
        <w:tc>
          <w:tcPr>
            <w:tcW w:w="9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1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Exercise of</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195,577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5,729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508</w:t>
            </w: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85"/>
        </w:trPr>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options</w:t>
            </w:r>
          </w:p>
        </w:tc>
        <w:tc>
          <w:tcPr>
            <w:tcW w:w="92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20" w:type="dxa"/>
            <w:vAlign w:val="bottom"/>
          </w:tcPr>
          <w:p>
            <w:pPr>
              <w:ind w:left="20"/>
              <w:spacing w:after="0" w:line="153" w:lineRule="exact"/>
              <w:rPr>
                <w:sz w:val="20"/>
                <w:szCs w:val="20"/>
                <w:color w:val="auto"/>
              </w:rPr>
            </w:pPr>
            <w:r>
              <w:rPr>
                <w:rFonts w:ascii="Arial" w:cs="Arial" w:eastAsia="Arial" w:hAnsi="Arial"/>
                <w:sz w:val="14"/>
                <w:szCs w:val="14"/>
                <w:color w:val="auto"/>
              </w:rPr>
              <w:t>Stock</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20" w:type="dxa"/>
            <w:vAlign w:val="bottom"/>
          </w:tcPr>
          <w:p>
            <w:pPr>
              <w:ind w:left="180"/>
              <w:spacing w:after="0" w:line="145" w:lineRule="exact"/>
              <w:rPr>
                <w:sz w:val="20"/>
                <w:szCs w:val="20"/>
                <w:color w:val="auto"/>
              </w:rPr>
            </w:pPr>
            <w:r>
              <w:rPr>
                <w:rFonts w:ascii="Arial" w:cs="Arial" w:eastAsia="Arial" w:hAnsi="Arial"/>
                <w:sz w:val="14"/>
                <w:szCs w:val="14"/>
                <w:color w:val="auto"/>
              </w:rPr>
              <w:t>compensation</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2,414</w:t>
            </w:r>
          </w:p>
        </w:tc>
        <w:tc>
          <w:tcPr>
            <w:tcW w:w="100" w:type="dxa"/>
            <w:vAlign w:val="bottom"/>
          </w:tcPr>
          <w:p>
            <w:pPr>
              <w:spacing w:after="0"/>
              <w:rPr>
                <w:sz w:val="12"/>
                <w:szCs w:val="12"/>
                <w:color w:val="auto"/>
              </w:rPr>
            </w:pPr>
          </w:p>
        </w:tc>
        <w:tc>
          <w:tcPr>
            <w:tcW w:w="86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2,414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vMerge w:val="restart"/>
          </w:tcPr>
          <w:p>
            <w:pPr>
              <w:jc w:val="right"/>
              <w:ind w:right="11"/>
              <w:spacing w:after="0"/>
              <w:rPr>
                <w:sz w:val="20"/>
                <w:szCs w:val="20"/>
                <w:color w:val="auto"/>
              </w:rPr>
            </w:pPr>
            <w:r>
              <w:rPr>
                <w:rFonts w:ascii="Arial" w:cs="Arial" w:eastAsia="Arial" w:hAnsi="Arial"/>
                <w:sz w:val="14"/>
                <w:szCs w:val="14"/>
                <w:color w:val="auto"/>
              </w:rPr>
              <w:t>2,414</w:t>
            </w:r>
          </w:p>
        </w:tc>
        <w:tc>
          <w:tcPr>
            <w:tcW w:w="0" w:type="dxa"/>
            <w:vAlign w:val="bottom"/>
          </w:tcPr>
          <w:p>
            <w:pPr>
              <w:spacing w:after="0"/>
              <w:rPr>
                <w:sz w:val="1"/>
                <w:szCs w:val="1"/>
                <w:color w:val="auto"/>
              </w:rPr>
            </w:pPr>
          </w:p>
        </w:tc>
      </w:tr>
      <w:tr>
        <w:trPr>
          <w:trHeight w:val="189"/>
        </w:trPr>
        <w:tc>
          <w:tcPr>
            <w:tcW w:w="1120" w:type="dxa"/>
            <w:vAlign w:val="bottom"/>
          </w:tcPr>
          <w:p>
            <w:pPr>
              <w:ind w:left="180"/>
              <w:spacing w:after="0"/>
              <w:rPr>
                <w:sz w:val="20"/>
                <w:szCs w:val="20"/>
                <w:color w:val="auto"/>
              </w:rPr>
            </w:pPr>
            <w:r>
              <w:rPr>
                <w:rFonts w:ascii="Arial" w:cs="Arial" w:eastAsia="Arial" w:hAnsi="Arial"/>
                <w:sz w:val="14"/>
                <w:szCs w:val="14"/>
                <w:color w:val="auto"/>
              </w:rPr>
              <w:t>expense</w:t>
            </w:r>
          </w:p>
        </w:tc>
        <w:tc>
          <w:tcPr>
            <w:tcW w:w="9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Dividends &amp;</w:t>
            </w: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20" w:type="dxa"/>
            <w:vAlign w:val="bottom"/>
            <w:shd w:val="clear" w:color="auto" w:fill="CCEEFF"/>
          </w:tcPr>
          <w:p>
            <w:pPr>
              <w:ind w:left="180"/>
              <w:spacing w:after="0" w:line="145" w:lineRule="exact"/>
              <w:rPr>
                <w:sz w:val="20"/>
                <w:szCs w:val="20"/>
                <w:color w:val="auto"/>
              </w:rPr>
            </w:pPr>
            <w:r>
              <w:rPr>
                <w:rFonts w:ascii="Arial" w:cs="Arial" w:eastAsia="Arial" w:hAnsi="Arial"/>
                <w:sz w:val="14"/>
                <w:szCs w:val="14"/>
                <w:color w:val="auto"/>
              </w:rPr>
              <w:t>redemptions</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20" w:type="dxa"/>
            <w:vAlign w:val="bottom"/>
            <w:shd w:val="clear" w:color="auto" w:fill="CCEEFF"/>
          </w:tcPr>
          <w:p>
            <w:pPr>
              <w:ind w:left="180"/>
              <w:spacing w:after="0" w:line="139" w:lineRule="exact"/>
              <w:rPr>
                <w:sz w:val="20"/>
                <w:szCs w:val="20"/>
                <w:color w:val="auto"/>
              </w:rPr>
            </w:pPr>
            <w:r>
              <w:rPr>
                <w:rFonts w:ascii="Arial" w:cs="Arial" w:eastAsia="Arial" w:hAnsi="Arial"/>
                <w:sz w:val="14"/>
                <w:szCs w:val="14"/>
                <w:color w:val="auto"/>
              </w:rPr>
              <w:t>of</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9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98"/>
        </w:trPr>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subsidiaries</w:t>
            </w:r>
          </w:p>
        </w:tc>
        <w:tc>
          <w:tcPr>
            <w:tcW w:w="92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120" w:type="dxa"/>
            <w:vAlign w:val="bottom"/>
          </w:tcPr>
          <w:p>
            <w:pPr>
              <w:ind w:left="20"/>
              <w:spacing w:after="0" w:line="153" w:lineRule="exact"/>
              <w:rPr>
                <w:sz w:val="20"/>
                <w:szCs w:val="20"/>
                <w:color w:val="auto"/>
              </w:rPr>
            </w:pPr>
            <w:r>
              <w:rPr>
                <w:rFonts w:ascii="Arial" w:cs="Arial" w:eastAsia="Arial" w:hAnsi="Arial"/>
                <w:sz w:val="14"/>
                <w:szCs w:val="14"/>
                <w:color w:val="auto"/>
              </w:rPr>
              <w:t>Net (loss)</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(820)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(820)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207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(613)</w:t>
            </w:r>
          </w:p>
        </w:tc>
        <w:tc>
          <w:tcPr>
            <w:tcW w:w="0" w:type="dxa"/>
            <w:vAlign w:val="bottom"/>
          </w:tcPr>
          <w:p>
            <w:pPr>
              <w:spacing w:after="0"/>
              <w:rPr>
                <w:sz w:val="1"/>
                <w:szCs w:val="1"/>
                <w:color w:val="auto"/>
              </w:rPr>
            </w:pPr>
          </w:p>
        </w:tc>
      </w:tr>
      <w:tr>
        <w:trPr>
          <w:trHeight w:val="185"/>
        </w:trPr>
        <w:tc>
          <w:tcPr>
            <w:tcW w:w="1120" w:type="dxa"/>
            <w:vAlign w:val="bottom"/>
          </w:tcPr>
          <w:p>
            <w:pPr>
              <w:ind w:left="180"/>
              <w:spacing w:after="0"/>
              <w:rPr>
                <w:sz w:val="20"/>
                <w:szCs w:val="20"/>
                <w:color w:val="auto"/>
              </w:rPr>
            </w:pPr>
            <w:r>
              <w:rPr>
                <w:rFonts w:ascii="Arial" w:cs="Arial" w:eastAsia="Arial" w:hAnsi="Arial"/>
                <w:sz w:val="14"/>
                <w:szCs w:val="14"/>
                <w:color w:val="auto"/>
              </w:rPr>
              <w:t>income</w:t>
            </w:r>
          </w:p>
        </w:tc>
        <w:tc>
          <w:tcPr>
            <w:tcW w:w="9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12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b w:val="1"/>
                <w:bCs w:val="1"/>
                <w:color w:val="auto"/>
              </w:rPr>
              <w:t>Balance at</w:t>
            </w: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20" w:type="dxa"/>
            <w:vAlign w:val="bottom"/>
            <w:shd w:val="clear" w:color="auto" w:fill="CCEEFF"/>
          </w:tcPr>
          <w:p>
            <w:pPr>
              <w:ind w:left="180"/>
              <w:spacing w:after="0" w:line="145" w:lineRule="exact"/>
              <w:rPr>
                <w:sz w:val="20"/>
                <w:szCs w:val="20"/>
                <w:color w:val="auto"/>
              </w:rPr>
            </w:pPr>
            <w:r>
              <w:rPr>
                <w:rFonts w:ascii="Arial" w:cs="Arial" w:eastAsia="Arial" w:hAnsi="Arial"/>
                <w:sz w:val="14"/>
                <w:szCs w:val="14"/>
                <w:b w:val="1"/>
                <w:bCs w:val="1"/>
                <w:color w:val="auto"/>
              </w:rPr>
              <w:t>March 31,</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104,575,110</w:t>
            </w:r>
          </w:p>
        </w:tc>
        <w:tc>
          <w:tcPr>
            <w:tcW w:w="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49,114,305</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36,326,136</w:t>
            </w:r>
          </w:p>
        </w:tc>
        <w:tc>
          <w:tcPr>
            <w:tcW w:w="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101,076,818</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$ 681,794</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(321,671)</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360,127</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8,403</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368,530</w:t>
            </w:r>
          </w:p>
        </w:tc>
        <w:tc>
          <w:tcPr>
            <w:tcW w:w="0" w:type="dxa"/>
            <w:vAlign w:val="bottom"/>
          </w:tcPr>
          <w:p>
            <w:pPr>
              <w:spacing w:after="0"/>
              <w:rPr>
                <w:sz w:val="1"/>
                <w:szCs w:val="1"/>
                <w:color w:val="auto"/>
              </w:rPr>
            </w:pPr>
          </w:p>
        </w:tc>
      </w:tr>
      <w:tr>
        <w:trPr>
          <w:trHeight w:val="182"/>
        </w:trPr>
        <w:tc>
          <w:tcPr>
            <w:tcW w:w="1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2025</w:t>
            </w: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40"/>
          </w:cols>
          <w:pgMar w:left="320" w:top="229" w:right="239" w:bottom="1440" w:gutter="0" w:footer="0" w:header="0"/>
        </w:sectPr>
      </w:pPr>
    </w:p>
    <w:bookmarkStart w:id="257" w:name="page258"/>
    <w:bookmarkEnd w:id="257"/>
    <w:p>
      <w:pPr>
        <w:jc w:val="center"/>
        <w:ind w:right="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CONDENSED COMBINED CONSOLIDATED STATEMENTS OF STOCKHOLDERS' EQUITY (UNAUDITED)</w:t>
      </w:r>
    </w:p>
    <w:p>
      <w:pPr>
        <w:jc w:val="center"/>
        <w:ind w:right="3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6"/>
              </w:rPr>
              <w:t>Total Figure</w:t>
            </w:r>
          </w:p>
        </w:tc>
        <w:tc>
          <w:tcPr>
            <w:tcW w:w="9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Noncontrolling</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120" w:type="dxa"/>
            <w:vAlign w:val="bottom"/>
          </w:tcPr>
          <w:p>
            <w:pPr>
              <w:spacing w:after="0"/>
              <w:rPr>
                <w:sz w:val="12"/>
                <w:szCs w:val="12"/>
                <w:color w:val="auto"/>
              </w:rPr>
            </w:pP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w w:val="95"/>
              </w:rPr>
              <w:t>FTI — Convertible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FTI — Common Stock</w:t>
            </w:r>
          </w:p>
        </w:tc>
        <w:tc>
          <w:tcPr>
            <w:tcW w:w="144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8"/>
              </w:rPr>
              <w:t>Markets — Convertible</w:t>
            </w:r>
          </w:p>
        </w:tc>
        <w:tc>
          <w:tcPr>
            <w:tcW w:w="144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6"/>
              </w:rPr>
              <w:t>Markets — Common</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8"/>
              </w:rPr>
              <w:t>Additional</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7"/>
              </w:rPr>
              <w:t>Technology</w:t>
            </w:r>
          </w:p>
        </w:tc>
        <w:tc>
          <w:tcPr>
            <w:tcW w:w="9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9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1200" w:type="dxa"/>
            <w:vAlign w:val="bottom"/>
            <w:gridSpan w:val="3"/>
          </w:tcPr>
          <w:p>
            <w:pPr>
              <w:ind w:left="260"/>
              <w:spacing w:after="0" w:line="122" w:lineRule="exact"/>
              <w:rPr>
                <w:sz w:val="20"/>
                <w:szCs w:val="20"/>
                <w:color w:val="auto"/>
              </w:rPr>
            </w:pPr>
            <w:r>
              <w:rPr>
                <w:rFonts w:ascii="Arial" w:cs="Arial" w:eastAsia="Arial" w:hAnsi="Arial"/>
                <w:sz w:val="12"/>
                <w:szCs w:val="12"/>
                <w:b w:val="1"/>
                <w:bCs w:val="1"/>
                <w:color w:val="auto"/>
              </w:rPr>
              <w:t>Preferred Stock</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5"/>
            <w:vMerge w:val="continue"/>
          </w:tcPr>
          <w:p>
            <w:pPr>
              <w:spacing w:after="0"/>
              <w:rPr>
                <w:sz w:val="10"/>
                <w:szCs w:val="10"/>
                <w:color w:val="auto"/>
              </w:rPr>
            </w:pPr>
          </w:p>
        </w:tc>
        <w:tc>
          <w:tcPr>
            <w:tcW w:w="1140" w:type="dxa"/>
            <w:vAlign w:val="bottom"/>
            <w:gridSpan w:val="3"/>
          </w:tcPr>
          <w:p>
            <w:pPr>
              <w:jc w:val="center"/>
              <w:ind w:left="151"/>
              <w:spacing w:after="0" w:line="122" w:lineRule="exact"/>
              <w:rPr>
                <w:sz w:val="20"/>
                <w:szCs w:val="20"/>
                <w:color w:val="auto"/>
              </w:rPr>
            </w:pPr>
            <w:r>
              <w:rPr>
                <w:rFonts w:ascii="Arial" w:cs="Arial" w:eastAsia="Arial" w:hAnsi="Arial"/>
                <w:sz w:val="12"/>
                <w:szCs w:val="12"/>
                <w:b w:val="1"/>
                <w:bCs w:val="1"/>
                <w:color w:val="auto"/>
                <w:w w:val="98"/>
              </w:rPr>
              <w:t>Preferred Stock</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left="451"/>
              <w:spacing w:after="0" w:line="122" w:lineRule="exact"/>
              <w:rPr>
                <w:sz w:val="20"/>
                <w:szCs w:val="20"/>
                <w:color w:val="auto"/>
              </w:rPr>
            </w:pPr>
            <w:r>
              <w:rPr>
                <w:rFonts w:ascii="Arial" w:cs="Arial" w:eastAsia="Arial" w:hAnsi="Arial"/>
                <w:sz w:val="12"/>
                <w:szCs w:val="12"/>
                <w:b w:val="1"/>
                <w:bCs w:val="1"/>
                <w:color w:val="auto"/>
                <w:w w:val="97"/>
              </w:rPr>
              <w:t>Stock</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w w:val="94"/>
              </w:rPr>
              <w:t>Group</w:t>
            </w:r>
          </w:p>
        </w:tc>
        <w:tc>
          <w:tcPr>
            <w:tcW w:w="12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Arial" w:cs="Arial" w:eastAsia="Arial" w:hAnsi="Arial"/>
                <w:sz w:val="12"/>
                <w:szCs w:val="12"/>
                <w:b w:val="1"/>
                <w:bCs w:val="1"/>
                <w:color w:val="auto"/>
                <w:w w:val="96"/>
              </w:rPr>
              <w:t>Interests in</w:t>
            </w:r>
          </w:p>
        </w:tc>
        <w:tc>
          <w:tcPr>
            <w:tcW w:w="1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gridSpan w:val="2"/>
            <w:vMerge w:val="restart"/>
          </w:tcPr>
          <w:p>
            <w:pPr>
              <w:jc w:val="center"/>
              <w:ind w:right="100"/>
              <w:spacing w:after="0" w:line="81" w:lineRule="exact"/>
              <w:rPr>
                <w:sz w:val="20"/>
                <w:szCs w:val="20"/>
                <w:color w:val="auto"/>
              </w:rPr>
            </w:pPr>
            <w:r>
              <w:rPr>
                <w:rFonts w:ascii="Arial" w:cs="Arial" w:eastAsia="Arial" w:hAnsi="Arial"/>
                <w:sz w:val="9"/>
                <w:szCs w:val="9"/>
                <w:b w:val="1"/>
                <w:bCs w:val="1"/>
                <w:color w:val="auto"/>
              </w:rPr>
              <w:t>Paid-In</w:t>
            </w:r>
          </w:p>
        </w:tc>
        <w:tc>
          <w:tcPr>
            <w:tcW w:w="860" w:type="dxa"/>
            <w:vAlign w:val="bottom"/>
            <w:gridSpan w:val="2"/>
            <w:vMerge w:val="restart"/>
          </w:tcPr>
          <w:p>
            <w:pPr>
              <w:ind w:left="20"/>
              <w:spacing w:after="0" w:line="81" w:lineRule="exact"/>
              <w:rPr>
                <w:sz w:val="20"/>
                <w:szCs w:val="20"/>
                <w:color w:val="auto"/>
              </w:rPr>
            </w:pPr>
            <w:r>
              <w:rPr>
                <w:rFonts w:ascii="Arial" w:cs="Arial" w:eastAsia="Arial" w:hAnsi="Arial"/>
                <w:sz w:val="9"/>
                <w:szCs w:val="9"/>
                <w:b w:val="1"/>
                <w:bCs w:val="1"/>
                <w:color w:val="auto"/>
              </w:rPr>
              <w:t>Accumulated</w:t>
            </w:r>
          </w:p>
        </w:tc>
        <w:tc>
          <w:tcPr>
            <w:tcW w:w="900" w:type="dxa"/>
            <w:vAlign w:val="bottom"/>
            <w:gridSpan w:val="3"/>
            <w:vMerge w:val="restart"/>
          </w:tcPr>
          <w:p>
            <w:pPr>
              <w:jc w:val="center"/>
              <w:ind w:right="80"/>
              <w:spacing w:after="0" w:line="81" w:lineRule="exact"/>
              <w:rPr>
                <w:sz w:val="20"/>
                <w:szCs w:val="20"/>
                <w:color w:val="auto"/>
              </w:rPr>
            </w:pPr>
            <w:r>
              <w:rPr>
                <w:rFonts w:ascii="Arial" w:cs="Arial" w:eastAsia="Arial" w:hAnsi="Arial"/>
                <w:sz w:val="9"/>
                <w:szCs w:val="9"/>
                <w:b w:val="1"/>
                <w:bCs w:val="1"/>
                <w:color w:val="auto"/>
              </w:rPr>
              <w:t>Stockholders’</w:t>
            </w:r>
          </w:p>
        </w:tc>
        <w:tc>
          <w:tcPr>
            <w:tcW w:w="960" w:type="dxa"/>
            <w:vAlign w:val="bottom"/>
            <w:gridSpan w:val="3"/>
            <w:vMerge w:val="restart"/>
          </w:tcPr>
          <w:p>
            <w:pPr>
              <w:jc w:val="center"/>
              <w:ind w:right="60"/>
              <w:spacing w:after="0" w:line="81" w:lineRule="exact"/>
              <w:rPr>
                <w:sz w:val="20"/>
                <w:szCs w:val="20"/>
                <w:color w:val="auto"/>
              </w:rPr>
            </w:pPr>
            <w:r>
              <w:rPr>
                <w:rFonts w:ascii="Arial" w:cs="Arial" w:eastAsia="Arial" w:hAnsi="Arial"/>
                <w:sz w:val="9"/>
                <w:szCs w:val="9"/>
                <w:b w:val="1"/>
                <w:bCs w:val="1"/>
                <w:color w:val="auto"/>
              </w:rPr>
              <w:t>Consolidated</w:t>
            </w:r>
          </w:p>
        </w:tc>
        <w:tc>
          <w:tcPr>
            <w:tcW w:w="820" w:type="dxa"/>
            <w:vAlign w:val="bottom"/>
            <w:gridSpan w:val="2"/>
            <w:vMerge w:val="restart"/>
          </w:tcPr>
          <w:p>
            <w:pPr>
              <w:ind w:left="20"/>
              <w:spacing w:after="0" w:line="81" w:lineRule="exact"/>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92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Shares</w:t>
            </w:r>
          </w:p>
        </w:tc>
        <w:tc>
          <w:tcPr>
            <w:tcW w:w="5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6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Shares</w:t>
            </w:r>
          </w:p>
        </w:tc>
        <w:tc>
          <w:tcPr>
            <w:tcW w:w="5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4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Shares</w:t>
            </w:r>
          </w:p>
        </w:tc>
        <w:tc>
          <w:tcPr>
            <w:tcW w:w="6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4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Shares</w:t>
            </w:r>
          </w:p>
        </w:tc>
        <w:tc>
          <w:tcPr>
            <w:tcW w:w="6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80" w:type="dxa"/>
            <w:vAlign w:val="bottom"/>
            <w:gridSpan w:val="2"/>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9"/>
              </w:rPr>
              <w:t>Capital</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Deficit</w:t>
            </w:r>
          </w:p>
        </w:tc>
        <w:tc>
          <w:tcPr>
            <w:tcW w:w="16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Equity</w:t>
            </w:r>
          </w:p>
        </w:tc>
        <w:tc>
          <w:tcPr>
            <w:tcW w:w="96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8"/>
              </w:rPr>
              <w:t>Subsidiaries</w:t>
            </w:r>
          </w:p>
        </w:tc>
        <w:tc>
          <w:tcPr>
            <w:tcW w:w="160" w:type="dxa"/>
            <w:vAlign w:val="bottom"/>
          </w:tcPr>
          <w:p>
            <w:pPr>
              <w:spacing w:after="0"/>
              <w:rPr>
                <w:sz w:val="14"/>
                <w:szCs w:val="14"/>
                <w:color w:val="auto"/>
              </w:rPr>
            </w:pPr>
          </w:p>
        </w:tc>
        <w:tc>
          <w:tcPr>
            <w:tcW w:w="660" w:type="dxa"/>
            <w:vAlign w:val="bottom"/>
          </w:tcPr>
          <w:p>
            <w:pPr>
              <w:jc w:val="right"/>
              <w:ind w:right="15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33"/>
        </w:trPr>
        <w:tc>
          <w:tcPr>
            <w:tcW w:w="112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b w:val="1"/>
                <w:bCs w:val="1"/>
                <w:color w:val="auto"/>
              </w:rPr>
              <w:t>Balance at</w:t>
            </w: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20" w:type="dxa"/>
            <w:vAlign w:val="bottom"/>
            <w:shd w:val="clear" w:color="auto" w:fill="CCEEFF"/>
          </w:tcPr>
          <w:p>
            <w:pPr>
              <w:ind w:left="180"/>
              <w:spacing w:after="0" w:line="145" w:lineRule="exact"/>
              <w:rPr>
                <w:sz w:val="20"/>
                <w:szCs w:val="20"/>
                <w:color w:val="auto"/>
              </w:rPr>
            </w:pPr>
            <w:r>
              <w:rPr>
                <w:rFonts w:ascii="Arial" w:cs="Arial" w:eastAsia="Arial" w:hAnsi="Arial"/>
                <w:sz w:val="14"/>
                <w:szCs w:val="14"/>
                <w:b w:val="1"/>
                <w:bCs w:val="1"/>
                <w:color w:val="auto"/>
              </w:rPr>
              <w:t>December</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104,575,110</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51,618,208</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w w:val="96"/>
              </w:rPr>
              <w:t>$ 555,133</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(338,065)</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217,070</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5,353</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222,423</w:t>
            </w: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31, 2023</w:t>
            </w: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20" w:type="dxa"/>
            <w:vAlign w:val="bottom"/>
          </w:tcPr>
          <w:p>
            <w:pPr>
              <w:ind w:left="20"/>
              <w:spacing w:after="0" w:line="153" w:lineRule="exact"/>
              <w:rPr>
                <w:sz w:val="20"/>
                <w:szCs w:val="20"/>
                <w:color w:val="auto"/>
              </w:rPr>
            </w:pPr>
            <w:r>
              <w:rPr>
                <w:rFonts w:ascii="Arial" w:cs="Arial" w:eastAsia="Arial" w:hAnsi="Arial"/>
                <w:sz w:val="14"/>
                <w:szCs w:val="14"/>
                <w:color w:val="auto"/>
              </w:rPr>
              <w:t>Issuance and</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20" w:type="dxa"/>
            <w:vAlign w:val="bottom"/>
          </w:tcPr>
          <w:p>
            <w:pPr>
              <w:ind w:left="180"/>
              <w:spacing w:after="0" w:line="145" w:lineRule="exact"/>
              <w:rPr>
                <w:sz w:val="20"/>
                <w:szCs w:val="20"/>
                <w:color w:val="auto"/>
              </w:rPr>
            </w:pPr>
            <w:r>
              <w:rPr>
                <w:rFonts w:ascii="Arial" w:cs="Arial" w:eastAsia="Arial" w:hAnsi="Arial"/>
                <w:sz w:val="14"/>
                <w:szCs w:val="14"/>
                <w:color w:val="auto"/>
              </w:rPr>
              <w:t>exchange of</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85"/>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(3,667,229)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99,998,851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1120" w:type="dxa"/>
            <w:vAlign w:val="bottom"/>
          </w:tcPr>
          <w:p>
            <w:pPr>
              <w:ind w:left="180"/>
              <w:spacing w:after="0"/>
              <w:rPr>
                <w:sz w:val="20"/>
                <w:szCs w:val="20"/>
                <w:color w:val="auto"/>
              </w:rPr>
            </w:pPr>
            <w:r>
              <w:rPr>
                <w:rFonts w:ascii="Arial" w:cs="Arial" w:eastAsia="Arial" w:hAnsi="Arial"/>
                <w:sz w:val="14"/>
                <w:szCs w:val="14"/>
                <w:color w:val="auto"/>
              </w:rPr>
              <w:t>equity</w:t>
            </w:r>
          </w:p>
        </w:tc>
        <w:tc>
          <w:tcPr>
            <w:tcW w:w="9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w:t>
            </w: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20" w:type="dxa"/>
            <w:vAlign w:val="bottom"/>
            <w:shd w:val="clear" w:color="auto" w:fill="CCEEFF"/>
          </w:tcPr>
          <w:p>
            <w:pPr>
              <w:ind w:left="180"/>
              <w:spacing w:after="0" w:line="145" w:lineRule="exact"/>
              <w:rPr>
                <w:sz w:val="20"/>
                <w:szCs w:val="20"/>
                <w:color w:val="auto"/>
              </w:rPr>
            </w:pPr>
            <w:r>
              <w:rPr>
                <w:rFonts w:ascii="Arial" w:cs="Arial" w:eastAsia="Arial" w:hAnsi="Arial"/>
                <w:sz w:val="14"/>
                <w:szCs w:val="14"/>
                <w:color w:val="auto"/>
              </w:rPr>
              <w:t>Series Seed</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20" w:type="dxa"/>
            <w:vAlign w:val="bottom"/>
            <w:shd w:val="clear" w:color="auto" w:fill="CCEEFF"/>
          </w:tcPr>
          <w:p>
            <w:pPr>
              <w:ind w:left="180"/>
              <w:spacing w:after="0" w:line="139" w:lineRule="exact"/>
              <w:rPr>
                <w:sz w:val="20"/>
                <w:szCs w:val="20"/>
                <w:color w:val="auto"/>
              </w:rPr>
            </w:pPr>
            <w:r>
              <w:rPr>
                <w:rFonts w:ascii="Arial" w:cs="Arial" w:eastAsia="Arial" w:hAnsi="Arial"/>
                <w:sz w:val="14"/>
                <w:szCs w:val="14"/>
                <w:color w:val="auto"/>
              </w:rPr>
              <w:t>preferred</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stock, net of</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shd w:val="clear" w:color="auto" w:fill="CCEEFF"/>
          </w:tcPr>
          <w:p>
            <w:pPr>
              <w:ind w:left="180"/>
              <w:spacing w:after="0" w:line="145" w:lineRule="exact"/>
              <w:rPr>
                <w:sz w:val="20"/>
                <w:szCs w:val="20"/>
                <w:color w:val="auto"/>
              </w:rPr>
            </w:pPr>
            <w:r>
              <w:rPr>
                <w:rFonts w:ascii="Arial" w:cs="Arial" w:eastAsia="Arial" w:hAnsi="Arial"/>
                <w:sz w:val="14"/>
                <w:szCs w:val="14"/>
                <w:color w:val="auto"/>
              </w:rPr>
              <w:t>issuance</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26,318,971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52,076</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52,077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52,077</w:t>
            </w: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costs</w:t>
            </w:r>
          </w:p>
        </w:tc>
        <w:tc>
          <w:tcPr>
            <w:tcW w:w="92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20" w:type="dxa"/>
            <w:vAlign w:val="bottom"/>
          </w:tcPr>
          <w:p>
            <w:pPr>
              <w:ind w:left="20"/>
              <w:spacing w:after="0" w:line="153" w:lineRule="exact"/>
              <w:rPr>
                <w:sz w:val="20"/>
                <w:szCs w:val="20"/>
                <w:color w:val="auto"/>
              </w:rPr>
            </w:pPr>
            <w:r>
              <w:rPr>
                <w:rFonts w:ascii="Arial" w:cs="Arial" w:eastAsia="Arial" w:hAnsi="Arial"/>
                <w:sz w:val="14"/>
                <w:szCs w:val="14"/>
                <w:color w:val="auto"/>
              </w:rPr>
              <w:t>Issuance of</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20" w:type="dxa"/>
            <w:vAlign w:val="bottom"/>
          </w:tcPr>
          <w:p>
            <w:pPr>
              <w:ind w:left="180"/>
              <w:spacing w:after="0" w:line="145" w:lineRule="exact"/>
              <w:rPr>
                <w:sz w:val="20"/>
                <w:szCs w:val="20"/>
                <w:color w:val="auto"/>
              </w:rPr>
            </w:pPr>
            <w:r>
              <w:rPr>
                <w:rFonts w:ascii="Arial" w:cs="Arial" w:eastAsia="Arial" w:hAnsi="Arial"/>
                <w:sz w:val="14"/>
                <w:szCs w:val="14"/>
                <w:color w:val="auto"/>
              </w:rPr>
              <w:t>preferred</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180"/>
              <w:spacing w:after="0" w:line="139" w:lineRule="exact"/>
              <w:rPr>
                <w:sz w:val="20"/>
                <w:szCs w:val="20"/>
                <w:color w:val="auto"/>
              </w:rPr>
            </w:pPr>
            <w:r>
              <w:rPr>
                <w:rFonts w:ascii="Arial" w:cs="Arial" w:eastAsia="Arial" w:hAnsi="Arial"/>
                <w:sz w:val="14"/>
                <w:szCs w:val="14"/>
                <w:color w:val="auto"/>
              </w:rPr>
              <w:t>stock</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85"/>
              </w:rPr>
              <w:t>—</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12"/>
              <w:spacing w:after="0"/>
              <w:rPr>
                <w:sz w:val="20"/>
                <w:szCs w:val="20"/>
                <w:color w:val="auto"/>
              </w:rPr>
            </w:pPr>
            <w:r>
              <w:rPr>
                <w:rFonts w:ascii="Arial" w:cs="Arial" w:eastAsia="Arial" w:hAnsi="Arial"/>
                <w:sz w:val="14"/>
                <w:szCs w:val="14"/>
                <w:color w:val="auto"/>
              </w:rPr>
              <w:t>3,039</w:t>
            </w:r>
          </w:p>
        </w:tc>
        <w:tc>
          <w:tcPr>
            <w:tcW w:w="80" w:type="dxa"/>
            <w:vAlign w:val="bottom"/>
          </w:tcPr>
          <w:p>
            <w:pPr>
              <w:spacing w:after="0"/>
              <w:rPr>
                <w:sz w:val="12"/>
                <w:szCs w:val="12"/>
                <w:color w:val="auto"/>
              </w:rPr>
            </w:pPr>
          </w:p>
        </w:tc>
        <w:tc>
          <w:tcPr>
            <w:tcW w:w="86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3,039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3,039</w:t>
            </w:r>
          </w:p>
        </w:tc>
        <w:tc>
          <w:tcPr>
            <w:tcW w:w="0" w:type="dxa"/>
            <w:vAlign w:val="bottom"/>
          </w:tcPr>
          <w:p>
            <w:pPr>
              <w:spacing w:after="0"/>
              <w:rPr>
                <w:sz w:val="1"/>
                <w:szCs w:val="1"/>
                <w:color w:val="auto"/>
              </w:rPr>
            </w:pPr>
          </w:p>
        </w:tc>
      </w:tr>
      <w:tr>
        <w:trPr>
          <w:trHeight w:val="194"/>
        </w:trPr>
        <w:tc>
          <w:tcPr>
            <w:tcW w:w="1120" w:type="dxa"/>
            <w:vAlign w:val="bottom"/>
          </w:tcPr>
          <w:p>
            <w:pPr>
              <w:ind w:left="180"/>
              <w:spacing w:after="0"/>
              <w:rPr>
                <w:sz w:val="20"/>
                <w:szCs w:val="20"/>
                <w:color w:val="auto"/>
              </w:rPr>
            </w:pPr>
            <w:r>
              <w:rPr>
                <w:rFonts w:ascii="Arial" w:cs="Arial" w:eastAsia="Arial" w:hAnsi="Arial"/>
                <w:sz w:val="14"/>
                <w:szCs w:val="14"/>
                <w:color w:val="auto"/>
              </w:rPr>
              <w:t>warrants</w:t>
            </w:r>
          </w:p>
        </w:tc>
        <w:tc>
          <w:tcPr>
            <w:tcW w:w="9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1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Exercise of</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362,836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867</w:t>
            </w:r>
          </w:p>
        </w:tc>
        <w:tc>
          <w:tcPr>
            <w:tcW w:w="8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185"/>
        </w:trPr>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options</w:t>
            </w:r>
          </w:p>
        </w:tc>
        <w:tc>
          <w:tcPr>
            <w:tcW w:w="92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20" w:type="dxa"/>
            <w:vAlign w:val="bottom"/>
          </w:tcPr>
          <w:p>
            <w:pPr>
              <w:ind w:left="20"/>
              <w:spacing w:after="0" w:line="153" w:lineRule="exact"/>
              <w:rPr>
                <w:sz w:val="20"/>
                <w:szCs w:val="20"/>
                <w:color w:val="auto"/>
              </w:rPr>
            </w:pPr>
            <w:r>
              <w:rPr>
                <w:rFonts w:ascii="Arial" w:cs="Arial" w:eastAsia="Arial" w:hAnsi="Arial"/>
                <w:sz w:val="14"/>
                <w:szCs w:val="14"/>
                <w:color w:val="auto"/>
              </w:rPr>
              <w:t>Stock</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20" w:type="dxa"/>
            <w:vAlign w:val="bottom"/>
          </w:tcPr>
          <w:p>
            <w:pPr>
              <w:ind w:left="180"/>
              <w:spacing w:after="0" w:line="145" w:lineRule="exact"/>
              <w:rPr>
                <w:sz w:val="20"/>
                <w:szCs w:val="20"/>
                <w:color w:val="auto"/>
              </w:rPr>
            </w:pPr>
            <w:r>
              <w:rPr>
                <w:rFonts w:ascii="Arial" w:cs="Arial" w:eastAsia="Arial" w:hAnsi="Arial"/>
                <w:sz w:val="14"/>
                <w:szCs w:val="14"/>
                <w:color w:val="auto"/>
              </w:rPr>
              <w:t>compensation</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85"/>
              </w:rPr>
              <w:t>—</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12"/>
              <w:spacing w:after="0"/>
              <w:rPr>
                <w:sz w:val="20"/>
                <w:szCs w:val="20"/>
                <w:color w:val="auto"/>
              </w:rPr>
            </w:pPr>
            <w:r>
              <w:rPr>
                <w:rFonts w:ascii="Arial" w:cs="Arial" w:eastAsia="Arial" w:hAnsi="Arial"/>
                <w:sz w:val="14"/>
                <w:szCs w:val="14"/>
                <w:color w:val="auto"/>
              </w:rPr>
              <w:t>23,209</w:t>
            </w:r>
          </w:p>
        </w:tc>
        <w:tc>
          <w:tcPr>
            <w:tcW w:w="80" w:type="dxa"/>
            <w:vAlign w:val="bottom"/>
          </w:tcPr>
          <w:p>
            <w:pPr>
              <w:spacing w:after="0"/>
              <w:rPr>
                <w:sz w:val="12"/>
                <w:szCs w:val="12"/>
                <w:color w:val="auto"/>
              </w:rPr>
            </w:pPr>
          </w:p>
        </w:tc>
        <w:tc>
          <w:tcPr>
            <w:tcW w:w="86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23,209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23,209</w:t>
            </w:r>
          </w:p>
        </w:tc>
        <w:tc>
          <w:tcPr>
            <w:tcW w:w="0" w:type="dxa"/>
            <w:vAlign w:val="bottom"/>
          </w:tcPr>
          <w:p>
            <w:pPr>
              <w:spacing w:after="0"/>
              <w:rPr>
                <w:sz w:val="1"/>
                <w:szCs w:val="1"/>
                <w:color w:val="auto"/>
              </w:rPr>
            </w:pPr>
          </w:p>
        </w:tc>
      </w:tr>
      <w:tr>
        <w:trPr>
          <w:trHeight w:val="189"/>
        </w:trPr>
        <w:tc>
          <w:tcPr>
            <w:tcW w:w="1120" w:type="dxa"/>
            <w:vAlign w:val="bottom"/>
          </w:tcPr>
          <w:p>
            <w:pPr>
              <w:ind w:left="180"/>
              <w:spacing w:after="0"/>
              <w:rPr>
                <w:sz w:val="20"/>
                <w:szCs w:val="20"/>
                <w:color w:val="auto"/>
              </w:rPr>
            </w:pPr>
            <w:r>
              <w:rPr>
                <w:rFonts w:ascii="Arial" w:cs="Arial" w:eastAsia="Arial" w:hAnsi="Arial"/>
                <w:sz w:val="14"/>
                <w:szCs w:val="14"/>
                <w:color w:val="auto"/>
              </w:rPr>
              <w:t>expense</w:t>
            </w:r>
          </w:p>
        </w:tc>
        <w:tc>
          <w:tcPr>
            <w:tcW w:w="9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Dividends &amp;</w:t>
            </w: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20" w:type="dxa"/>
            <w:vAlign w:val="bottom"/>
            <w:shd w:val="clear" w:color="auto" w:fill="CCEEFF"/>
          </w:tcPr>
          <w:p>
            <w:pPr>
              <w:ind w:left="180"/>
              <w:spacing w:after="0" w:line="145" w:lineRule="exact"/>
              <w:rPr>
                <w:sz w:val="20"/>
                <w:szCs w:val="20"/>
                <w:color w:val="auto"/>
              </w:rPr>
            </w:pPr>
            <w:r>
              <w:rPr>
                <w:rFonts w:ascii="Arial" w:cs="Arial" w:eastAsia="Arial" w:hAnsi="Arial"/>
                <w:sz w:val="14"/>
                <w:szCs w:val="14"/>
                <w:color w:val="auto"/>
              </w:rPr>
              <w:t>redemptions</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20" w:type="dxa"/>
            <w:vAlign w:val="bottom"/>
            <w:shd w:val="clear" w:color="auto" w:fill="CCEEFF"/>
          </w:tcPr>
          <w:p>
            <w:pPr>
              <w:ind w:left="180"/>
              <w:spacing w:after="0" w:line="139" w:lineRule="exact"/>
              <w:rPr>
                <w:sz w:val="20"/>
                <w:szCs w:val="20"/>
                <w:color w:val="auto"/>
              </w:rPr>
            </w:pPr>
            <w:r>
              <w:rPr>
                <w:rFonts w:ascii="Arial" w:cs="Arial" w:eastAsia="Arial" w:hAnsi="Arial"/>
                <w:sz w:val="14"/>
                <w:szCs w:val="14"/>
                <w:color w:val="auto"/>
              </w:rPr>
              <w:t>of</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(1,265)</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(1,265)</w:t>
            </w:r>
          </w:p>
        </w:tc>
        <w:tc>
          <w:tcPr>
            <w:tcW w:w="0" w:type="dxa"/>
            <w:vAlign w:val="bottom"/>
          </w:tcPr>
          <w:p>
            <w:pPr>
              <w:spacing w:after="0"/>
              <w:rPr>
                <w:sz w:val="1"/>
                <w:szCs w:val="1"/>
                <w:color w:val="auto"/>
              </w:rPr>
            </w:pPr>
          </w:p>
        </w:tc>
      </w:tr>
      <w:tr>
        <w:trPr>
          <w:trHeight w:val="198"/>
        </w:trPr>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subsidiaries</w:t>
            </w:r>
          </w:p>
        </w:tc>
        <w:tc>
          <w:tcPr>
            <w:tcW w:w="92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120" w:type="dxa"/>
            <w:vAlign w:val="bottom"/>
          </w:tcPr>
          <w:p>
            <w:pPr>
              <w:ind w:left="20"/>
              <w:spacing w:after="0" w:line="153" w:lineRule="exact"/>
              <w:rPr>
                <w:sz w:val="20"/>
                <w:szCs w:val="20"/>
                <w:color w:val="auto"/>
              </w:rPr>
            </w:pPr>
            <w:r>
              <w:rPr>
                <w:rFonts w:ascii="Arial" w:cs="Arial" w:eastAsia="Arial" w:hAnsi="Arial"/>
                <w:sz w:val="14"/>
                <w:szCs w:val="14"/>
                <w:color w:val="auto"/>
              </w:rPr>
              <w:t>Net (loss)</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85"/>
              </w:rPr>
              <w:t>—</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(29,943)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(29,943)</w:t>
            </w:r>
          </w:p>
        </w:tc>
        <w:tc>
          <w:tcPr>
            <w:tcW w:w="8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1,482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(28,461)</w:t>
            </w:r>
          </w:p>
        </w:tc>
        <w:tc>
          <w:tcPr>
            <w:tcW w:w="0" w:type="dxa"/>
            <w:vAlign w:val="bottom"/>
          </w:tcPr>
          <w:p>
            <w:pPr>
              <w:spacing w:after="0"/>
              <w:rPr>
                <w:sz w:val="1"/>
                <w:szCs w:val="1"/>
                <w:color w:val="auto"/>
              </w:rPr>
            </w:pPr>
          </w:p>
        </w:tc>
      </w:tr>
      <w:tr>
        <w:trPr>
          <w:trHeight w:val="185"/>
        </w:trPr>
        <w:tc>
          <w:tcPr>
            <w:tcW w:w="1120" w:type="dxa"/>
            <w:vAlign w:val="bottom"/>
          </w:tcPr>
          <w:p>
            <w:pPr>
              <w:ind w:left="180"/>
              <w:spacing w:after="0"/>
              <w:rPr>
                <w:sz w:val="20"/>
                <w:szCs w:val="20"/>
                <w:color w:val="auto"/>
              </w:rPr>
            </w:pPr>
            <w:r>
              <w:rPr>
                <w:rFonts w:ascii="Arial" w:cs="Arial" w:eastAsia="Arial" w:hAnsi="Arial"/>
                <w:sz w:val="14"/>
                <w:szCs w:val="14"/>
                <w:color w:val="auto"/>
              </w:rPr>
              <w:t>income</w:t>
            </w:r>
          </w:p>
        </w:tc>
        <w:tc>
          <w:tcPr>
            <w:tcW w:w="9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12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b w:val="1"/>
                <w:bCs w:val="1"/>
                <w:color w:val="auto"/>
              </w:rPr>
              <w:t>Balance at</w:t>
            </w: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20" w:type="dxa"/>
            <w:vAlign w:val="bottom"/>
            <w:shd w:val="clear" w:color="auto" w:fill="CCEEFF"/>
          </w:tcPr>
          <w:p>
            <w:pPr>
              <w:ind w:left="180"/>
              <w:spacing w:after="0" w:line="145" w:lineRule="exact"/>
              <w:rPr>
                <w:sz w:val="20"/>
                <w:szCs w:val="20"/>
                <w:color w:val="auto"/>
              </w:rPr>
            </w:pPr>
            <w:r>
              <w:rPr>
                <w:rFonts w:ascii="Arial" w:cs="Arial" w:eastAsia="Arial" w:hAnsi="Arial"/>
                <w:sz w:val="14"/>
                <w:szCs w:val="14"/>
                <w:b w:val="1"/>
                <w:bCs w:val="1"/>
                <w:color w:val="auto"/>
              </w:rPr>
              <w:t>March 31,</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104,575,110</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48,313,815</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26,318,971</w:t>
            </w:r>
          </w:p>
        </w:tc>
        <w:tc>
          <w:tcPr>
            <w:tcW w:w="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99,998,851</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w w:val="96"/>
              </w:rPr>
              <w:t>$ 633,059</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(368,008)</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265,055</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6,835</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271,890</w:t>
            </w:r>
          </w:p>
        </w:tc>
        <w:tc>
          <w:tcPr>
            <w:tcW w:w="0" w:type="dxa"/>
            <w:vAlign w:val="bottom"/>
          </w:tcPr>
          <w:p>
            <w:pPr>
              <w:spacing w:after="0"/>
              <w:rPr>
                <w:sz w:val="1"/>
                <w:szCs w:val="1"/>
                <w:color w:val="auto"/>
              </w:rPr>
            </w:pPr>
          </w:p>
        </w:tc>
      </w:tr>
      <w:tr>
        <w:trPr>
          <w:trHeight w:val="182"/>
        </w:trPr>
        <w:tc>
          <w:tcPr>
            <w:tcW w:w="1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2024</w:t>
            </w: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60"/>
          </w:cols>
          <w:pgMar w:left="320" w:top="229" w:right="319" w:bottom="1440" w:gutter="0" w:footer="0" w:header="0"/>
        </w:sectPr>
      </w:pPr>
    </w:p>
    <w:bookmarkStart w:id="258" w:name="page259"/>
    <w:bookmarkEnd w:id="258"/>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CONSOLIDATED STATEMENTS OF CASH FLOWS (UNAUDITED)</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7960"/>
        <w:spacing w:after="0"/>
        <w:rPr>
          <w:sz w:val="20"/>
          <w:szCs w:val="20"/>
          <w:color w:val="auto"/>
        </w:rPr>
      </w:pPr>
      <w:r>
        <w:rPr>
          <w:rFonts w:ascii="Arial" w:cs="Arial" w:eastAsia="Arial" w:hAnsi="Arial"/>
          <w:sz w:val="13"/>
          <w:szCs w:val="13"/>
          <w:b w:val="1"/>
          <w:bCs w:val="1"/>
          <w:color w:val="auto"/>
        </w:rPr>
        <w:t>Three Months Ended</w:t>
      </w:r>
    </w:p>
    <w:p>
      <w:pPr>
        <w:jc w:val="center"/>
        <w:ind w:left="7960"/>
        <w:spacing w:after="0"/>
        <w:rPr>
          <w:sz w:val="20"/>
          <w:szCs w:val="20"/>
          <w:color w:val="auto"/>
        </w:rPr>
      </w:pPr>
      <w:r>
        <w:rPr>
          <w:rFonts w:ascii="Arial" w:cs="Arial" w:eastAsia="Arial" w:hAnsi="Arial"/>
          <w:sz w:val="13"/>
          <w:szCs w:val="13"/>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8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3"/>
                <w:szCs w:val="13"/>
                <w:b w:val="1"/>
                <w:bCs w:val="1"/>
                <w:color w:val="auto"/>
              </w:rPr>
              <w:t>2024</w:t>
            </w: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(28,461)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 to reconcile net loss to net cash flows used in operating activities:</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Gain on servicing asset, net</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(13,539)</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Gain on sale of loans, net</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(24,466)</w:t>
            </w: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Loss (gain) on sale of digital assets</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Income from fund and equity method investments</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Amortization of deferred financing costs</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597</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internally developed software</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Impairment of internally developed software costs</w:t>
            </w:r>
          </w:p>
        </w:tc>
        <w:tc>
          <w:tcPr>
            <w:tcW w:w="4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8,591</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Impairment of digital assets</w:t>
            </w:r>
          </w:p>
        </w:tc>
        <w:tc>
          <w:tcPr>
            <w:tcW w:w="4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Services exchanged for issuance of warrants</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Stock-based compensation expense</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23,209</w:t>
            </w: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Losses on repurchased loans</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1,420</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change in operating assets and liabilities:</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Proceeds from loan sales, net of repurchases</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994,870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1,062,855</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Originations of loans held for sale</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(680,350)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(669,912)</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Purchases of loans held for sale</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(516,863)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(512,595)</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Principal payments on loans held for sale</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106,511</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Purchases of marketable securities</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(31,797)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(16,134)</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Principal payments on marketable securities</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Accounts receivable, net</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5,869</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assets</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w:t>
            </w: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Accounts payable and accrued liabilities</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17,022</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Lease liability</w:t>
            </w: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23"/>
        </w:trPr>
        <w:tc>
          <w:tcPr>
            <w:tcW w:w="798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Net cash used in operating activities</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(31,048)</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Capitalization of internally developed software costs</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(4,174)</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Purchases of digital assets</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Proceeds from sales of digital assets</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Loan receivable issued to related parties</w:t>
            </w:r>
          </w:p>
        </w:tc>
        <w:tc>
          <w:tcPr>
            <w:tcW w:w="4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r>
      <w:tr>
        <w:trPr>
          <w:trHeight w:val="223"/>
        </w:trPr>
        <w:tc>
          <w:tcPr>
            <w:tcW w:w="798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Net cash used in investing activities</w:t>
            </w:r>
          </w:p>
        </w:tc>
        <w:tc>
          <w:tcPr>
            <w:tcW w:w="4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(3,572)</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(5,843)</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Proceeds from debt</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1,037,243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1,029,960</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Principal payments on debt</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(891,375)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(990,773)</w:t>
            </w: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Payments of deferred financing costs</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Payments to third-party loan owners</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27,852</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Proceeds from issuance of preferred stock</w:t>
            </w:r>
          </w:p>
        </w:tc>
        <w:tc>
          <w:tcPr>
            <w:tcW w:w="4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52,075</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Distributions to shareholders</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Proceeds from exercises of stock options</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w:t>
            </w:r>
          </w:p>
        </w:tc>
      </w:tr>
      <w:tr>
        <w:trPr>
          <w:trHeight w:val="223"/>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Net cash provided by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119,837</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229" w:right="339" w:bottom="1440" w:gutter="0" w:footer="0" w:header="0"/>
        </w:sectPr>
      </w:pPr>
    </w:p>
    <w:bookmarkStart w:id="259" w:name="page260"/>
    <w:bookmarkEnd w:id="259"/>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CONSOLIDATED STATEMENTS OF CASH FLOWS (UNAUDITED)</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345,033</w:t>
            </w: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175,780</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384,535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258,726</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cash flow disclosures</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Cash paid during the period for interest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10,720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13,905</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Stock-based compensation included in capitalized internally developed software</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Contribution from related party</w:t>
            </w:r>
          </w:p>
        </w:tc>
        <w:tc>
          <w:tcPr>
            <w:tcW w:w="5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Distributions from Onshore Solana Fund</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capital contributions</w:t>
            </w:r>
          </w:p>
        </w:tc>
        <w:tc>
          <w:tcPr>
            <w:tcW w:w="5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r>
      <w:tr>
        <w:trPr>
          <w:trHeight w:val="239"/>
        </w:trPr>
        <w:tc>
          <w:tcPr>
            <w:tcW w:w="7980" w:type="dxa"/>
            <w:vAlign w:val="bottom"/>
          </w:tcPr>
          <w:p>
            <w:pPr>
              <w:ind w:left="240"/>
              <w:spacing w:after="0"/>
              <w:rPr>
                <w:sz w:val="20"/>
                <w:szCs w:val="20"/>
                <w:color w:val="auto"/>
              </w:rPr>
            </w:pPr>
            <w:r>
              <w:rPr>
                <w:rFonts w:ascii="Arial" w:cs="Arial" w:eastAsia="Arial" w:hAnsi="Arial"/>
                <w:sz w:val="18"/>
                <w:szCs w:val="18"/>
                <w:color w:val="auto"/>
              </w:rPr>
              <w:t>Accrued issuance costs</w:t>
            </w:r>
          </w:p>
        </w:tc>
        <w:tc>
          <w:tcPr>
            <w:tcW w:w="5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1,025</w:t>
            </w: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229" w:right="339" w:bottom="1440" w:gutter="0" w:footer="0" w:header="0"/>
        </w:sectPr>
      </w:pPr>
    </w:p>
    <w:bookmarkStart w:id="260" w:name="page261"/>
    <w:bookmarkEnd w:id="260"/>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71"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BUSINESS AND ORGANIZATION</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Figure Technology Group is a group of companies that has built a suite of blockchain-based products and solutions centered around the vision of promoting efficiency and liquidity in financial markets. We offer a technology-enabled loan origination system and paired this system with a distribution marketplace, Figure Connect, providing access to a deep and broad pool of capital markets partners (together, the “Technology Offering”).</w:t>
      </w:r>
    </w:p>
    <w:p>
      <w:pPr>
        <w:spacing w:after="0" w:line="12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accompanying condensed combined consolidated financial statements include the accounts of two affiliated corporations under common control and management (“Figure Technology Group”) and their respective consolidated subsidiaries (collectively, “Figure” or the “Company”). Each of the following two corporations is owned either directly or indirectly by its controlling shareholder, Michael Cagney (“Controlling Party”):</w:t>
      </w:r>
    </w:p>
    <w:p>
      <w:pPr>
        <w:spacing w:after="0" w:line="122" w:lineRule="exact"/>
        <w:rPr>
          <w:sz w:val="20"/>
          <w:szCs w:val="20"/>
          <w:color w:val="auto"/>
        </w:rPr>
      </w:pPr>
    </w:p>
    <w:p>
      <w:pPr>
        <w:jc w:val="both"/>
        <w:ind w:left="660" w:hanging="328"/>
        <w:spacing w:after="0" w:line="268"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FT Intermediate, Inc. (“FTI”) was formed on March 18, 2024 as a Delaware corporation and primarily operates through its wholly-owned subsidiary, Figure Lending Corp. (“Lending”). Lending offers Figure Connect which generates ecosystem and technology fees, and originates, sells, and securitizes home equity line of credit (“HELOC”) loans that it services.</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Figure Markets Holdings, Inc. (“Markets”) was formed on January 25, 2024 as a Delaware corporation. Markets utilized blockchain technology to develop an exchange for digital assets and credit, with new product offerings including providing interest-bearing stablecoin deposits.</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Figure operates and manages its business through FTI and Markets, including their respective consolidated subsidiaries, as two distinct legal entities. Although management evaluates performance and allocates resources primarily on a Company-wide basis, the Company discloses segments based on each legal entity; see Note 2 </w:t>
      </w:r>
      <w:r>
        <w:rPr>
          <w:rFonts w:ascii="Arial" w:cs="Arial" w:eastAsia="Arial" w:hAnsi="Arial"/>
          <w:sz w:val="18"/>
          <w:szCs w:val="18"/>
          <w:i w:val="1"/>
          <w:iCs w:val="1"/>
          <w:color w:val="auto"/>
        </w:rPr>
        <w:t>— Segments</w:t>
      </w:r>
      <w:r>
        <w:rPr>
          <w:rFonts w:ascii="Arial" w:cs="Arial" w:eastAsia="Arial" w:hAnsi="Arial"/>
          <w:sz w:val="18"/>
          <w:szCs w:val="18"/>
          <w:color w:val="auto"/>
        </w:rPr>
        <w:t xml:space="preserve"> for further information. During the three months ended March 31, 2025 and 2024, FTI recognized substantially all revenues from loan originations and sales, and loan servicing in the United States of America, whereas Markets primarily incurred expenses in the development of its products and solutions. Each of FTI’s and Markets’ chief operating decision maker (“CODM”) is its Chief Executive Officer, who make decisions regarding their businesses and the Company as a whole, including resource allocation and performance assessment.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accompanying condensed combined consolidated financial statements are prepared in accordance with accounting principles generally accepted in the United States (“GAAP”). The financial statements for the three months ended March 31, 2025 reflect the combined consolidated statements of FTI and Markets, whereas the comparative information for the three months ended March 31, 2024 presents consolidated financial statements of the previous parent company, Figure Technologies Inc. (“FT”), prior to the change in corporate structure. The condensed combined consolidated financial statements include the accounts of the Company and the combined wholly-owned subsidiaries over which the Company controls significant operating, financial, and investing decisions of the entity as well as those entities deemed to be variable interest entities (“VIEs”) in which the Company is determined to have controlling financial interest. In the opinion of management, all adjustments considered necessary for a fair presentation of the Company’s financial position, results of operations, and cash flows have been included and are of a normal and recurring nature. All intercompany balances and transactions have been eliminated.</w:t>
      </w:r>
    </w:p>
    <w:p>
      <w:pPr>
        <w:spacing w:after="0" w:line="12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Certain information and footnote disclosures normally included in financial statements prepared under GAAP may be condensed or omitted for interim financial reporting, and the operating results presented for interim periods are not necessarily indicative of the results that may be expected for any other interim or annual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229" w:right="339" w:bottom="1440" w:gutter="0" w:footer="0" w:header="0"/>
        </w:sectPr>
      </w:pPr>
    </w:p>
    <w:bookmarkStart w:id="261" w:name="page262"/>
    <w:bookmarkEnd w:id="261"/>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These condensed combined consolidated financial statements should be read in conjunction with the Company’s audited combined consolidated financial statements for the year ended December 31, 2024 and footnotes thereto included in the Company's Form S-1 filed with the Securities and Exchange Commission (“SEC”) on May 9, 2025. Capitalized terms used herein, and not otherwise defined, are defined in the Company’s combined consolidated financial statements for the year ended December 31, 2024.</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Reorganization</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Prior to March 18, 2024, the consolidated financial statements of FT included the combined financial position and combined results of operations of FTI and Markets. On March 18, 2024, FT, FTI, Markets, and other entities under common control consummated a reorganization whereby FT contributed assets and liabilities to FTI and subsequently, FT consummated a reverse merger with a subsidiary of FTI. Each outstanding share of common stock of FT converted into one share of common stock of FTI, whereby FTI (a) contributed assets and liabilities applicable to the Markets business and (b) 100% of the equity interest to FT’s successor. FT then ratably distributed 74.1% of Markets’ common stock to third-party shareholders and 25.9% to related parties in exchange for their FTI common stock. See Note 7 for further information on the exchange with related parties.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 an “emerging growth company,” (“EGC”) as defined in Section 2(a) of the Securities Act, as modified by the Jumpstart Our Business Startups Act of 2012 (“JOBS Act”), and it may take advantage of certain exemptions from various reporting requirements that are applicable to other public companies that are not EGCs,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 Section 102(b)(1) of the JOBS Act exempts EGCs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an EGC can elect to opt out of the extended transition period and comply with the requirements that apply to non-EGCs, but any such election to opt out is irrevocable. The Company has elected not to opt out of such extended transition period, which means that when an accounting standard is issued or revised and it has different application dates for public and private companies, the Company, as an EGC, can adopt the new or revised standard at the time private companies adopt the new or revised standard. This may make comparison of the Company’s condensed combined consolidated financial statements with another public company that is neither an EGC nor an EGC that has opted out of using the extended transition period difficult or impossible because of the potential differences in accounting standards used.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Consolidation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Variable Interest Entities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variable interest entity (“VIE”) is a legal entity in which (i) equity at risk investors do not have the characteristics of a controlling financial interest, (ii) the entities do not have sufficient equity at risk for the entity to finance its activities without additional subordinated financial support from other parties, or (iii) substantially all of the activities of the entity are performed on behalf of the party with disproportionately few voting rights. The Company’s variable interest arises from contractual, ownership, or other monetary interests in the entity, which change with fluctuations in the fair value of the entity’s net assets. A VIE is consolidated by its primary beneficiary, the party that has both the power to direct the activities that most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34" w:right="339" w:bottom="1440" w:gutter="0" w:footer="0" w:header="0"/>
        </w:sectPr>
      </w:pPr>
    </w:p>
    <w:bookmarkStart w:id="262" w:name="page263"/>
    <w:bookmarkEnd w:id="262"/>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3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significantly impact the VIE’s economic performance, and the obligation to absorb losses or the right to receive benefits of the VIE that could potentially be significant to the VIE.</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determination of whether or not to consolidate a VIE under GAAP requires a significant amount of judgment concerning the degree of control over an entity by its holders of variable interests. To make these judgments, management conducts an analysis, on a case-by-case basis, on whether we are the primary beneficiary, the party who has the power to direct the activities of a VIE that most significantly impacts its economic performance and who has the obligation to absorb losses or the right to receive benefits from the VIE that could potentially be significant to the VIE, and are therefore required to consolidate the entity.</w:t>
      </w:r>
    </w:p>
    <w:p>
      <w:pPr>
        <w:spacing w:after="0" w:line="1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circumstances where an entity does not have the characteristics of a VIE, the Company would consolidate the entity if the Company owns a majority of the equity interest and has control over significant operating, financial and investing decisions of the entity. For entities over which the Company exercises significant influence, but which do not meet the requirements for consolidation, the Company applies the equity method of accounting whereby it records its share of the underlying income of such entities. The Company records its share of income and losses in “Other expense, net” in the Condensed Combined Consolidated Statements of Operations. Distributions from equity method investments are classified as investing activities in the Condensed Combined Consolidated Statements of Cash Flows.</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applies the measurement alternative for entities in which the Company holds non-security interests and over which the Company does not exercise significant influence. Under the measurement alternative, investments are measured at cost, less any impairments, plus or minus changes resulting from observable price changes in orderly transactions for the identical or similar investment of the same issuer in the current period. The carrying value is not adjusted for the Company’s investment if there are no observable price changes in a same or similar security from the same issuer or if there are no identified events or changes in circumstances that may indicate impairment.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3 for additional information regarding the Company’s measurement alternative and equity method investees.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Management continually reconsiders whether we should consolidate a VIE or not; upon the occurrence of certain events, management will reconsider its conclusion regarding the status of an entity as a VIE. See Note 8 for additional information regarding the VIEs the Company consolidates.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Noncontrolling Interests in Consolidated Subsidiaries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Noncontrolling interests represent the portion of subsidiaries’ net assets the Company consolidates but does not own. The Company recognizes each noncontrolling holder’s respective share of the net assets at the date of formation or acquisition. Noncontrolling interests are subsequently adjusted for the noncontrolling holder’s share of additional contributions, distributions, and their share of the net earnings or losses of each respective consolidated entity. The Company allocates net income or loss to noncontrolling interests based on the weighted-average ownership interest during the period. The net income or loss that is not attributable to the Company is reflected in “Net income attributable to noncontrolling interests in consolidated subsidiaries” in the Condensed Combined Consolidated Statements of Operations. The Company does not recognize a gain or loss on transactions with a consolidated entity in which it does not own 100% of the equity, but the Company reflects the difference in cash received from, or paid to, the noncontrolling interests as adjustments to its carrying amount offset by additional paid-in-capital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134" w:right="339" w:bottom="1440" w:gutter="0" w:footer="0" w:header="0"/>
        </w:sectPr>
      </w:pPr>
    </w:p>
    <w:bookmarkStart w:id="263" w:name="page264"/>
    <w:bookmarkEnd w:id="263"/>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revenue, profitability, and expense information for our segments: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2025</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FTI</w:t>
            </w:r>
          </w:p>
        </w:tc>
        <w:tc>
          <w:tcPr>
            <w:tcW w:w="220" w:type="dxa"/>
            <w:vAlign w:val="bottom"/>
          </w:tcPr>
          <w:p>
            <w:pPr>
              <w:spacing w:after="0"/>
              <w:rPr>
                <w:sz w:val="24"/>
                <w:szCs w:val="2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Markets</w:t>
            </w:r>
          </w:p>
        </w:tc>
        <w:tc>
          <w:tcPr>
            <w:tcW w:w="18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18"/>
                <w:szCs w:val="18"/>
                <w:b w:val="1"/>
                <w:bCs w:val="1"/>
                <w:color w:val="auto"/>
                <w:vertAlign w:val="superscript"/>
              </w:rPr>
              <w:t>(A)</w:t>
            </w:r>
          </w:p>
        </w:tc>
        <w:tc>
          <w:tcPr>
            <w:tcW w:w="240" w:type="dxa"/>
            <w:vAlign w:val="bottom"/>
          </w:tcPr>
          <w:p>
            <w:pPr>
              <w:spacing w:after="0"/>
              <w:rPr>
                <w:sz w:val="24"/>
                <w:szCs w:val="2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4"/>
                <w:szCs w:val="24"/>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FTI</w:t>
            </w:r>
          </w:p>
        </w:tc>
        <w:tc>
          <w:tcPr>
            <w:tcW w:w="220" w:type="dxa"/>
            <w:vAlign w:val="bottom"/>
          </w:tcPr>
          <w:p>
            <w:pPr>
              <w:spacing w:after="0"/>
              <w:rPr>
                <w:sz w:val="24"/>
                <w:szCs w:val="2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18"/>
                <w:szCs w:val="18"/>
                <w:b w:val="1"/>
                <w:bCs w:val="1"/>
                <w:color w:val="auto"/>
                <w:vertAlign w:val="superscript"/>
              </w:rPr>
              <w:t>(A)</w:t>
            </w:r>
          </w:p>
        </w:tc>
        <w:tc>
          <w:tcPr>
            <w:tcW w:w="280" w:type="dxa"/>
            <w:vAlign w:val="bottom"/>
          </w:tcPr>
          <w:p>
            <w:pPr>
              <w:spacing w:after="0"/>
              <w:rPr>
                <w:sz w:val="24"/>
                <w:szCs w:val="24"/>
                <w:color w:val="auto"/>
              </w:rPr>
            </w:pPr>
          </w:p>
        </w:tc>
        <w:tc>
          <w:tcPr>
            <w:tcW w:w="900" w:type="dxa"/>
            <w:vAlign w:val="bottom"/>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120" w:type="dxa"/>
            <w:vAlign w:val="bottom"/>
          </w:tcPr>
          <w:p>
            <w:pPr>
              <w:ind w:left="220"/>
              <w:spacing w:after="0"/>
              <w:rPr>
                <w:sz w:val="20"/>
                <w:szCs w:val="20"/>
                <w:color w:val="auto"/>
              </w:rPr>
            </w:pPr>
            <w:r>
              <w:rPr>
                <w:rFonts w:ascii="Arial" w:cs="Arial" w:eastAsia="Arial" w:hAnsi="Arial"/>
                <w:sz w:val="18"/>
                <w:szCs w:val="18"/>
                <w:color w:val="auto"/>
              </w:rPr>
              <w:t>Interest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14,059</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16,606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8,037</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1,541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center"/>
              <w:ind w:left="212"/>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9,578</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net revenue</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66,067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62,370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left="232"/>
              <w:spacing w:after="0"/>
              <w:rPr>
                <w:sz w:val="20"/>
                <w:szCs w:val="20"/>
                <w:color w:val="auto"/>
              </w:rPr>
            </w:pPr>
            <w:r>
              <w:rPr>
                <w:rFonts w:ascii="Arial" w:cs="Arial" w:eastAsia="Arial" w:hAnsi="Arial"/>
                <w:sz w:val="18"/>
                <w:szCs w:val="18"/>
                <w:color w:val="auto"/>
                <w:w w:val="99"/>
              </w:rPr>
              <w:t>(22)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65,686</w:t>
            </w:r>
          </w:p>
        </w:tc>
        <w:tc>
          <w:tcPr>
            <w:tcW w:w="0" w:type="dxa"/>
            <w:vAlign w:val="bottom"/>
          </w:tcPr>
          <w:p>
            <w:pPr>
              <w:spacing w:after="0"/>
              <w:rPr>
                <w:sz w:val="1"/>
                <w:szCs w:val="1"/>
                <w:color w:val="auto"/>
              </w:rPr>
            </w:pPr>
          </w:p>
        </w:tc>
      </w:tr>
      <w:tr>
        <w:trPr>
          <w:trHeight w:val="223"/>
        </w:trPr>
        <w:tc>
          <w:tcPr>
            <w:tcW w:w="2120" w:type="dxa"/>
            <w:vAlign w:val="bottom"/>
          </w:tcPr>
          <w:p>
            <w:pPr>
              <w:ind w:left="220"/>
              <w:spacing w:after="0"/>
              <w:rPr>
                <w:sz w:val="20"/>
                <w:szCs w:val="20"/>
                <w:color w:val="auto"/>
              </w:rPr>
            </w:pPr>
            <w:r>
              <w:rPr>
                <w:rFonts w:ascii="Arial" w:cs="Arial" w:eastAsia="Arial" w:hAnsi="Arial"/>
                <w:sz w:val="18"/>
                <w:szCs w:val="18"/>
                <w:color w:val="auto"/>
              </w:rPr>
              <w:t>Total net revenue</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80,126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84,510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70,407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left="232"/>
              <w:spacing w:after="0"/>
              <w:rPr>
                <w:sz w:val="20"/>
                <w:szCs w:val="20"/>
                <w:color w:val="auto"/>
              </w:rPr>
            </w:pPr>
            <w:r>
              <w:rPr>
                <w:rFonts w:ascii="Arial" w:cs="Arial" w:eastAsia="Arial" w:hAnsi="Arial"/>
                <w:sz w:val="18"/>
                <w:szCs w:val="18"/>
                <w:color w:val="auto"/>
                <w:w w:val="99"/>
              </w:rPr>
              <w:t>(22)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75,264</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9,397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center"/>
              <w:ind w:left="212"/>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14,704</w:t>
            </w: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Stock-based</w:t>
            </w: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20" w:type="dxa"/>
            <w:vAlign w:val="bottom"/>
            <w:shd w:val="clear" w:color="auto" w:fill="CCEEFF"/>
          </w:tcPr>
          <w:p>
            <w:pPr>
              <w:ind w:left="440"/>
              <w:spacing w:after="0" w:line="183" w:lineRule="exact"/>
              <w:rPr>
                <w:sz w:val="20"/>
                <w:szCs w:val="20"/>
                <w:color w:val="auto"/>
              </w:rPr>
            </w:pPr>
            <w:r>
              <w:rPr>
                <w:rFonts w:ascii="Arial" w:cs="Arial" w:eastAsia="Arial" w:hAnsi="Arial"/>
                <w:sz w:val="18"/>
                <w:szCs w:val="18"/>
                <w:color w:val="auto"/>
              </w:rPr>
              <w:t>compensation</w:t>
            </w:r>
          </w:p>
        </w:tc>
        <w:tc>
          <w:tcPr>
            <w:tcW w:w="2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21,755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center"/>
              <w:ind w:left="212"/>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23,209</w:t>
            </w:r>
          </w:p>
        </w:tc>
        <w:tc>
          <w:tcPr>
            <w:tcW w:w="0" w:type="dxa"/>
            <w:vAlign w:val="bottom"/>
          </w:tcPr>
          <w:p>
            <w:pPr>
              <w:spacing w:after="0"/>
              <w:rPr>
                <w:sz w:val="1"/>
                <w:szCs w:val="1"/>
                <w:color w:val="auto"/>
              </w:rPr>
            </w:pPr>
          </w:p>
        </w:tc>
      </w:tr>
      <w:tr>
        <w:trPr>
          <w:trHeight w:val="235"/>
        </w:trPr>
        <w:tc>
          <w:tcPr>
            <w:tcW w:w="2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expense</w:t>
            </w:r>
          </w:p>
        </w:tc>
        <w:tc>
          <w:tcPr>
            <w:tcW w:w="28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1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other expense</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49,314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color w:val="auto"/>
                <w:w w:val="99"/>
              </w:rPr>
              <w:t>(22)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61,196</w:t>
            </w:r>
          </w:p>
        </w:tc>
        <w:tc>
          <w:tcPr>
            <w:tcW w:w="0" w:type="dxa"/>
            <w:vAlign w:val="bottom"/>
          </w:tcPr>
          <w:p>
            <w:pPr>
              <w:spacing w:after="0"/>
              <w:rPr>
                <w:sz w:val="1"/>
                <w:szCs w:val="1"/>
                <w:color w:val="auto"/>
              </w:rPr>
            </w:pPr>
          </w:p>
        </w:tc>
      </w:tr>
      <w:tr>
        <w:trPr>
          <w:trHeight w:val="223"/>
        </w:trPr>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60,897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74,283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left="232"/>
              <w:spacing w:after="0"/>
              <w:rPr>
                <w:sz w:val="20"/>
                <w:szCs w:val="20"/>
                <w:color w:val="auto"/>
              </w:rPr>
            </w:pPr>
            <w:r>
              <w:rPr>
                <w:rFonts w:ascii="Arial" w:cs="Arial" w:eastAsia="Arial" w:hAnsi="Arial"/>
                <w:sz w:val="18"/>
                <w:szCs w:val="18"/>
                <w:color w:val="auto"/>
                <w:w w:val="99"/>
              </w:rPr>
              <w:t>(22)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99,109</w:t>
            </w:r>
          </w:p>
        </w:tc>
        <w:tc>
          <w:tcPr>
            <w:tcW w:w="0" w:type="dxa"/>
            <w:vAlign w:val="bottom"/>
          </w:tcPr>
          <w:p>
            <w:pPr>
              <w:spacing w:after="0"/>
              <w:rPr>
                <w:sz w:val="1"/>
                <w:szCs w:val="1"/>
                <w:color w:val="auto"/>
              </w:rPr>
            </w:pPr>
          </w:p>
        </w:tc>
      </w:tr>
      <w:tr>
        <w:trPr>
          <w:trHeight w:val="223"/>
        </w:trPr>
        <w:tc>
          <w:tcPr>
            <w:tcW w:w="212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center"/>
              <w:ind w:left="292"/>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(23,845)</w:t>
            </w: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tabs>
          <w:tab w:leader="none" w:pos="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Represents eliminations between FTI and Markets.</w:t>
      </w:r>
    </w:p>
    <w:p>
      <w:pPr>
        <w:spacing w:after="0" w:line="1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See Note 1 for information regarding the Company’s organizational segmentation.</w:t>
      </w:r>
    </w:p>
    <w:p>
      <w:pPr>
        <w:spacing w:after="0" w:line="173"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Risks and Uncertainties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course of its business, the Company primarily encounters two significant types of economic risk: credit risk and market risk. Credit risk is the risk of default on the Company’s investments that results from a borrower’s or counterparty’s inability or unwillingness to make contractually required payments. Market risk reflects changes in the value of investments due to changes in prepayment rates, interest rates, or other market factors, including risks that impact the value of the collateral underlying the Company’s marketable securities, loans, servicing, and digital assets. To the extent the Company originates, invests in, or services loans concentrated in certain geographic locations, disruptions to those locations may cause material risks to the Company despite favorable macroeconomic conditions.</w:t>
      </w:r>
    </w:p>
    <w:p>
      <w:pPr>
        <w:spacing w:after="0" w:line="12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Changes in federal, state, or international tax laws or tax rulings could adversely affect the Company’s effective tax rate and its operating results.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preparation of financial statements in conformity with GAAP requires management to make subjective estimates, judgments, and assumptions that affect the reported amounts in these condensed combined consolidated financial statements and accompanying notes, including assets and liabilities, the disclosure of contingent assets and liabilities at the date of the condensed combined consolidated financial statements, and the reported amounts of revenues and expenses during the reporting period. Actual results could differ from those estimates, and estimates may change as the Company obtains new information. Management uses historical experience, current events, and other factors to develop estimates and assumptions that management reviews periodically. The condensed combined consolidated financial statements reflect the effects of estimate revisions in the period in which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134" w:right="339" w:bottom="1440" w:gutter="0" w:footer="0" w:header="0"/>
        </w:sectPr>
      </w:pPr>
    </w:p>
    <w:bookmarkStart w:id="264" w:name="page265"/>
    <w:bookmarkEnd w:id="264"/>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3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revisions occur. Management believes that these estimates and assumptions provide a reasonable basis for the fair presentation of the condensed combined consolidated financial statements.</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Significant estimates include the determination of the prepayment rates, discount rates, default rates, and servicing costs (as applicable) used in determining the fair value adjustments for loans held for sale, held for investment, and servicing assets; valuation allowance for deferred tax assets; fair value of warrants; stock-based compensation, including the grant date fair value of the related common stock and employee awards of the Company, employee related costs; inputs for capitalized internal use software and the related useful life for amortization; and whether or not to consolidate a VIE.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w:t>
      </w:r>
    </w:p>
    <w:p>
      <w:pPr>
        <w:spacing w:after="0" w:line="16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GAAP requires the categorization of the fair value of assets and liabilities into three broad levels that form a hierarchy based on the transparency of inputs to the valuation.</w:t>
      </w:r>
    </w:p>
    <w:p>
      <w:pPr>
        <w:spacing w:after="0" w:line="139" w:lineRule="exact"/>
        <w:rPr>
          <w:sz w:val="20"/>
          <w:szCs w:val="20"/>
          <w:color w:val="auto"/>
        </w:rPr>
      </w:pPr>
    </w:p>
    <w:p>
      <w:pPr>
        <w:ind w:left="200"/>
        <w:spacing w:after="0"/>
        <w:tabs>
          <w:tab w:leader="none" w:pos="5500" w:val="left"/>
        </w:tabs>
        <w:rPr>
          <w:sz w:val="20"/>
          <w:szCs w:val="20"/>
          <w:color w:val="auto"/>
        </w:rPr>
      </w:pPr>
      <w:r>
        <w:rPr>
          <w:rFonts w:ascii="Arial" w:cs="Arial" w:eastAsia="Arial" w:hAnsi="Arial"/>
          <w:sz w:val="18"/>
          <w:szCs w:val="18"/>
          <w:b w:val="1"/>
          <w:bCs w:val="1"/>
          <w:color w:val="auto"/>
        </w:rPr>
        <w:t>Level</w:t>
      </w:r>
      <w:r>
        <w:rPr>
          <w:sz w:val="20"/>
          <w:szCs w:val="20"/>
          <w:color w:val="auto"/>
        </w:rPr>
        <w:tab/>
      </w:r>
      <w:r>
        <w:rPr>
          <w:rFonts w:ascii="Arial" w:cs="Arial" w:eastAsia="Arial" w:hAnsi="Arial"/>
          <w:sz w:val="18"/>
          <w:szCs w:val="18"/>
          <w:b w:val="1"/>
          <w:bCs w:val="1"/>
          <w:color w:val="auto"/>
        </w:rPr>
        <w:t>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980" w:hanging="597"/>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Inputs are unadjusted, quoted prices in active markets for identical assets or liabilities at the measurement date.</w:t>
      </w:r>
    </w:p>
    <w:p>
      <w:pPr>
        <w:spacing w:after="0" w:line="28" w:lineRule="exact"/>
        <w:rPr>
          <w:sz w:val="20"/>
          <w:szCs w:val="20"/>
          <w:color w:val="auto"/>
        </w:rPr>
      </w:pPr>
    </w:p>
    <w:p>
      <w:pPr>
        <w:jc w:val="both"/>
        <w:ind w:left="980" w:right="20" w:hanging="597"/>
        <w:spacing w:after="0" w:line="229" w:lineRule="auto"/>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Inputs are other than quoted prices that are observable for the asset or liability, either directly or indirectly. Level 2 inputs include quoted prices for similar instruments in active markets and inputs other than quoted prices that are observable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65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980" w:right="20" w:hanging="597"/>
        <w:spacing w:after="0" w:line="234" w:lineRule="auto"/>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Inputs are unobservable for the asset or liability and include situations where there is little, if any, market activity for the asset or liability.</w:t>
      </w:r>
    </w:p>
    <w:p>
      <w:pPr>
        <w:spacing w:after="0" w:line="24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Company follows this hierarchy for its assets and liabilities, with classifications based on the lowest level of input that is significant to the fair value measurement. The following summarizes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34" w:right="339" w:bottom="1440" w:gutter="0" w:footer="0" w:header="0"/>
        </w:sectPr>
      </w:pPr>
    </w:p>
    <w:bookmarkStart w:id="265" w:name="page266"/>
    <w:bookmarkEnd w:id="265"/>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Company’s assets and liabilities within the fair value hierarchy at March 31, 2025 and December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Level</w:t>
            </w:r>
          </w:p>
        </w:tc>
        <w:tc>
          <w:tcPr>
            <w:tcW w:w="2760" w:type="dxa"/>
            <w:vAlign w:val="bottom"/>
            <w:gridSpan w:val="2"/>
          </w:tcPr>
          <w:p>
            <w:pPr>
              <w:ind w:left="400"/>
              <w:spacing w:after="0"/>
              <w:rPr>
                <w:sz w:val="20"/>
                <w:szCs w:val="20"/>
                <w:color w:val="auto"/>
              </w:rPr>
            </w:pPr>
            <w:r>
              <w:rPr>
                <w:rFonts w:ascii="Arial" w:cs="Arial" w:eastAsia="Arial" w:hAnsi="Arial"/>
                <w:sz w:val="18"/>
                <w:szCs w:val="18"/>
                <w:b w:val="1"/>
                <w:bCs w:val="1"/>
                <w:color w:val="auto"/>
              </w:rPr>
              <w:t>Assets and Liabilities</w:t>
            </w:r>
          </w:p>
        </w:tc>
        <w:tc>
          <w:tcPr>
            <w:tcW w:w="7520" w:type="dxa"/>
            <w:vAlign w:val="bottom"/>
          </w:tcPr>
          <w:p>
            <w:pPr>
              <w:ind w:left="3180"/>
              <w:spacing w:after="0"/>
              <w:rPr>
                <w:sz w:val="20"/>
                <w:szCs w:val="20"/>
                <w:color w:val="auto"/>
              </w:rPr>
            </w:pPr>
            <w:r>
              <w:rPr>
                <w:rFonts w:ascii="Arial" w:cs="Arial" w:eastAsia="Arial" w:hAnsi="Arial"/>
                <w:sz w:val="18"/>
                <w:szCs w:val="18"/>
                <w:b w:val="1"/>
                <w:bCs w:val="1"/>
                <w:color w:val="auto"/>
              </w:rPr>
              <w:t>Measurement</w:t>
            </w:r>
          </w:p>
        </w:tc>
      </w:tr>
      <w:tr>
        <w:trPr>
          <w:trHeight w:val="169"/>
        </w:trPr>
        <w:tc>
          <w:tcPr>
            <w:tcW w:w="860" w:type="dxa"/>
            <w:vAlign w:val="bottom"/>
            <w:tcBorders>
              <w:top w:val="single" w:sz="8" w:color="auto"/>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tcBorders>
            <w:shd w:val="clear" w:color="auto" w:fill="CCEEFF"/>
          </w:tcPr>
          <w:p>
            <w:pPr>
              <w:spacing w:after="0"/>
              <w:rPr>
                <w:sz w:val="14"/>
                <w:szCs w:val="14"/>
                <w:color w:val="auto"/>
              </w:rPr>
            </w:pPr>
          </w:p>
        </w:tc>
        <w:tc>
          <w:tcPr>
            <w:tcW w:w="26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Cash and cash equivalents and</w:t>
            </w:r>
          </w:p>
        </w:tc>
        <w:tc>
          <w:tcPr>
            <w:tcW w:w="100" w:type="dxa"/>
            <w:vAlign w:val="bottom"/>
            <w:tcBorders>
              <w:top w:val="single" w:sz="8" w:color="CCEEFF"/>
            </w:tcBorders>
            <w:shd w:val="clear" w:color="auto" w:fill="CCEEFF"/>
          </w:tcPr>
          <w:p>
            <w:pPr>
              <w:spacing w:after="0"/>
              <w:rPr>
                <w:sz w:val="14"/>
                <w:szCs w:val="14"/>
                <w:color w:val="auto"/>
              </w:rPr>
            </w:pPr>
          </w:p>
        </w:tc>
        <w:tc>
          <w:tcPr>
            <w:tcW w:w="752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Estimates of fair value are measured using observable, quoted market prices, or Level 1</w:t>
            </w:r>
          </w:p>
        </w:tc>
      </w:tr>
      <w:tr>
        <w:trPr>
          <w:trHeight w:val="243"/>
        </w:trPr>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inputs.</w:t>
            </w:r>
          </w:p>
        </w:tc>
      </w:tr>
      <w:tr>
        <w:trPr>
          <w:trHeight w:val="175"/>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Digital assets</w:t>
            </w: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Estimates of fair value are measured using observable, quoted digital asset prices within the</w:t>
            </w:r>
          </w:p>
        </w:tc>
      </w:tr>
      <w:tr>
        <w:trPr>
          <w:trHeight w:val="241"/>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Company’s principal market at the time of measurement as Level 1 inputs.</w:t>
            </w:r>
          </w:p>
        </w:tc>
      </w:tr>
      <w:tr>
        <w:trPr>
          <w:trHeight w:val="178"/>
        </w:trPr>
        <w:tc>
          <w:tcPr>
            <w:tcW w:w="860" w:type="dxa"/>
            <w:vAlign w:val="bottom"/>
            <w:shd w:val="clear" w:color="auto" w:fill="CCEEFF"/>
          </w:tcPr>
          <w:p>
            <w:pPr>
              <w:jc w:val="center"/>
              <w:spacing w:after="0" w:line="177" w:lineRule="exact"/>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5"/>
                <w:szCs w:val="15"/>
                <w:color w:val="auto"/>
              </w:rPr>
            </w:pPr>
          </w:p>
        </w:tc>
        <w:tc>
          <w:tcPr>
            <w:tcW w:w="2760" w:type="dxa"/>
            <w:vAlign w:val="bottom"/>
            <w:gridSpan w:val="2"/>
            <w:shd w:val="clear" w:color="auto" w:fill="CCEEFF"/>
          </w:tcPr>
          <w:p>
            <w:pPr>
              <w:ind w:left="20"/>
              <w:spacing w:after="0" w:line="177" w:lineRule="exact"/>
              <w:rPr>
                <w:sz w:val="20"/>
                <w:szCs w:val="20"/>
                <w:color w:val="auto"/>
              </w:rPr>
            </w:pPr>
            <w:r>
              <w:rPr>
                <w:rFonts w:ascii="Arial" w:cs="Arial" w:eastAsia="Arial" w:hAnsi="Arial"/>
                <w:sz w:val="18"/>
                <w:szCs w:val="18"/>
                <w:color w:val="auto"/>
              </w:rPr>
              <w:t>Marketable securities</w:t>
            </w:r>
          </w:p>
        </w:tc>
        <w:tc>
          <w:tcPr>
            <w:tcW w:w="752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Estimates of fair value are measured based upon observable market data of similar</w:t>
            </w:r>
          </w:p>
        </w:tc>
      </w:tr>
      <w:tr>
        <w:trPr>
          <w:trHeight w:val="243"/>
        </w:trPr>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instruments.</w:t>
            </w:r>
          </w:p>
        </w:tc>
      </w:tr>
      <w:tr>
        <w:trPr>
          <w:trHeight w:val="175"/>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Personal loans</w:t>
            </w: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Estimates of fair value are measured based upon observable market data of similar</w:t>
            </w:r>
          </w:p>
        </w:tc>
      </w:tr>
      <w:tr>
        <w:trPr>
          <w:trHeight w:val="241"/>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instruments.</w:t>
            </w:r>
          </w:p>
        </w:tc>
      </w:tr>
      <w:tr>
        <w:trPr>
          <w:trHeight w:val="178"/>
        </w:trPr>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60" w:type="dxa"/>
            <w:vAlign w:val="bottom"/>
            <w:gridSpan w:val="2"/>
            <w:shd w:val="clear" w:color="auto" w:fill="CCEEFF"/>
          </w:tcPr>
          <w:p>
            <w:pPr>
              <w:ind w:left="20"/>
              <w:spacing w:after="0" w:line="177" w:lineRule="exact"/>
              <w:rPr>
                <w:sz w:val="20"/>
                <w:szCs w:val="20"/>
                <w:color w:val="auto"/>
              </w:rPr>
            </w:pPr>
            <w:r>
              <w:rPr>
                <w:rFonts w:ascii="Arial" w:cs="Arial" w:eastAsia="Arial" w:hAnsi="Arial"/>
                <w:sz w:val="18"/>
                <w:szCs w:val="18"/>
                <w:color w:val="auto"/>
              </w:rPr>
              <w:t>Publicly-traded face-amount</w:t>
            </w:r>
          </w:p>
        </w:tc>
        <w:tc>
          <w:tcPr>
            <w:tcW w:w="752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Estimates of fair value are measured based upon observable market data of similar</w:t>
            </w:r>
          </w:p>
        </w:tc>
      </w:tr>
      <w:tr>
        <w:trPr>
          <w:trHeight w:val="243"/>
        </w:trPr>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certificates</w:t>
            </w: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instruments.</w:t>
            </w:r>
          </w:p>
        </w:tc>
      </w:tr>
    </w:tbl>
    <w:p>
      <w:pPr>
        <w:ind w:left="980" w:hanging="597"/>
        <w:spacing w:after="0" w:line="218" w:lineRule="auto"/>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Marketable Securities —Estimates of fair value are measured based upon discounted expected future cash flows</w:t>
      </w:r>
    </w:p>
    <w:tbl>
      <w:tblPr>
        <w:tblLayout w:type="fixed"/>
        <w:tblInd w:w="0" w:type="dxa"/>
        <w:tblCellMar>
          <w:top w:w="0" w:type="dxa"/>
          <w:left w:w="0" w:type="dxa"/>
          <w:bottom w:w="0" w:type="dxa"/>
          <w:right w:w="0" w:type="dxa"/>
        </w:tblCellMar>
      </w:tblPr>
      <w:tr>
        <w:trPr>
          <w:trHeight w:val="171"/>
        </w:trPr>
        <w:tc>
          <w:tcPr>
            <w:tcW w:w="3440" w:type="dxa"/>
            <w:vAlign w:val="bottom"/>
          </w:tcPr>
          <w:p>
            <w:pPr>
              <w:ind w:left="980"/>
              <w:spacing w:after="0" w:line="171" w:lineRule="exact"/>
              <w:rPr>
                <w:sz w:val="20"/>
                <w:szCs w:val="20"/>
                <w:color w:val="auto"/>
              </w:rPr>
            </w:pPr>
            <w:r>
              <w:rPr>
                <w:rFonts w:ascii="Arial" w:cs="Arial" w:eastAsia="Arial" w:hAnsi="Arial"/>
                <w:sz w:val="18"/>
                <w:szCs w:val="18"/>
                <w:color w:val="auto"/>
              </w:rPr>
              <w:t>Residual Interest Securities</w:t>
            </w:r>
          </w:p>
        </w:tc>
        <w:tc>
          <w:tcPr>
            <w:tcW w:w="7800" w:type="dxa"/>
            <w:vAlign w:val="bottom"/>
          </w:tcPr>
          <w:p>
            <w:pPr>
              <w:ind w:left="300"/>
              <w:spacing w:after="0" w:line="171" w:lineRule="exact"/>
              <w:rPr>
                <w:sz w:val="20"/>
                <w:szCs w:val="20"/>
                <w:color w:val="auto"/>
              </w:rPr>
            </w:pPr>
            <w:r>
              <w:rPr>
                <w:rFonts w:ascii="Arial" w:cs="Arial" w:eastAsia="Arial" w:hAnsi="Arial"/>
                <w:sz w:val="18"/>
                <w:szCs w:val="18"/>
                <w:color w:val="auto"/>
              </w:rPr>
              <w:t>arising from the securitization collateral cash flows after payments of principal and interest to</w:t>
            </w:r>
          </w:p>
        </w:tc>
      </w:tr>
      <w:tr>
        <w:trPr>
          <w:trHeight w:val="181"/>
        </w:trPr>
        <w:tc>
          <w:tcPr>
            <w:tcW w:w="3440" w:type="dxa"/>
            <w:vAlign w:val="bottom"/>
          </w:tcPr>
          <w:p>
            <w:pPr>
              <w:spacing w:after="0"/>
              <w:rPr>
                <w:sz w:val="15"/>
                <w:szCs w:val="15"/>
                <w:color w:val="auto"/>
              </w:rPr>
            </w:pPr>
          </w:p>
        </w:tc>
        <w:tc>
          <w:tcPr>
            <w:tcW w:w="7800" w:type="dxa"/>
            <w:vAlign w:val="bottom"/>
          </w:tcPr>
          <w:p>
            <w:pPr>
              <w:ind w:left="300"/>
              <w:spacing w:after="0" w:line="181" w:lineRule="exact"/>
              <w:rPr>
                <w:sz w:val="20"/>
                <w:szCs w:val="20"/>
                <w:color w:val="auto"/>
              </w:rPr>
            </w:pPr>
            <w:r>
              <w:rPr>
                <w:rFonts w:ascii="Arial" w:cs="Arial" w:eastAsia="Arial" w:hAnsi="Arial"/>
                <w:sz w:val="18"/>
                <w:szCs w:val="18"/>
                <w:color w:val="auto"/>
              </w:rPr>
              <w:t>senior noteholders and other fees, incorporating assumptions of scheduled principal and</w:t>
            </w:r>
          </w:p>
        </w:tc>
      </w:tr>
      <w:tr>
        <w:trPr>
          <w:trHeight w:val="176"/>
        </w:trPr>
        <w:tc>
          <w:tcPr>
            <w:tcW w:w="3440" w:type="dxa"/>
            <w:vAlign w:val="bottom"/>
          </w:tcPr>
          <w:p>
            <w:pPr>
              <w:spacing w:after="0"/>
              <w:rPr>
                <w:sz w:val="15"/>
                <w:szCs w:val="15"/>
                <w:color w:val="auto"/>
              </w:rPr>
            </w:pPr>
          </w:p>
        </w:tc>
        <w:tc>
          <w:tcPr>
            <w:tcW w:w="7800" w:type="dxa"/>
            <w:vAlign w:val="bottom"/>
          </w:tcPr>
          <w:p>
            <w:pPr>
              <w:ind w:left="300"/>
              <w:spacing w:after="0" w:line="176" w:lineRule="exact"/>
              <w:rPr>
                <w:sz w:val="20"/>
                <w:szCs w:val="20"/>
                <w:color w:val="auto"/>
              </w:rPr>
            </w:pPr>
            <w:r>
              <w:rPr>
                <w:rFonts w:ascii="Arial" w:cs="Arial" w:eastAsia="Arial" w:hAnsi="Arial"/>
                <w:sz w:val="18"/>
                <w:szCs w:val="18"/>
                <w:color w:val="auto"/>
              </w:rPr>
              <w:t>interest collections; prepayment and default rates; and debt-to-income and loan-to-value</w:t>
            </w:r>
          </w:p>
        </w:tc>
      </w:tr>
      <w:tr>
        <w:trPr>
          <w:trHeight w:val="241"/>
        </w:trPr>
        <w:tc>
          <w:tcPr>
            <w:tcW w:w="3440" w:type="dxa"/>
            <w:vAlign w:val="bottom"/>
          </w:tcPr>
          <w:p>
            <w:pPr>
              <w:spacing w:after="0"/>
              <w:rPr>
                <w:sz w:val="20"/>
                <w:szCs w:val="20"/>
                <w:color w:val="auto"/>
              </w:rPr>
            </w:pPr>
          </w:p>
        </w:tc>
        <w:tc>
          <w:tcPr>
            <w:tcW w:w="7800" w:type="dxa"/>
            <w:vAlign w:val="bottom"/>
          </w:tcPr>
          <w:p>
            <w:pPr>
              <w:ind w:left="300"/>
              <w:spacing w:after="0"/>
              <w:rPr>
                <w:sz w:val="20"/>
                <w:szCs w:val="20"/>
                <w:color w:val="auto"/>
              </w:rPr>
            </w:pPr>
            <w:r>
              <w:rPr>
                <w:rFonts w:ascii="Arial" w:cs="Arial" w:eastAsia="Arial" w:hAnsi="Arial"/>
                <w:sz w:val="18"/>
                <w:szCs w:val="18"/>
                <w:color w:val="auto"/>
              </w:rPr>
              <w:t>ratios.</w:t>
            </w:r>
          </w:p>
        </w:tc>
      </w:tr>
      <w:tr>
        <w:trPr>
          <w:trHeight w:val="178"/>
        </w:trPr>
        <w:tc>
          <w:tcPr>
            <w:tcW w:w="3440" w:type="dxa"/>
            <w:vAlign w:val="bottom"/>
            <w:shd w:val="clear" w:color="auto" w:fill="CCEEFF"/>
          </w:tcPr>
          <w:p>
            <w:pPr>
              <w:ind w:left="980"/>
              <w:spacing w:after="0" w:line="177" w:lineRule="exact"/>
              <w:rPr>
                <w:sz w:val="20"/>
                <w:szCs w:val="20"/>
                <w:color w:val="auto"/>
              </w:rPr>
            </w:pPr>
            <w:r>
              <w:rPr>
                <w:rFonts w:ascii="Arial" w:cs="Arial" w:eastAsia="Arial" w:hAnsi="Arial"/>
                <w:sz w:val="18"/>
                <w:szCs w:val="18"/>
                <w:color w:val="auto"/>
              </w:rPr>
              <w:t>Loans</w:t>
            </w:r>
          </w:p>
        </w:tc>
        <w:tc>
          <w:tcPr>
            <w:tcW w:w="7800" w:type="dxa"/>
            <w:vAlign w:val="bottom"/>
            <w:shd w:val="clear" w:color="auto" w:fill="CCEEFF"/>
          </w:tcPr>
          <w:p>
            <w:pPr>
              <w:ind w:left="300"/>
              <w:spacing w:after="0" w:line="177" w:lineRule="exact"/>
              <w:rPr>
                <w:sz w:val="20"/>
                <w:szCs w:val="20"/>
                <w:color w:val="auto"/>
              </w:rPr>
            </w:pPr>
            <w:r>
              <w:rPr>
                <w:rFonts w:ascii="Arial" w:cs="Arial" w:eastAsia="Arial" w:hAnsi="Arial"/>
                <w:sz w:val="18"/>
                <w:szCs w:val="18"/>
                <w:color w:val="auto"/>
              </w:rPr>
              <w:t>Estimates of fair value are measured based upon discounted expected future contractual loan</w:t>
            </w:r>
          </w:p>
        </w:tc>
      </w:tr>
      <w:tr>
        <w:trPr>
          <w:trHeight w:val="184"/>
        </w:trPr>
        <w:tc>
          <w:tcPr>
            <w:tcW w:w="3440" w:type="dxa"/>
            <w:vAlign w:val="bottom"/>
            <w:shd w:val="clear" w:color="auto" w:fill="CCEEFF"/>
          </w:tcPr>
          <w:p>
            <w:pPr>
              <w:spacing w:after="0"/>
              <w:rPr>
                <w:sz w:val="15"/>
                <w:szCs w:val="15"/>
                <w:color w:val="auto"/>
              </w:rPr>
            </w:pPr>
          </w:p>
        </w:tc>
        <w:tc>
          <w:tcPr>
            <w:tcW w:w="7800" w:type="dxa"/>
            <w:vAlign w:val="bottom"/>
            <w:shd w:val="clear" w:color="auto" w:fill="CCEEFF"/>
          </w:tcPr>
          <w:p>
            <w:pPr>
              <w:ind w:left="300"/>
              <w:spacing w:after="0" w:line="183" w:lineRule="exact"/>
              <w:rPr>
                <w:sz w:val="20"/>
                <w:szCs w:val="20"/>
                <w:color w:val="auto"/>
              </w:rPr>
            </w:pPr>
            <w:r>
              <w:rPr>
                <w:rFonts w:ascii="Arial" w:cs="Arial" w:eastAsia="Arial" w:hAnsi="Arial"/>
                <w:sz w:val="18"/>
                <w:szCs w:val="18"/>
                <w:color w:val="auto"/>
              </w:rPr>
              <w:t>cash  flows,  incorporating  assumptions  of  scheduled  principal  and  interest  collections;</w:t>
            </w:r>
          </w:p>
        </w:tc>
      </w:tr>
      <w:tr>
        <w:trPr>
          <w:trHeight w:val="235"/>
        </w:trPr>
        <w:tc>
          <w:tcPr>
            <w:tcW w:w="3440" w:type="dxa"/>
            <w:vAlign w:val="bottom"/>
            <w:shd w:val="clear" w:color="auto" w:fill="CCEEFF"/>
          </w:tcPr>
          <w:p>
            <w:pPr>
              <w:spacing w:after="0"/>
              <w:rPr>
                <w:sz w:val="20"/>
                <w:szCs w:val="20"/>
                <w:color w:val="auto"/>
              </w:rPr>
            </w:pPr>
          </w:p>
        </w:tc>
        <w:tc>
          <w:tcPr>
            <w:tcW w:w="7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prepayment and default rates; and debt-to-income and loan-to-value ratios.</w:t>
            </w:r>
          </w:p>
        </w:tc>
      </w:tr>
      <w:tr>
        <w:trPr>
          <w:trHeight w:val="176"/>
        </w:trPr>
        <w:tc>
          <w:tcPr>
            <w:tcW w:w="3440" w:type="dxa"/>
            <w:vAlign w:val="bottom"/>
          </w:tcPr>
          <w:p>
            <w:pPr>
              <w:ind w:left="980"/>
              <w:spacing w:after="0" w:line="176" w:lineRule="exact"/>
              <w:rPr>
                <w:sz w:val="20"/>
                <w:szCs w:val="20"/>
                <w:color w:val="auto"/>
              </w:rPr>
            </w:pPr>
            <w:r>
              <w:rPr>
                <w:rFonts w:ascii="Arial" w:cs="Arial" w:eastAsia="Arial" w:hAnsi="Arial"/>
                <w:sz w:val="18"/>
                <w:szCs w:val="18"/>
                <w:color w:val="auto"/>
              </w:rPr>
              <w:t>Loan servicing assets</w:t>
            </w:r>
          </w:p>
        </w:tc>
        <w:tc>
          <w:tcPr>
            <w:tcW w:w="7800" w:type="dxa"/>
            <w:vAlign w:val="bottom"/>
          </w:tcPr>
          <w:p>
            <w:pPr>
              <w:ind w:left="300"/>
              <w:spacing w:after="0" w:line="176" w:lineRule="exact"/>
              <w:rPr>
                <w:sz w:val="20"/>
                <w:szCs w:val="20"/>
                <w:color w:val="auto"/>
              </w:rPr>
            </w:pPr>
            <w:r>
              <w:rPr>
                <w:rFonts w:ascii="Arial" w:cs="Arial" w:eastAsia="Arial" w:hAnsi="Arial"/>
                <w:sz w:val="18"/>
                <w:szCs w:val="18"/>
                <w:color w:val="auto"/>
              </w:rPr>
              <w:t>Estimates of fair value are measured based upon discounted expected future cash flows</w:t>
            </w:r>
          </w:p>
        </w:tc>
      </w:tr>
      <w:tr>
        <w:trPr>
          <w:trHeight w:val="184"/>
        </w:trPr>
        <w:tc>
          <w:tcPr>
            <w:tcW w:w="3440" w:type="dxa"/>
            <w:vAlign w:val="bottom"/>
          </w:tcPr>
          <w:p>
            <w:pPr>
              <w:spacing w:after="0"/>
              <w:rPr>
                <w:sz w:val="15"/>
                <w:szCs w:val="15"/>
                <w:color w:val="auto"/>
              </w:rPr>
            </w:pPr>
          </w:p>
        </w:tc>
        <w:tc>
          <w:tcPr>
            <w:tcW w:w="7800" w:type="dxa"/>
            <w:vAlign w:val="bottom"/>
          </w:tcPr>
          <w:p>
            <w:pPr>
              <w:ind w:left="300"/>
              <w:spacing w:after="0" w:line="183" w:lineRule="exact"/>
              <w:rPr>
                <w:sz w:val="20"/>
                <w:szCs w:val="20"/>
                <w:color w:val="auto"/>
              </w:rPr>
            </w:pPr>
            <w:r>
              <w:rPr>
                <w:rFonts w:ascii="Arial" w:cs="Arial" w:eastAsia="Arial" w:hAnsi="Arial"/>
                <w:sz w:val="18"/>
                <w:szCs w:val="18"/>
                <w:color w:val="auto"/>
              </w:rPr>
              <w:t>arising from the market fees earned to service underlying similar loans, net of market</w:t>
            </w:r>
          </w:p>
        </w:tc>
      </w:tr>
      <w:tr>
        <w:trPr>
          <w:trHeight w:val="181"/>
        </w:trPr>
        <w:tc>
          <w:tcPr>
            <w:tcW w:w="3440" w:type="dxa"/>
            <w:vAlign w:val="bottom"/>
          </w:tcPr>
          <w:p>
            <w:pPr>
              <w:spacing w:after="0"/>
              <w:rPr>
                <w:sz w:val="15"/>
                <w:szCs w:val="15"/>
                <w:color w:val="auto"/>
              </w:rPr>
            </w:pPr>
          </w:p>
        </w:tc>
        <w:tc>
          <w:tcPr>
            <w:tcW w:w="7800" w:type="dxa"/>
            <w:vAlign w:val="bottom"/>
          </w:tcPr>
          <w:p>
            <w:pPr>
              <w:ind w:left="300"/>
              <w:spacing w:after="0" w:line="181" w:lineRule="exact"/>
              <w:rPr>
                <w:sz w:val="20"/>
                <w:szCs w:val="20"/>
                <w:color w:val="auto"/>
              </w:rPr>
            </w:pPr>
            <w:r>
              <w:rPr>
                <w:rFonts w:ascii="Arial" w:cs="Arial" w:eastAsia="Arial" w:hAnsi="Arial"/>
                <w:sz w:val="18"/>
                <w:szCs w:val="18"/>
                <w:color w:val="auto"/>
              </w:rPr>
              <w:t>servicing costs, of the forecasted loan balances, incorporating scheduled principal and</w:t>
            </w:r>
          </w:p>
        </w:tc>
      </w:tr>
      <w:tr>
        <w:trPr>
          <w:trHeight w:val="239"/>
        </w:trPr>
        <w:tc>
          <w:tcPr>
            <w:tcW w:w="3440" w:type="dxa"/>
            <w:vAlign w:val="bottom"/>
          </w:tcPr>
          <w:p>
            <w:pPr>
              <w:spacing w:after="0"/>
              <w:rPr>
                <w:sz w:val="20"/>
                <w:szCs w:val="20"/>
                <w:color w:val="auto"/>
              </w:rPr>
            </w:pPr>
          </w:p>
        </w:tc>
        <w:tc>
          <w:tcPr>
            <w:tcW w:w="7800" w:type="dxa"/>
            <w:vAlign w:val="bottom"/>
          </w:tcPr>
          <w:p>
            <w:pPr>
              <w:ind w:left="300"/>
              <w:spacing w:after="0"/>
              <w:rPr>
                <w:sz w:val="20"/>
                <w:szCs w:val="20"/>
                <w:color w:val="auto"/>
              </w:rPr>
            </w:pPr>
            <w:r>
              <w:rPr>
                <w:rFonts w:ascii="Arial" w:cs="Arial" w:eastAsia="Arial" w:hAnsi="Arial"/>
                <w:sz w:val="18"/>
                <w:szCs w:val="18"/>
                <w:color w:val="auto"/>
              </w:rPr>
              <w:t>interest collections as well as prepayment and default rates.</w:t>
            </w:r>
          </w:p>
        </w:tc>
      </w:tr>
    </w:tbl>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Significant Inputs </w:t>
      </w:r>
      <w:r>
        <w:rPr>
          <w:rFonts w:ascii="Arial" w:cs="Arial" w:eastAsia="Arial" w:hAnsi="Arial"/>
          <w:sz w:val="18"/>
          <w:szCs w:val="18"/>
          <w:color w:val="auto"/>
        </w:rPr>
        <w:t>— For the assets and liabilities measurements above, the Company uses the following significant inputs:</w:t>
      </w:r>
    </w:p>
    <w:p>
      <w:pPr>
        <w:spacing w:after="0" w:line="171" w:lineRule="exact"/>
        <w:rPr>
          <w:sz w:val="20"/>
          <w:szCs w:val="20"/>
          <w:color w:val="auto"/>
        </w:rPr>
      </w:pPr>
    </w:p>
    <w:p>
      <w:pPr>
        <w:ind w:left="660" w:hanging="328"/>
        <w:spacing w:after="0" w:line="287"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Conditional Prepayment Rate (“CPR”) </w:t>
      </w:r>
      <w:r>
        <w:rPr>
          <w:rFonts w:ascii="Arial" w:cs="Arial" w:eastAsia="Arial" w:hAnsi="Arial"/>
          <w:sz w:val="18"/>
          <w:szCs w:val="18"/>
          <w:color w:val="auto"/>
        </w:rPr>
        <w:t>— The percentage per annum of a pool of loans expected to voluntarily repay principal in</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of scheduled, contractual payment terms based on available market data for similar loan types and prepayment statuses.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Constant Default Rate (“CDR”) </w:t>
      </w:r>
      <w:r>
        <w:rPr>
          <w:rFonts w:ascii="Arial" w:cs="Arial" w:eastAsia="Arial" w:hAnsi="Arial"/>
          <w:sz w:val="18"/>
          <w:szCs w:val="18"/>
          <w:color w:val="auto"/>
        </w:rPr>
        <w:t>— The percentage per annum of a pool of loans expected to experience delinquency of greater than</w:t>
      </w:r>
      <w:r>
        <w:rPr>
          <w:rFonts w:ascii="Arial" w:cs="Arial" w:eastAsia="Arial" w:hAnsi="Arial"/>
          <w:sz w:val="18"/>
          <w:szCs w:val="18"/>
          <w:i w:val="1"/>
          <w:iCs w:val="1"/>
          <w:color w:val="auto"/>
        </w:rPr>
        <w:t xml:space="preserve"> </w:t>
      </w:r>
      <w:r>
        <w:rPr>
          <w:rFonts w:ascii="Arial" w:cs="Arial" w:eastAsia="Arial" w:hAnsi="Arial"/>
          <w:sz w:val="18"/>
          <w:szCs w:val="18"/>
          <w:color w:val="auto"/>
        </w:rPr>
        <w:t>90 days based on available market data for similar loan types and delinquency statuses.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Servicing Rates </w:t>
      </w:r>
      <w:r>
        <w:rPr>
          <w:rFonts w:ascii="Arial" w:cs="Arial" w:eastAsia="Arial" w:hAnsi="Arial"/>
          <w:sz w:val="18"/>
          <w:szCs w:val="18"/>
          <w:color w:val="auto"/>
        </w:rPr>
        <w:t>— Servicing rates used by the Company are based on available market data for similar loan types and delinquency</w:t>
      </w:r>
      <w:r>
        <w:rPr>
          <w:rFonts w:ascii="Arial" w:cs="Arial" w:eastAsia="Arial" w:hAnsi="Arial"/>
          <w:sz w:val="18"/>
          <w:szCs w:val="18"/>
          <w:i w:val="1"/>
          <w:iCs w:val="1"/>
          <w:color w:val="auto"/>
        </w:rPr>
        <w:t xml:space="preserve"> </w:t>
      </w:r>
      <w:r>
        <w:rPr>
          <w:rFonts w:ascii="Arial" w:cs="Arial" w:eastAsia="Arial" w:hAnsi="Arial"/>
          <w:sz w:val="18"/>
          <w:szCs w:val="18"/>
          <w:color w:val="auto"/>
        </w:rPr>
        <w:t>statuses.</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Discount Rate </w:t>
      </w:r>
      <w:r>
        <w:rPr>
          <w:rFonts w:ascii="Arial" w:cs="Arial" w:eastAsia="Arial" w:hAnsi="Arial"/>
          <w:sz w:val="18"/>
          <w:szCs w:val="18"/>
          <w:color w:val="auto"/>
        </w:rPr>
        <w:t>— Expected future cash flows are discounted at a rate derived from market data for similar financial instruments or</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collateral.</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 xml:space="preserve">Fair Value Option </w:t>
      </w:r>
      <w:r>
        <w:rPr>
          <w:rFonts w:ascii="Arial" w:cs="Arial" w:eastAsia="Arial" w:hAnsi="Arial"/>
          <w:sz w:val="18"/>
          <w:szCs w:val="18"/>
          <w:color w:val="auto"/>
        </w:rPr>
        <w:t>— The fair value option provides the Company with an irrevocable option to elect fair value as an alternative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measurement for selected financial instruments upon initial recognition of an asset or liability, which the Company is then required to carry at fair value and reflect changes thereon in earnings. The Company elected the fair value option for marketable securities, including retained security interests, publicly-traded face-amount certificates, and loans as management believes incorporating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34" w:right="339" w:bottom="1440" w:gutter="0" w:footer="0" w:header="0"/>
        </w:sectPr>
      </w:pPr>
    </w:p>
    <w:bookmarkStart w:id="266" w:name="page267"/>
    <w:bookmarkEnd w:id="266"/>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3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current market conditions in the carrying value of these financial instruments provides better information regarding the Company’s economic exposure to these assets.</w:t>
      </w:r>
    </w:p>
    <w:p>
      <w:pPr>
        <w:spacing w:after="0" w:line="9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i w:val="1"/>
          <w:iCs w:val="1"/>
          <w:color w:val="auto"/>
        </w:rPr>
        <w:t xml:space="preserve">Valuation Process </w:t>
      </w:r>
      <w:r>
        <w:rPr>
          <w:rFonts w:ascii="Arial" w:cs="Arial" w:eastAsia="Arial" w:hAnsi="Arial"/>
          <w:sz w:val="18"/>
          <w:szCs w:val="18"/>
          <w:color w:val="auto"/>
        </w:rPr>
        <w:t>— On a quarterly basis, with assistance from an independent valuation firm, management estimates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Level 3 assets and liabilities. The Company’s determination of fair value is based upon the best information available for a given circumstance and may incorporate assumptions that are management’s best estimates after considering a variety of internal and external factors. When an independent valuation firm expresses an opinion on the fair value of an asset or liability in the form of a range, management selects a value within the range provided by the independent valuation firm to assess the reasonableness of management’s estimated fair value for that asset or liability. At March 31, 2025, the Company’s valuation process for Level 3 measurements, as described below, was conducted internally or by an independent valuation firm and reviewed by management:</w:t>
      </w:r>
    </w:p>
    <w:p>
      <w:pPr>
        <w:spacing w:after="0" w:line="129" w:lineRule="exact"/>
        <w:rPr>
          <w:sz w:val="20"/>
          <w:szCs w:val="20"/>
          <w:color w:val="auto"/>
        </w:rPr>
      </w:pPr>
    </w:p>
    <w:p>
      <w:pPr>
        <w:jc w:val="both"/>
        <w:ind w:left="660" w:hanging="328"/>
        <w:spacing w:after="0" w:line="262"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Marketable Securities — Residual Interest Securities </w:t>
      </w:r>
      <w:r>
        <w:rPr>
          <w:rFonts w:ascii="Arial" w:cs="Arial" w:eastAsia="Arial" w:hAnsi="Arial"/>
          <w:sz w:val="18"/>
          <w:szCs w:val="18"/>
          <w:color w:val="auto"/>
        </w:rPr>
        <w:t>— Management generally classifies the Company’s investments in the residual</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of securitizations collateralized by loans as Level 3 assets in the fair value hierarchy given such assets lack sufficient observable market activity to classify as Level 2. The Company also holds marketable securities in certain securitizations with recent similar transactions in active markets to derive the fair value of those securities as Level 2 assets.</w:t>
      </w:r>
    </w:p>
    <w:p>
      <w:pPr>
        <w:spacing w:after="0" w:line="12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 Management generally considers the Company’s loans as Level 3 assets in the fair value hierarchy as such assets are</w:t>
      </w:r>
      <w:r>
        <w:rPr>
          <w:rFonts w:ascii="Arial" w:cs="Arial" w:eastAsia="Arial" w:hAnsi="Arial"/>
          <w:sz w:val="18"/>
          <w:szCs w:val="18"/>
          <w:i w:val="1"/>
          <w:iCs w:val="1"/>
          <w:color w:val="auto"/>
        </w:rPr>
        <w:t xml:space="preserve"> </w:t>
      </w:r>
      <w:r>
        <w:rPr>
          <w:rFonts w:ascii="Arial" w:cs="Arial" w:eastAsia="Arial" w:hAnsi="Arial"/>
          <w:sz w:val="18"/>
          <w:szCs w:val="18"/>
          <w:color w:val="auto"/>
        </w:rPr>
        <w:t>illiquid investments that are specific to the loan product, for which there is limited market activity. On a quarterly basis, management engages an independent valuation firm to estimate the fair value of each loan categorized as a Level 3 asset. The Company also classifies certain personal and mortgage loans as Level 2 assets.</w:t>
      </w:r>
    </w:p>
    <w:p>
      <w:pPr>
        <w:spacing w:after="0" w:line="12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Loan Servicing Asset </w:t>
      </w:r>
      <w:r>
        <w:rPr>
          <w:rFonts w:ascii="Arial" w:cs="Arial" w:eastAsia="Arial" w:hAnsi="Arial"/>
          <w:sz w:val="18"/>
          <w:szCs w:val="18"/>
          <w:color w:val="auto"/>
        </w:rPr>
        <w:t>— Management generally considers the Company’s servicing assets as Level 3 assets in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given such assets are illiquid contracts that are specific to the loan pool serviced. Servicing fees earned, and costs incurred, are derived from various loan types and are adjusted for the loans the Company services.</w:t>
      </w:r>
    </w:p>
    <w:p>
      <w:pPr>
        <w:spacing w:after="0" w:line="116"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Other Valuation Matters </w:t>
      </w:r>
      <w:r>
        <w:rPr>
          <w:rFonts w:ascii="Arial" w:cs="Arial" w:eastAsia="Arial" w:hAnsi="Arial"/>
          <w:sz w:val="18"/>
          <w:szCs w:val="18"/>
          <w:color w:val="auto"/>
        </w:rPr>
        <w:t>— For Level 3 assets acquired, and liabilities assumed, during the calendar month immediately preceding a</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 that were conducted in an orderly transaction with an unrelated party, management generally believes that the transaction price provides the most observable indication of fair value given the illiquid nature of these assets or liabilities unless management is aware of any circumstances that may cause a material change in the fair value through the remainder of the reporting period. For instance, significant changes in a counterparty’s intent or ability to make payments on a financial asset may cause material changes in the fair value of that financial asset.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11 for additional information regarding the valuation of the Company’s assets and liabilities.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Transfers and Servicing</w:t>
      </w:r>
    </w:p>
    <w:p>
      <w:pPr>
        <w:spacing w:after="0" w:line="16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In situations where the Company is the transferor of financial assets to an entity that it does not consolidate, the Company assesses whether the transfer of the underlying assets would qualify for sale accounting or should be accounted for as secured borrowing.</w:t>
      </w:r>
    </w:p>
    <w:p>
      <w:pPr>
        <w:spacing w:after="0" w:line="9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special purpose entity (“SPE”) is an entity designed to fulfill a specific limited need of the company that organized it. SPEs are often used to facilitate transactions that involve securitizing financial assets or resecuritizing previously securitized financial assets. The objective of such transactions may include obtaining non-recourse financing, obtaining liquidity, or refinancing the underlying securitized financial assets on improved terms. Securitization involves transferring assets to an SPE to convert all or a portion of those assets into cash before they would have been realized in the normal course of business through the SPE’s issuance of debt or equity instruments. Investors in an SPE usually have recourse only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34" w:right="339" w:bottom="1440" w:gutter="0" w:footer="0" w:header="0"/>
        </w:sectPr>
      </w:pPr>
    </w:p>
    <w:bookmarkStart w:id="267" w:name="page268"/>
    <w:bookmarkEnd w:id="267"/>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assets in the SPE and, depending on the overall structure of the transaction, may benefit from various forms of credit enhancement, such as over-collateralization in the form of excess assets in the SPE, priority with respect to receipt of cash flows relative to holders of other debt or equity instruments issued by the SPE, or a line of credit or other form of liquidity agreement that is designed with the objective of ensuring that investors receive principal and/or interest cash flow on the investment in accordance with the terms of their investment agreement. The Company generally securitizes loans if possible.</w:t>
      </w:r>
    </w:p>
    <w:p>
      <w:pPr>
        <w:spacing w:after="0" w:line="1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may periodically enter into transactions in which it transfers assets to a third party. Upon a transfer of financial assets, the Company may retain or acquire subordinated interests in the related assets. In such circumstances, the Company determines whether it has surrendered control over the transferred financial assets, considering its continuing involvement in the transferred financial asset through arrangements or agreements made contemporaneously with, or in contemplation of, the transfer.</w:t>
      </w:r>
    </w:p>
    <w:p>
      <w:pPr>
        <w:spacing w:after="0" w:line="1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If the Company surrenders control of the financial assets, including legal isolation of the financial asset and ability of the transferee to pledge or exchange the transferred assets without constraint, the Company accounts for the transfer as a sale and (a) recognizes the financial and servicing assets it acquired or retained and the liabilities it has incurred, (b) derecognizes financial assets it has sold and liabilities extinguished, (c) recognizes a gain (loss) for the fair value of servicing assets (liabilities), if any, obtained as “Gain on servicing asset, net” in the Condensed Combined Consolidated Statements of Operations, and (d) for loans sold, recognizes a realized gain or loss for the difference between the cash proceeds from the sale of loans and the carrying value of the loans sold as “Gain on sale of loans, net” in the Condensed Combined Consolidated Statements of Operations.</w:t>
      </w:r>
    </w:p>
    <w:p>
      <w:pPr>
        <w:spacing w:after="0" w:line="1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If the Company has not transferred the entire original financial asset to an entity that is not consolidated and/or when the transferor has continuing involvement with the transferred financial asset that precludes treating the transfer as a sale, the Company retains the financial assets with a related secured borrowing liability for the collateral pledged and does not recognize any gain or loss.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recognizes right-of-use assets and lease liabilities for operating leases at the commencement date of the lease based on the present value of remaining fixed and determinable lease payments over the lease term. The Company calculates the present value of future payments by using an estimated incremental borrowing rate, which approximates the rate at which the Company would borrow on a secured basis and over a similar term, and recognizes lease expense for operating leases on a straight-line basis over the lease term. Right-of-use (“ROU”) assets represent the Company’s right to control the use of an identified asset for the lease term and lease liabilities represent the Company’s obligation to make lease payments arising from the lease. The Company uses the incremental borrowing rate on the commencement date in determining the present value of the lease payments.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Derivatives</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enters into long and short treasury note futures contracts to manage its interest rate risk and, from time to time, enhance investment returns. The Company’s derivatives are recorded as either assets or liabilities in the Condensed Combined Consolidated Balance Sheets and measured at fair value. The Company’s derivative financial instrument contracts are not designated as accounting hedges under GAAP; accordingly, all changes in fair value are recognized in earnings. The Company estimates the fair value of its derivative instruments as described in Note 11 of these condensed combined consolidated financial statements.</w:t>
      </w:r>
    </w:p>
    <w:p>
      <w:pPr>
        <w:spacing w:after="0" w:line="1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recorded $ 4.8 million and $— of aggregate net realized and unrealized gains (losses) for derivative assets and liabilities within “Gain on sale of loans, net” in the Condensed Combined Consolidated Statements of Operations for the three months ended March 31, 2025 and 2024. The Company recorded the following derivative assets and liabilities within “Other current liabilities”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34" w:right="339" w:bottom="1440" w:gutter="0" w:footer="0" w:header="0"/>
        </w:sectPr>
      </w:pPr>
    </w:p>
    <w:bookmarkStart w:id="268" w:name="page269"/>
    <w:bookmarkEnd w:id="268"/>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in the Condensed Combined Consolidated Balance Sheets at March 31, 2025 and December 31, 2024,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Notional</w:t>
            </w:r>
          </w:p>
        </w:tc>
        <w:tc>
          <w:tcPr>
            <w:tcW w:w="20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2025</w:t>
            </w:r>
          </w:p>
        </w:tc>
        <w:tc>
          <w:tcPr>
            <w:tcW w:w="140" w:type="dxa"/>
            <w:vAlign w:val="bottom"/>
          </w:tcPr>
          <w:p>
            <w:pPr>
              <w:spacing w:after="0"/>
              <w:rPr>
                <w:sz w:val="17"/>
                <w:szCs w:val="17"/>
                <w:color w:val="auto"/>
              </w:rPr>
            </w:pPr>
          </w:p>
        </w:tc>
        <w:tc>
          <w:tcPr>
            <w:tcW w:w="1440" w:type="dxa"/>
            <w:vAlign w:val="bottom"/>
          </w:tcPr>
          <w:p>
            <w:pPr>
              <w:jc w:val="right"/>
              <w:ind w:right="55"/>
              <w:spacing w:after="0"/>
              <w:rPr>
                <w:sz w:val="20"/>
                <w:szCs w:val="20"/>
                <w:color w:val="auto"/>
              </w:rPr>
            </w:pPr>
            <w:r>
              <w:rPr>
                <w:rFonts w:ascii="Arial" w:cs="Arial" w:eastAsia="Arial" w:hAnsi="Arial"/>
                <w:sz w:val="14"/>
                <w:szCs w:val="14"/>
                <w:b w:val="1"/>
                <w:bCs w:val="1"/>
                <w:color w:val="auto"/>
              </w:rPr>
              <w:t>December 31, 2024</w:t>
            </w:r>
          </w:p>
        </w:tc>
      </w:tr>
      <w:tr>
        <w:trPr>
          <w:trHeight w:val="210"/>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Other current assets</w:t>
            </w:r>
          </w:p>
        </w:tc>
        <w:tc>
          <w:tcPr>
            <w:tcW w:w="3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6320" w:type="dxa"/>
            <w:vAlign w:val="bottom"/>
          </w:tcPr>
          <w:p>
            <w:pPr>
              <w:ind w:left="240"/>
              <w:spacing w:after="0"/>
              <w:rPr>
                <w:sz w:val="20"/>
                <w:szCs w:val="20"/>
                <w:color w:val="auto"/>
              </w:rPr>
            </w:pPr>
            <w:r>
              <w:rPr>
                <w:rFonts w:ascii="Arial" w:cs="Arial" w:eastAsia="Arial" w:hAnsi="Arial"/>
                <w:sz w:val="18"/>
                <w:szCs w:val="18"/>
                <w:color w:val="auto"/>
              </w:rPr>
              <w:t>Treasury note futures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Other current liabilities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6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Treasury note futures</w:t>
            </w:r>
          </w:p>
        </w:tc>
        <w:tc>
          <w:tcPr>
            <w:tcW w:w="3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Balance Sheet Measurement</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Cash and Cash Equivalents and Restricted Cash</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considers all highly liquid short-term investments with maturities less than 90 days when purchased to be cash equivalents, which are primarily money market funds for the Company. Substantially all amounts on deposit with federally insured financial institutions exceed insured limits. Restricted cash represents cash held on behalf of third parties, primarily principal and interest collected on behalf of loan investors as part of the Company’s servicing operations and held in restricted accounts.</w:t>
      </w:r>
    </w:p>
    <w:p>
      <w:pPr>
        <w:spacing w:after="0" w:line="12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in the Condensed Combined Consolidated Balance Sheets to the total of the same amounts shown in the Condensed Combined Consolidated Statements of Cash Flows: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2025</w:t>
            </w:r>
          </w:p>
        </w:tc>
        <w:tc>
          <w:tcPr>
            <w:tcW w:w="140" w:type="dxa"/>
            <w:vAlign w:val="bottom"/>
          </w:tcPr>
          <w:p>
            <w:pPr>
              <w:spacing w:after="0"/>
              <w:rPr>
                <w:sz w:val="17"/>
                <w:szCs w:val="17"/>
                <w:color w:val="auto"/>
              </w:rPr>
            </w:pPr>
          </w:p>
        </w:tc>
        <w:tc>
          <w:tcPr>
            <w:tcW w:w="1440" w:type="dxa"/>
            <w:vAlign w:val="bottom"/>
          </w:tcPr>
          <w:p>
            <w:pPr>
              <w:jc w:val="right"/>
              <w:ind w:right="55"/>
              <w:spacing w:after="0"/>
              <w:rPr>
                <w:sz w:val="20"/>
                <w:szCs w:val="20"/>
                <w:color w:val="auto"/>
              </w:rPr>
            </w:pPr>
            <w:r>
              <w:rPr>
                <w:rFonts w:ascii="Arial" w:cs="Arial" w:eastAsia="Arial" w:hAnsi="Arial"/>
                <w:sz w:val="14"/>
                <w:szCs w:val="14"/>
                <w:b w:val="1"/>
                <w:bCs w:val="1"/>
                <w:color w:val="auto"/>
              </w:rPr>
              <w:t>December 31, 2024</w:t>
            </w:r>
          </w:p>
        </w:tc>
      </w:tr>
      <w:tr>
        <w:trPr>
          <w:trHeight w:val="224"/>
        </w:trPr>
        <w:tc>
          <w:tcPr>
            <w:tcW w:w="79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287,256</w:t>
            </w: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57,777</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cash equivalents and restricted cash</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384,535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345,033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Investments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Marketable Securities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securitization of loans that the Company originates or purchases in transactions that qualify as sales, the Company is required to retain a certain portion of the securitization trusts into which the loans are sold in the form of debt securities and/ or beneficial or other interests to satisfy risk retention regulations. In each case, the Company elected the fair value option, where applicable, for the securities and other interests acquired at the time of sale, and it carries those securities and other interests at their fair values, with realized and unrealized changes in fair value recorded as components of “Gain on sale of loans, net” in the Condensed Combined Consolidated Statements of Operations, resulting in a total increase of $2.7 million and $1.7 million for the three months ended March 31, 2025 and 2024, respectively.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Digital Assets</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Company holds digital assets for sale, measured at fair value, with changes in fair value recognized in “Other expense, net” in the Condensed Combined Consolidated Statements of Operations.</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Realized gains and losses on disposition of digital assets held for sale are recognized on a first-in-first-out basis that are influenced by the volume and mix of digital assets received and used as well as the timing of the digital asset turnover. Cash flows from digital assets held for sale are recorded as investing activities in the Condensed Combined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134" w:right="339" w:bottom="1440" w:gutter="0" w:footer="0" w:header="0"/>
        </w:sectPr>
      </w:pPr>
    </w:p>
    <w:bookmarkStart w:id="269" w:name="page270"/>
    <w:bookmarkEnd w:id="269"/>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also holds digital assets held as collateral against personal loans that the Company originates. Recognized customer assets and liabilities comprise customer custodial funds and corresponding customer custodial liabilities that represent the Company’s obligation to return these assets to customers. Digital asset collateral is recognized if the Company obtains control of the collateral. The Company does not use customer digital assets held as collateral for any loan, margin, rehypothecation, or other similar activities to which the Company or its affiliates are a party, without the customer’s consent.</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also holds digital assets supported by blockchain network protocols that verify new blocks of data through a consensus mechanism where digital asset holders are selected to participate in network functions, such as verifying new blocks, based on the relative percentage of assets they have placed at stake. By performing these functions, new digital assets are created and awarded to those performing the function, and the Company recognizes such awards as “Other expense, net” in the Condensed Combined Consolidated Statements of Operations when earned and available for use.</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3 and 11 for additional information regarding the Company’s investments and valuation, respectively.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Servicing Rights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Servicing rights represent the contractual right to service the loan that the Company either originates and sells or purchases and sells. Upon loan sale, the Company recognizes a servicing asset at fair value, with realized and unrealized changes in fair value recorded as components of “Gain on servicing asset, net” in the Condensed Combined Consolidated Statements of Operations. Realized gains (losses) on servicing rights represent the excess (deficient) expected benefits of servicing that are greater (less) than market compensation for servicing obligations, based on the estimated fair value of servicing rights retained. Servicing rights are aggregated into pools as applicable, and each pool of servicing rights is accounted for in the aggregate as a servicing asset.</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After the sale of loans that the Company services, the Company recognizes the monthly contractual servicing fees it earns, gross of subservicing fees paid to a third party subservicer, based upon the unpaid principal balance (“UPB”) of the underlying loans as revenue, presented as “Servicing fees” in the Condensed Combined Consolidated Statements of Operations.</w:t>
      </w:r>
    </w:p>
    <w:p>
      <w:pPr>
        <w:spacing w:after="0" w:line="117" w:lineRule="exact"/>
        <w:rPr>
          <w:sz w:val="20"/>
          <w:szCs w:val="20"/>
          <w:color w:val="auto"/>
        </w:rPr>
      </w:pPr>
    </w:p>
    <w:p>
      <w:pPr>
        <w:ind w:left="340" w:right="1800"/>
        <w:spacing w:after="0" w:line="438" w:lineRule="auto"/>
        <w:rPr>
          <w:sz w:val="20"/>
          <w:szCs w:val="20"/>
          <w:color w:val="auto"/>
        </w:rPr>
      </w:pPr>
      <w:r>
        <w:rPr>
          <w:rFonts w:ascii="Arial" w:cs="Arial" w:eastAsia="Arial" w:hAnsi="Arial"/>
          <w:sz w:val="18"/>
          <w:szCs w:val="18"/>
          <w:color w:val="auto"/>
        </w:rPr>
        <w:t xml:space="preserve">See Notes 4 and 11 for additional information regarding the Company’s servicing rights and valuation, respectively. </w:t>
      </w:r>
      <w:r>
        <w:rPr>
          <w:rFonts w:ascii="Arial" w:cs="Arial" w:eastAsia="Arial" w:hAnsi="Arial"/>
          <w:sz w:val="18"/>
          <w:szCs w:val="18"/>
          <w:u w:val="single" w:color="auto"/>
          <w:color w:val="auto"/>
        </w:rPr>
        <w:t>Loans</w:t>
      </w:r>
    </w:p>
    <w:p>
      <w:pPr>
        <w:spacing w:after="0" w:line="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loan portfolio primarily consists of originated or purchased HELOC loans classified as either (a) held-for-investment when management has the intent and ability to hold such loans until maturity or repayment for the foreseeable future or (b) held for sale when management intends to sell the loans. Upon origination or purchase, the Company elected the fair value option for all loans, except for those made to related parties, and carries those loans at their fair value, with realized and unrealized changes in fair value recorded as components of “Gain on sale of loans, net” in the Condensed Combined Consolidated Statements of Operations, resulting in a net gain of $6.4 million and $3.0 million for the three months ended March 31, 2025 and 2024, respectively. The Company recognizes loan discounts, if any, on the loans it originates as “Origination fees” in the Condensed Combined Consolidated Statements of Operations at time of origination.</w:t>
      </w:r>
    </w:p>
    <w:p>
      <w:pPr>
        <w:spacing w:after="0" w:line="13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See Notes 5 and 11 for additional information regarding the Company’s loans and valuation, respectively, and see Note 9 for information regarding the Company’s commitments and obligations related to loans the Company holds and sells.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34" w:right="339" w:bottom="1440" w:gutter="0" w:footer="0" w:header="0"/>
        </w:sectPr>
      </w:pPr>
    </w:p>
    <w:bookmarkStart w:id="270" w:name="page271"/>
    <w:bookmarkEnd w:id="270"/>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Debt</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primarily finances its operations using (a) warehouse credit facilities secured by the loans it originates or acquires (“Funding Debt”), (b) repurchase agreements for the securities it retains upon securitization of those loans, excluding residual interests therein (“Retained Interest Facility”), and (c) a promissory note under a senior secured financing facility whereby the Company pledges certain eligible loan servicing rights, net of expected costs (“MSR Note”).</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Each of these borrowing arrangements are treated as collateralized financing transactions and carried at their contractual amounts, excluding accrued interest, as specified in the respective agreements. The carrying amount of the Company’s secured financing agreements and warehouse credit facilities approximates fair value as they are either short-term and/or mark-to-market facilities. The Company pledges certain securities, loans, or other assets as collateral under secured financing agreements and warehouse credit facilities with financial institutions, the terms and conditions of which are governed by each respective lender agreement. The amounts available to be borrowed under repurchase agreements and warehouse credit facilities are dependent upon the fair value of the securities, or unpaid principal balance of loans pledged as collateral, which can fluctuate with changes in interest rates, type of security, and liquidity conditions within the banking, mortgage finance, and real estate industries.</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capitalizes and amortizes deferred debt facility costs incurred when entering financing agreements on a straight-line basis over the expected term of term facilities or weighted-average life of the expected principal repayments for revolving credit facilities. The Company recognizes amortization of deferred debt facility costs, as well as deferred amounts written off and contractual interest and fees owed as incurred, as interest expense in its Condensed Combined Consolidated Statements of Operations, which does not materially differ from the effective interest method applied to such facilities.</w:t>
      </w:r>
    </w:p>
    <w:p>
      <w:pPr>
        <w:spacing w:after="0" w:line="1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Company also consolidates the Figure Certificate Company (“FCC”) that issues face-amount certificates that trade on blockchain as an interest-bearing stablecoin (“YLDS”), which the Company carries at fair value, and the Company expenses financing costs as incurred.</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for additional information regarding the Company’s debt.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Other Assets and Liabilities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At March 31, 2025 and December 31, 2024, (a) Other current assets primarily included prepaid expenses and distressed asset claims and (b) Other non-current assets primarily included right-of-use lease assets, internally developed software, and other investments. At March 31, 2025 and December 31, 2024, Other current liabilities primarily included digital asset collateral repayment obligations, loan indemnification reserve, and other payables.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3 and 11 for further information on the digital asset collateral repayment obligation.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Recognition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Revenue Recognition</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Company’s revenues are substantially comprised of ecosystem and technology fees, loan originations and sales gains or losses, including interest income earned on those loans, and loan servicing.</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Ecosystem Fees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provides certain loan originators access to its custom-built marketplace platform to facilitate the origination, buying, and selling of standardized assets originated through its loan origination system in exchange for fees to use its technology for origination. The provision of continuous stand-ready access to this platform is the Company’s only performance obligation. Accordingly, the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34" w:right="339" w:bottom="1440" w:gutter="0" w:footer="0" w:header="0"/>
        </w:sectPr>
      </w:pPr>
    </w:p>
    <w:bookmarkStart w:id="271" w:name="page272"/>
    <w:bookmarkEnd w:id="271"/>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3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obligation is satisfied when each loan is originated. Loan originators can access the platform until their status is terminated via written notice by either the loan originator or the Company.</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elected to use the as-invoiced practical expedient to recognize revenue associated with this subscription as the Company is able to demonstrate that the invoiced amount directly corresponds to the value to the partner of the Company’s performance obligation completed to date since the platform no longer provides any further utility to the partner post loan origination.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Technology Fees</w:t>
      </w:r>
    </w:p>
    <w:p>
      <w:pPr>
        <w:spacing w:after="0" w:line="183"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The Company earns volume-based technology and processing fees, based on the principal balance of each loan originated, from certain loan originators using the Technology Offering, access to which represents the Company’s sole performance obligation that is satisfied upon each loan transaction, as well as a fulfillment fee associated with the execution of loan sales. The Technology Offering enables partners, who are retail and wholesale lenders, to originate loans branded under each partners’ name, through access to a suite of services such as loan application, submission and verification, risk underwriting, and electronic loan offer and documentation delivery for the borrower execution.</w:t>
      </w:r>
    </w:p>
    <w:p>
      <w:pPr>
        <w:spacing w:after="0" w:line="11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Company bills a fixed amount for each loan originated and generally bills associated fees on a monthly basis with customary payment terms. As such, the Company’s contracts with customers do not include a significant financing component.</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Company recognizes both ecosystem and technology fees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At the Company’s discretion and subject to the its right of first refusal, the Company may purchase loans originated using its Technology Offering and account for such purchases in accordance with ASC 860, classified as Loans held for sale, at fair value in the Condensed Combined Consolidated Balance Sheets as the Company intends to resell these loans to third-party loan investors while retaining servicing rights.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Program Fees</w:t>
      </w:r>
    </w:p>
    <w:p>
      <w:pPr>
        <w:spacing w:after="0" w:line="169"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The Company earns a fee for arranging and facilitating the transfer of financials assets through the securitization of HELOCs, for which the Company accounts under ASC 860. This fee is based on the outstanding principal balance of the transferred HELOC and is fully earned and paid on the securitization closing date.</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following table presents the components of “Ecosystem and technology fees” in the Condensed Combined Consolidated Statements of Operations:</w:t>
      </w:r>
    </w:p>
    <w:p>
      <w:pPr>
        <w:spacing w:after="0" w:line="137" w:lineRule="exact"/>
        <w:rPr>
          <w:sz w:val="20"/>
          <w:szCs w:val="20"/>
          <w:color w:val="auto"/>
        </w:rPr>
      </w:pPr>
    </w:p>
    <w:p>
      <w:pPr>
        <w:jc w:val="center"/>
        <w:ind w:left="7960"/>
        <w:spacing w:after="0"/>
        <w:rPr>
          <w:sz w:val="20"/>
          <w:szCs w:val="20"/>
          <w:color w:val="auto"/>
        </w:rPr>
      </w:pPr>
      <w:r>
        <w:rPr>
          <w:rFonts w:ascii="Arial" w:cs="Arial" w:eastAsia="Arial" w:hAnsi="Arial"/>
          <w:sz w:val="14"/>
          <w:szCs w:val="14"/>
          <w:b w:val="1"/>
          <w:bCs w:val="1"/>
          <w:color w:val="auto"/>
        </w:rPr>
        <w:t>Three Months Ended</w:t>
      </w:r>
    </w:p>
    <w:p>
      <w:pPr>
        <w:jc w:val="center"/>
        <w:ind w:left="796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r>
      <w:tr>
        <w:trPr>
          <w:trHeight w:val="210"/>
        </w:trPr>
        <w:tc>
          <w:tcPr>
            <w:tcW w:w="7980" w:type="dxa"/>
            <w:vAlign w:val="bottom"/>
            <w:shd w:val="clear" w:color="auto" w:fill="CCEEFF"/>
          </w:tcPr>
          <w:p>
            <w:pPr>
              <w:ind w:left="20"/>
              <w:spacing w:after="0" w:line="210" w:lineRule="exact"/>
              <w:rPr>
                <w:sz w:val="20"/>
                <w:szCs w:val="20"/>
                <w:color w:val="auto"/>
              </w:rPr>
            </w:pPr>
            <w:r>
              <w:rPr>
                <w:rFonts w:ascii="Arial" w:cs="Arial" w:eastAsia="Arial" w:hAnsi="Arial"/>
                <w:sz w:val="18"/>
                <w:szCs w:val="18"/>
                <w:b w:val="1"/>
                <w:bCs w:val="1"/>
                <w:color w:val="auto"/>
              </w:rPr>
              <w:t>Ecosystem and technology fees</w:t>
            </w:r>
            <w:r>
              <w:rPr>
                <w:rFonts w:ascii="Arial" w:cs="Arial" w:eastAsia="Arial" w:hAnsi="Arial"/>
                <w:sz w:val="23"/>
                <w:szCs w:val="23"/>
                <w:b w:val="1"/>
                <w:bCs w:val="1"/>
                <w:color w:val="auto"/>
                <w:vertAlign w:val="superscript"/>
              </w:rPr>
              <w:t>(A)</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Ecosystem and technology fees: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Technology offering fees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w:t>
            </w:r>
          </w:p>
        </w:tc>
      </w:tr>
      <w:tr>
        <w:trPr>
          <w:trHeight w:val="230"/>
        </w:trPr>
        <w:tc>
          <w:tcPr>
            <w:tcW w:w="7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Ecosystem fees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ecosystem and technology fees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13,107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Other fees: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Program fees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23"/>
        </w:trPr>
        <w:tc>
          <w:tcPr>
            <w:tcW w:w="79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fees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ecosystem and technology fees</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15,613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34" w:right="339" w:bottom="1440" w:gutter="0" w:footer="0" w:header="0"/>
        </w:sectPr>
      </w:pPr>
    </w:p>
    <w:bookmarkStart w:id="272" w:name="page273"/>
    <w:bookmarkEnd w:id="272"/>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tabs>
          <w:tab w:leader="none" w:pos="3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Ecosystem and technology fees include fees that are accounted for under ASC 606, as well as program fees that are not in the scope of ASC 606.</w:t>
      </w:r>
    </w:p>
    <w:p>
      <w:pPr>
        <w:spacing w:after="0" w:line="16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i w:val="1"/>
          <w:iCs w:val="1"/>
          <w:color w:val="auto"/>
        </w:rPr>
        <w:t>Interest Income</w:t>
      </w:r>
    </w:p>
    <w:p>
      <w:pPr>
        <w:spacing w:after="0" w:line="169"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Company earns interest income primarily from three sources:</w:t>
      </w:r>
    </w:p>
    <w:p>
      <w:pPr>
        <w:spacing w:after="0" w:line="171" w:lineRule="exact"/>
        <w:rPr>
          <w:rFonts w:ascii="Arial" w:cs="Arial" w:eastAsia="Arial" w:hAnsi="Arial"/>
          <w:sz w:val="16"/>
          <w:szCs w:val="16"/>
          <w:color w:val="auto"/>
        </w:rPr>
      </w:pPr>
    </w:p>
    <w:p>
      <w:pPr>
        <w:jc w:val="both"/>
        <w:ind w:left="660" w:hanging="328"/>
        <w:spacing w:after="0" w:line="254" w:lineRule="auto"/>
        <w:tabs>
          <w:tab w:leader="none" w:pos="655" w:val="left"/>
        </w:tabs>
        <w:numPr>
          <w:ilvl w:val="1"/>
          <w:numId w:val="104"/>
        </w:numPr>
        <w:rPr>
          <w:rFonts w:ascii="Arial" w:cs="Arial" w:eastAsia="Arial" w:hAnsi="Arial"/>
          <w:sz w:val="18"/>
          <w:szCs w:val="18"/>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 The Company accrues interest income on loans it holds based on the UPB outstanding at contractual interest rates,</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as “Interest income” in the Condensed Combined Consolidated Statements of Operations. Loans are placed on nonaccrual status when they become 90 days past due (30 days past due for collateralized personal loans) or when management doubts full recovery of interest and principal. Loans are considered past due when contractually required principal or interest payments have not been made on the due dates. When a loan is placed on nonaccrual status, the accrued and unpaid interest is reversed as a reduction of interest income and accrued interest receivable. Interest income is subsequently recognized only to the extent cash payments are received or when the loan has been placed back in accrual status. Loans are restored to accrual status when the loan becomes current and management expects repayment of the remaining contractual principal and interest. The Company also recognizes cash received on non-accrual loans as interest income after all contractual principal is repaid or expects collection of the remaining UPB.</w:t>
      </w:r>
    </w:p>
    <w:p>
      <w:pPr>
        <w:spacing w:after="0" w:line="131"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1"/>
          <w:numId w:val="104"/>
        </w:numPr>
        <w:rPr>
          <w:rFonts w:ascii="Arial" w:cs="Arial" w:eastAsia="Arial" w:hAnsi="Arial"/>
          <w:sz w:val="18"/>
          <w:szCs w:val="18"/>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 The Company recognizes interest income on debt securities where the Company expects to collect all</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contractual cash flows, and the debt security cannot be contractually prepaid in such a way that the Company would not recover substantially all of its recorded investment, based on the stated coupon rate and the outstanding principal amount of the debt security. The Company recognizes interest income on beneficial interests based on the investment’s accretable yield, which represents the difference between the expected undiscounted cash flows and the carrying value of the investment. The Company recognizes the accretable yield as interest income on a prospective level yield basis over the life of the expected cash flows. Changes in the amount or timing of actual or expected cash flows may change the accretable yield, and the Company adjusts interest income recognized in future periods using a recalculated level yield applied to the then-current carrying value. Increases (decreases) in the amount of cash flows or acceleration (deceleration) of cash flows, in isolation, generally increase (decrease) the interest income recognized in future periods.</w:t>
      </w:r>
    </w:p>
    <w:p>
      <w:pPr>
        <w:spacing w:after="0" w:line="131" w:lineRule="exact"/>
        <w:rPr>
          <w:rFonts w:ascii="Arial" w:cs="Arial" w:eastAsia="Arial" w:hAnsi="Arial"/>
          <w:sz w:val="18"/>
          <w:szCs w:val="18"/>
          <w:color w:val="auto"/>
        </w:rPr>
      </w:pPr>
    </w:p>
    <w:p>
      <w:pPr>
        <w:ind w:left="660" w:right="20" w:hanging="328"/>
        <w:spacing w:after="0" w:line="287" w:lineRule="auto"/>
        <w:tabs>
          <w:tab w:leader="none" w:pos="655" w:val="left"/>
        </w:tabs>
        <w:numPr>
          <w:ilvl w:val="1"/>
          <w:numId w:val="104"/>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accrues interest income monthly for cash held at depository institutions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short-term instruments such as money-market funds.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Revenue</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Other revenue consists of fees earned and gains (losses) on the Company’s investments in certain entities during the three months ended March 31, 2025 and 2024.</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3 for additional information regarding the Company’s equity method investments.</w:t>
      </w:r>
    </w:p>
    <w:p>
      <w:pPr>
        <w:spacing w:after="0" w:line="171"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See “— Loans” for a discussion of revenues recognized as “Origination fees” and “Gain on sale of loans, net”, and see “— Servicing” for a discussion of revenue recognized as “Servicing fees” and “Gain on servicing asset, net”, respectively, in the Condensed Combined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34" w:right="339" w:bottom="1440" w:gutter="0" w:footer="0" w:header="0"/>
        </w:sectPr>
      </w:pPr>
    </w:p>
    <w:bookmarkStart w:id="273" w:name="page274"/>
    <w:bookmarkEnd w:id="273"/>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Expense Recognition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Costs</w:t>
      </w:r>
    </w:p>
    <w:p>
      <w:pPr>
        <w:spacing w:after="0" w:line="16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Company presents stock-based compensation, software costs, and other operational expenses within the following functional groups based on the headcount allocable to each group and the specific operation of each group:</w:t>
      </w:r>
    </w:p>
    <w:p>
      <w:pPr>
        <w:spacing w:after="0" w:line="99"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 Corporate activities not allocable to the other groups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Technology and product development </w:t>
      </w:r>
      <w:r>
        <w:rPr>
          <w:rFonts w:ascii="Arial" w:cs="Arial" w:eastAsia="Arial" w:hAnsi="Arial"/>
          <w:sz w:val="18"/>
          <w:szCs w:val="18"/>
          <w:color w:val="auto"/>
        </w:rPr>
        <w:t>— Development and maintenance of the Technology Offering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Operations and processing </w:t>
      </w:r>
      <w:r>
        <w:rPr>
          <w:rFonts w:ascii="Arial" w:cs="Arial" w:eastAsia="Arial" w:hAnsi="Arial"/>
          <w:sz w:val="18"/>
          <w:szCs w:val="18"/>
          <w:color w:val="auto"/>
        </w:rPr>
        <w:t>— Loan underwriting, origination, and servicing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 Advertising, marketing, and sales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issues stock options and restricted stock awards (“RSAs”) to employees and non-employees, including directors and third-party service providers. Stock options are initially measured at fair value at the date of grant using a Black-Scholes option-pricing model. RSAs are measured at the fair market value of our common stock at the grant date. Stock-based compensation expense for options and RSAs is recognized based on respective grant-date fair values. For awards that include a performance-based vesting requirement, the Company recognizes expense when it is probable that the performance-based condition is satisfied and the award has satisfied other vesting conditions, if any. The Company expenses the estimated fair value of awards on the date of grant on a straight-line basis over the requisite service period, or immediately if there is no service period, for awards that only require time-based vesting requirements. The Company elects to account for forfeitures as they occur.</w:t>
      </w:r>
    </w:p>
    <w:p>
      <w:pPr>
        <w:spacing w:after="0" w:line="131" w:lineRule="exact"/>
        <w:rPr>
          <w:sz w:val="20"/>
          <w:szCs w:val="20"/>
          <w:color w:val="auto"/>
        </w:rPr>
      </w:pPr>
    </w:p>
    <w:p>
      <w:pPr>
        <w:ind w:left="340" w:right="1100"/>
        <w:spacing w:after="0" w:line="529" w:lineRule="auto"/>
        <w:rPr>
          <w:sz w:val="20"/>
          <w:szCs w:val="20"/>
          <w:color w:val="auto"/>
        </w:rPr>
      </w:pPr>
      <w:r>
        <w:rPr>
          <w:rFonts w:ascii="Arial" w:cs="Arial" w:eastAsia="Arial" w:hAnsi="Arial"/>
          <w:sz w:val="18"/>
          <w:szCs w:val="18"/>
          <w:color w:val="auto"/>
        </w:rPr>
        <w:t xml:space="preserve">Additionally, the Company granted warrants to a preferred shareholder in exchange for software license and other services. See Note 7 for additional information regarding the Company’s stock-based compensation. </w:t>
      </w:r>
      <w:r>
        <w:rPr>
          <w:rFonts w:ascii="Arial" w:cs="Arial" w:eastAsia="Arial" w:hAnsi="Arial"/>
          <w:sz w:val="18"/>
          <w:szCs w:val="18"/>
          <w:i w:val="1"/>
          <w:iCs w:val="1"/>
          <w:u w:val="single" w:color="auto"/>
          <w:color w:val="auto"/>
        </w:rPr>
        <w:t>Software Costs</w:t>
      </w:r>
    </w:p>
    <w:p>
      <w:pPr>
        <w:spacing w:after="0" w:line="2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incurs costs associated with the development, maintenance, purchase, and licensing of software. The Company expenses costs to maintain software, preliminary stage costs incurred before development commences, and other costs required by GAAP, presented as operating costs, aggregated by most closely associated functional group, in the Condensed Combined Consolidated Statements of Operations. The Company capitalizes remaining costs as permitted by GAAP, including costs associated with substantively new software functionality for internal use and technologically feasible software for external use that the Company evaluates for impairment at least quarterly. Once internally-developed software is substantively complete and ready for intended use or upon release of software for external use, the Company amortizes capitalized costs over the estimated useful lives on a straight-line basis within “Technology and product development” expense in the Condensed Combined Consolidated Statements of Operations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Estimated Useful Life</w:t>
            </w:r>
          </w:p>
        </w:tc>
        <w:tc>
          <w:tcPr>
            <w:tcW w:w="200" w:type="dxa"/>
            <w:vAlign w:val="bottom"/>
          </w:tcPr>
          <w:p>
            <w:pPr>
              <w:spacing w:after="0"/>
              <w:rPr>
                <w:sz w:val="14"/>
                <w:szCs w:val="14"/>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 2025</w:t>
            </w:r>
          </w:p>
        </w:tc>
        <w:tc>
          <w:tcPr>
            <w:tcW w:w="140" w:type="dxa"/>
            <w:vAlign w:val="bottom"/>
          </w:tcPr>
          <w:p>
            <w:pPr>
              <w:spacing w:after="0"/>
              <w:rPr>
                <w:sz w:val="14"/>
                <w:szCs w:val="14"/>
                <w:color w:val="auto"/>
              </w:rPr>
            </w:pPr>
          </w:p>
        </w:tc>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85"/>
        </w:trPr>
        <w:tc>
          <w:tcPr>
            <w:tcW w:w="632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center"/>
              <w:ind w:left="595"/>
              <w:spacing w:after="0"/>
              <w:rPr>
                <w:sz w:val="20"/>
                <w:szCs w:val="20"/>
                <w:color w:val="auto"/>
              </w:rPr>
            </w:pPr>
            <w:r>
              <w:rPr>
                <w:rFonts w:ascii="Arial" w:cs="Arial" w:eastAsia="Arial" w:hAnsi="Arial"/>
                <w:sz w:val="18"/>
                <w:szCs w:val="18"/>
                <w:color w:val="auto"/>
                <w:w w:val="98"/>
              </w:rPr>
              <w:t>85,102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center"/>
              <w:ind w:left="655"/>
              <w:spacing w:after="0"/>
              <w:rPr>
                <w:sz w:val="20"/>
                <w:szCs w:val="20"/>
                <w:color w:val="auto"/>
              </w:rPr>
            </w:pPr>
            <w:r>
              <w:rPr>
                <w:rFonts w:ascii="Arial" w:cs="Arial" w:eastAsia="Arial" w:hAnsi="Arial"/>
                <w:sz w:val="18"/>
                <w:szCs w:val="18"/>
                <w:color w:val="auto"/>
                <w:w w:val="98"/>
              </w:rPr>
              <w:t>80,664</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Accumulated amortization</w:t>
            </w:r>
            <w:r>
              <w:rPr>
                <w:rFonts w:ascii="Arial" w:cs="Arial" w:eastAsia="Arial" w:hAnsi="Arial"/>
                <w:sz w:val="23"/>
                <w:szCs w:val="23"/>
                <w:color w:val="auto"/>
                <w:vertAlign w:val="superscript"/>
              </w:rPr>
              <w:t>(A)</w:t>
            </w:r>
          </w:p>
        </w:tc>
        <w:tc>
          <w:tcPr>
            <w:tcW w:w="15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575"/>
              <w:spacing w:after="0"/>
              <w:rPr>
                <w:sz w:val="20"/>
                <w:szCs w:val="20"/>
                <w:color w:val="auto"/>
              </w:rPr>
            </w:pPr>
            <w:r>
              <w:rPr>
                <w:rFonts w:ascii="Arial" w:cs="Arial" w:eastAsia="Arial" w:hAnsi="Arial"/>
                <w:sz w:val="18"/>
                <w:szCs w:val="18"/>
                <w:color w:val="auto"/>
              </w:rPr>
              <w:t>(61,466)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635"/>
              <w:spacing w:after="0"/>
              <w:rPr>
                <w:sz w:val="20"/>
                <w:szCs w:val="20"/>
                <w:color w:val="auto"/>
              </w:rPr>
            </w:pPr>
            <w:r>
              <w:rPr>
                <w:rFonts w:ascii="Arial" w:cs="Arial" w:eastAsia="Arial" w:hAnsi="Arial"/>
                <w:sz w:val="18"/>
                <w:szCs w:val="18"/>
                <w:color w:val="auto"/>
              </w:rPr>
              <w:t>(57,503)</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center"/>
              <w:ind w:left="595"/>
              <w:spacing w:after="0"/>
              <w:rPr>
                <w:sz w:val="20"/>
                <w:szCs w:val="20"/>
                <w:color w:val="auto"/>
              </w:rPr>
            </w:pPr>
            <w:r>
              <w:rPr>
                <w:rFonts w:ascii="Arial" w:cs="Arial" w:eastAsia="Arial" w:hAnsi="Arial"/>
                <w:sz w:val="18"/>
                <w:szCs w:val="18"/>
                <w:color w:val="auto"/>
                <w:w w:val="98"/>
              </w:rPr>
              <w:t>23,636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center"/>
              <w:ind w:left="655"/>
              <w:spacing w:after="0"/>
              <w:rPr>
                <w:sz w:val="20"/>
                <w:szCs w:val="20"/>
                <w:color w:val="auto"/>
              </w:rPr>
            </w:pPr>
            <w:r>
              <w:rPr>
                <w:rFonts w:ascii="Arial" w:cs="Arial" w:eastAsia="Arial" w:hAnsi="Arial"/>
                <w:sz w:val="18"/>
                <w:szCs w:val="18"/>
                <w:color w:val="auto"/>
                <w:w w:val="98"/>
              </w:rPr>
              <w:t>23,161</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34" w:right="339" w:bottom="1440" w:gutter="0" w:footer="0" w:header="0"/>
        </w:sectPr>
      </w:pPr>
    </w:p>
    <w:bookmarkStart w:id="274" w:name="page275"/>
    <w:bookmarkEnd w:id="274"/>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line="283" w:lineRule="auto"/>
        <w:tabs>
          <w:tab w:leader="none" w:pos="3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Company amortized $3.9 million and $5.1 million of capitalized internally-developed software costs during the three months ended March 31, 2025 and 2024, respectively.</w:t>
      </w:r>
    </w:p>
    <w:p>
      <w:pPr>
        <w:spacing w:after="0" w:line="9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three months ended March 31, 2024, the Company impaired and wrote-off $6.3 million of software it developed within its Markets segment that it intended to use to offer equity management services, but that the Company did not ultimately offer, as well as $2.3 million of software it purchased within its Markets segment to administer its exchange platform, but that the Company no longer planned to use as intended since the seller subsequently provided enhanced technology services that made the impaired software obsolete. Accordingly, the Company recognized an aggregate impairment of $8.6 million in Other expense, net in the Condensed Combined Consolidated Statements of Operations in connection with this software.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Other Operational Costs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stock-based compensation and software costs, the Company primarily incurs costs related to salaries and bonuses of its employees that it accrues on a quarterly basis, or annually for bonuses based on annual service requirements, as well as costs it expenses as incurred, including advertising and promotion; loan underwriting, origination, and servicing; legal, audit, and other professional services; rent; and other general and administrative costs. Sales and marketing costs, including marketing services, direct mail, and digital advertising campaigns, are expensed as incurred. Sales and marketing costs for the three months ended March 31, 2025 and 2024 was $15.0 million and $12.4 million, respectively, which included $12.7 million and $11.7 million, respectively, of advertising expense.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Other Expense, net</w:t>
      </w:r>
    </w:p>
    <w:p>
      <w:pPr>
        <w:spacing w:after="0" w:line="171"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For the three months ended March 31, 2025 and 2024, Other expense, net included changes in the fair value of digital assets, realized gains and losses incurred on the sale of digital assets held for sale, gains on legal settlement, and impairment of internally developed software.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Income Taxes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accounts for income taxes under the asset and liability method. Under this method, deferred tax assets and liabilities are determined based on differences between the condensed combined consolidated financial statements’ carrying amounts and tax bases of assets and liabilities and operating loss and tax credit carryforwards, measured using the enacted tax rates that are expected to be in effect when the temporary differences reverse. The effect on deferred tax assets and liabilities of a change in tax rates is recognized in net income (loss) in the period that includes the enactment date. We evaluate the likelihood of future realization of our deferred tax assets based on all available evidence and establish a valuation allowance to reduce deferred tax assets when it is more-likely-than-not that deferred tax assets will not be realized.</w:t>
      </w:r>
    </w:p>
    <w:p>
      <w:pPr>
        <w:spacing w:after="0" w:line="1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accounts for uncertain tax positions by reporting a liability for unrecognizable tax benefits resulting from uncertain tax positions taken or expected to be taken in a tax return. The Company recognizes interest and penalties, if any, related to unrecognized tax benefits in income tax expense.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With the exception of those discussed below, there have not been recent changes in accounting pronouncements issued by the Financial Accounting Standards Board (“FASB”), that are applicable to the Company, or adopted by the Company during the three months ended March 31, 2025.</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Recently Issued Accounting Standards Not Yet Adopted</w:t>
      </w:r>
    </w:p>
    <w:p>
      <w:pPr>
        <w:spacing w:after="0" w:line="171"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 - Reporting Comprehensive Income - 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 Disaggregation of Income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34" w:right="339" w:bottom="1440" w:gutter="0" w:footer="0" w:header="0"/>
        </w:sectPr>
      </w:pPr>
    </w:p>
    <w:bookmarkStart w:id="275" w:name="page276"/>
    <w:bookmarkEnd w:id="275"/>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(“ASU 2024-03”), which requires disaggregated disclosures, in the notes to the financial statements, of certain categories of</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that are included in expense line items on the face of the income statement. ASU 2024-03 also requires a qualitative description of the amounts remaining in relevant expense captions that are not separately disaggregated quantitatively, disclosure of the total amount of selling expenses, and in annual reporting periods. the Company’s definition of selling expenses. ASU 2024-03 is effective for public business entities’ annual reporting periods beginning after December 15, 2026, and interim reporting periods beginning after December 15, 2027. Early adoption is permitted. The Company is currently evaluating the effect of adopting ASU 2024-03 on its disclosures.</w:t>
      </w:r>
    </w:p>
    <w:p>
      <w:pPr>
        <w:spacing w:after="0" w:line="88"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In December 2023, the FASB issued ASU 2023</w:t>
      </w:r>
      <w:r>
        <w:rPr>
          <w:rFonts w:ascii="MS PGothic" w:cs="MS PGothic" w:eastAsia="MS PGothic" w:hAnsi="MS PGothic"/>
          <w:sz w:val="18"/>
          <w:szCs w:val="18"/>
          <w:color w:val="auto"/>
        </w:rPr>
        <w:t>‐</w:t>
      </w:r>
      <w:r>
        <w:rPr>
          <w:rFonts w:ascii="Arial" w:cs="Arial" w:eastAsia="Arial" w:hAnsi="Arial"/>
          <w:sz w:val="18"/>
          <w:szCs w:val="18"/>
          <w:color w:val="auto"/>
        </w:rPr>
        <w:t xml:space="preserve">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xml:space="preserve"> (“ASU 2023-09”), to enhance the transparency and decision usefulness of income tax disclosures. ASU 2023-09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and applies to all entities subject to income taxes. ASU 2023-09 is effective for public business entities’ annual periods beginning after December 15, 2024. For entities other than public business entities, the amendments are effective for annual periods beginning after December 15, 2025. Early adoption is permitted for annual financial statements that have not yet been issued or made available for issuance. ASU 2023-09 should be applied on a prospective basis, with retrospective application permitted. The Company is currently evaluating the effect of adopting ASU 2023-09 on its disclosures.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holds investments across three primary categories: marketable securities that represents the interests it is required to retain upon securitizing loans in transactions that are considered sales under GAAP, digital assets in the form of cryptocurrencies held for sale and held as collateral for personal loans, and investments in entities that the Company does not consolidate.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marketable securities at March 31,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March 31, 2025</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6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Outstanding Face</w:t>
            </w:r>
          </w:p>
        </w:tc>
        <w:tc>
          <w:tcPr>
            <w:tcW w:w="140" w:type="dxa"/>
            <w:vAlign w:val="bottom"/>
          </w:tcPr>
          <w:p>
            <w:pPr>
              <w:spacing w:after="0"/>
              <w:rPr>
                <w:sz w:val="13"/>
                <w:szCs w:val="13"/>
                <w:color w:val="auto"/>
              </w:rPr>
            </w:pPr>
          </w:p>
        </w:tc>
        <w:tc>
          <w:tcPr>
            <w:tcW w:w="154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rPr>
              <w:t>Net Fair Value</w:t>
            </w:r>
          </w:p>
        </w:tc>
        <w:tc>
          <w:tcPr>
            <w:tcW w:w="180" w:type="dxa"/>
            <w:vAlign w:val="bottom"/>
          </w:tcPr>
          <w:p>
            <w:pPr>
              <w:spacing w:after="0"/>
              <w:rPr>
                <w:sz w:val="13"/>
                <w:szCs w:val="13"/>
                <w:color w:val="auto"/>
              </w:rPr>
            </w:pPr>
          </w:p>
        </w:tc>
        <w:tc>
          <w:tcPr>
            <w:tcW w:w="14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Carrying Value</w:t>
            </w:r>
            <w:r>
              <w:rPr>
                <w:rFonts w:ascii="Arial" w:cs="Arial" w:eastAsia="Arial" w:hAnsi="Arial"/>
                <w:sz w:val="18"/>
                <w:szCs w:val="18"/>
                <w:b w:val="1"/>
                <w:bCs w:val="1"/>
                <w:color w:val="auto"/>
                <w:vertAlign w:val="superscript"/>
              </w:rPr>
              <w:t>(B)</w:t>
            </w:r>
          </w:p>
        </w:tc>
        <w:tc>
          <w:tcPr>
            <w:tcW w:w="0" w:type="dxa"/>
            <w:vAlign w:val="bottom"/>
          </w:tcPr>
          <w:p>
            <w:pPr>
              <w:spacing w:after="0"/>
              <w:rPr>
                <w:sz w:val="1"/>
                <w:szCs w:val="1"/>
                <w:color w:val="auto"/>
              </w:rPr>
            </w:pPr>
          </w:p>
        </w:tc>
      </w:tr>
      <w:tr>
        <w:trPr>
          <w:trHeight w:val="189"/>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line="189" w:lineRule="exact"/>
              <w:rPr>
                <w:sz w:val="20"/>
                <w:szCs w:val="20"/>
                <w:color w:val="auto"/>
              </w:rPr>
            </w:pPr>
            <w:r>
              <w:rPr>
                <w:rFonts w:ascii="Arial" w:cs="Arial" w:eastAsia="Arial" w:hAnsi="Arial"/>
                <w:sz w:val="14"/>
                <w:szCs w:val="14"/>
                <w:b w:val="1"/>
                <w:bCs w:val="1"/>
                <w:color w:val="auto"/>
                <w:w w:val="97"/>
              </w:rPr>
              <w:t>Amount</w:t>
            </w:r>
            <w:r>
              <w:rPr>
                <w:rFonts w:ascii="Arial" w:cs="Arial" w:eastAsia="Arial" w:hAnsi="Arial"/>
                <w:sz w:val="18"/>
                <w:szCs w:val="18"/>
                <w:b w:val="1"/>
                <w:bCs w:val="1"/>
                <w:color w:val="auto"/>
                <w:w w:val="97"/>
                <w:vertAlign w:val="superscript"/>
              </w:rPr>
              <w:t>(A)</w:t>
            </w:r>
          </w:p>
        </w:tc>
        <w:tc>
          <w:tcPr>
            <w:tcW w:w="14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Adjustment</w:t>
            </w:r>
          </w:p>
        </w:tc>
        <w:tc>
          <w:tcPr>
            <w:tcW w:w="1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Marketable securities, at fair value</w:t>
            </w: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460"/>
              <w:spacing w:after="0" w:line="230" w:lineRule="exact"/>
              <w:rPr>
                <w:sz w:val="20"/>
                <w:szCs w:val="20"/>
                <w:color w:val="auto"/>
              </w:rPr>
            </w:pPr>
            <w:r>
              <w:rPr>
                <w:rFonts w:ascii="Arial" w:cs="Arial" w:eastAsia="Arial" w:hAnsi="Arial"/>
                <w:sz w:val="18"/>
                <w:szCs w:val="18"/>
                <w:color w:val="auto"/>
              </w:rPr>
              <w:t>Investment grade debt securities</w:t>
            </w:r>
            <w:r>
              <w:rPr>
                <w:rFonts w:ascii="Arial" w:cs="Arial" w:eastAsia="Arial" w:hAnsi="Arial"/>
                <w:sz w:val="23"/>
                <w:szCs w:val="23"/>
                <w:color w:val="auto"/>
                <w:vertAlign w:val="superscript"/>
              </w:rPr>
              <w:t>(C)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136,613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137,000</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Below investment grade debt securities</w:t>
            </w:r>
            <w:r>
              <w:rPr>
                <w:rFonts w:ascii="Arial" w:cs="Arial" w:eastAsia="Arial" w:hAnsi="Arial"/>
                <w:sz w:val="23"/>
                <w:szCs w:val="23"/>
                <w:color w:val="auto"/>
                <w:vertAlign w:val="superscript"/>
              </w:rPr>
              <w:t>(D)</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16,249</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460"/>
              <w:spacing w:after="0" w:line="230" w:lineRule="exact"/>
              <w:rPr>
                <w:sz w:val="20"/>
                <w:szCs w:val="20"/>
                <w:color w:val="auto"/>
              </w:rPr>
            </w:pPr>
            <w:r>
              <w:rPr>
                <w:rFonts w:ascii="Arial" w:cs="Arial" w:eastAsia="Arial" w:hAnsi="Arial"/>
                <w:sz w:val="18"/>
                <w:szCs w:val="18"/>
                <w:color w:val="auto"/>
              </w:rPr>
              <w:t>Residual interest securities</w:t>
            </w:r>
            <w:r>
              <w:rPr>
                <w:rFonts w:ascii="Arial" w:cs="Arial" w:eastAsia="Arial" w:hAnsi="Arial"/>
                <w:sz w:val="23"/>
                <w:szCs w:val="23"/>
                <w:color w:val="auto"/>
                <w:vertAlign w:val="superscript"/>
              </w:rPr>
              <w:t>(E)</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33,593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34,558</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186,516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187,807</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6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December 31, 2024</w:t>
            </w: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6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Outstanding Face</w:t>
            </w:r>
          </w:p>
        </w:tc>
        <w:tc>
          <w:tcPr>
            <w:tcW w:w="140" w:type="dxa"/>
            <w:vAlign w:val="bottom"/>
          </w:tcPr>
          <w:p>
            <w:pPr>
              <w:spacing w:after="0"/>
              <w:rPr>
                <w:sz w:val="13"/>
                <w:szCs w:val="13"/>
                <w:color w:val="auto"/>
              </w:rPr>
            </w:pPr>
          </w:p>
        </w:tc>
        <w:tc>
          <w:tcPr>
            <w:tcW w:w="154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rPr>
              <w:t>Net Fair Value</w:t>
            </w:r>
          </w:p>
        </w:tc>
        <w:tc>
          <w:tcPr>
            <w:tcW w:w="180" w:type="dxa"/>
            <w:vAlign w:val="bottom"/>
          </w:tcPr>
          <w:p>
            <w:pPr>
              <w:spacing w:after="0"/>
              <w:rPr>
                <w:sz w:val="13"/>
                <w:szCs w:val="13"/>
                <w:color w:val="auto"/>
              </w:rPr>
            </w:pPr>
          </w:p>
        </w:tc>
        <w:tc>
          <w:tcPr>
            <w:tcW w:w="14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Carrying Value</w:t>
            </w:r>
            <w:r>
              <w:rPr>
                <w:rFonts w:ascii="Arial" w:cs="Arial" w:eastAsia="Arial" w:hAnsi="Arial"/>
                <w:sz w:val="18"/>
                <w:szCs w:val="18"/>
                <w:b w:val="1"/>
                <w:bCs w:val="1"/>
                <w:color w:val="auto"/>
                <w:vertAlign w:val="superscript"/>
              </w:rPr>
              <w:t>(B)</w:t>
            </w:r>
          </w:p>
        </w:tc>
        <w:tc>
          <w:tcPr>
            <w:tcW w:w="0" w:type="dxa"/>
            <w:vAlign w:val="bottom"/>
          </w:tcPr>
          <w:p>
            <w:pPr>
              <w:spacing w:after="0"/>
              <w:rPr>
                <w:sz w:val="1"/>
                <w:szCs w:val="1"/>
                <w:color w:val="auto"/>
              </w:rPr>
            </w:pPr>
          </w:p>
        </w:tc>
      </w:tr>
      <w:tr>
        <w:trPr>
          <w:trHeight w:val="189"/>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line="189" w:lineRule="exact"/>
              <w:rPr>
                <w:sz w:val="20"/>
                <w:szCs w:val="20"/>
                <w:color w:val="auto"/>
              </w:rPr>
            </w:pPr>
            <w:r>
              <w:rPr>
                <w:rFonts w:ascii="Arial" w:cs="Arial" w:eastAsia="Arial" w:hAnsi="Arial"/>
                <w:sz w:val="14"/>
                <w:szCs w:val="14"/>
                <w:b w:val="1"/>
                <w:bCs w:val="1"/>
                <w:color w:val="auto"/>
                <w:w w:val="97"/>
              </w:rPr>
              <w:t>Amount</w:t>
            </w:r>
            <w:r>
              <w:rPr>
                <w:rFonts w:ascii="Arial" w:cs="Arial" w:eastAsia="Arial" w:hAnsi="Arial"/>
                <w:sz w:val="18"/>
                <w:szCs w:val="18"/>
                <w:b w:val="1"/>
                <w:bCs w:val="1"/>
                <w:color w:val="auto"/>
                <w:w w:val="97"/>
                <w:vertAlign w:val="superscript"/>
              </w:rPr>
              <w:t>(A)</w:t>
            </w:r>
          </w:p>
        </w:tc>
        <w:tc>
          <w:tcPr>
            <w:tcW w:w="14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Adjustment</w:t>
            </w:r>
          </w:p>
        </w:tc>
        <w:tc>
          <w:tcPr>
            <w:tcW w:w="1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Marketable securities, at fair value</w:t>
            </w: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460"/>
              <w:spacing w:after="0" w:line="230" w:lineRule="exact"/>
              <w:rPr>
                <w:sz w:val="20"/>
                <w:szCs w:val="20"/>
                <w:color w:val="auto"/>
              </w:rPr>
            </w:pPr>
            <w:r>
              <w:rPr>
                <w:rFonts w:ascii="Arial" w:cs="Arial" w:eastAsia="Arial" w:hAnsi="Arial"/>
                <w:sz w:val="18"/>
                <w:szCs w:val="18"/>
                <w:color w:val="auto"/>
              </w:rPr>
              <w:t>Investment grade debt securities</w:t>
            </w:r>
            <w:r>
              <w:rPr>
                <w:rFonts w:ascii="Arial" w:cs="Arial" w:eastAsia="Arial" w:hAnsi="Arial"/>
                <w:sz w:val="23"/>
                <w:szCs w:val="23"/>
                <w:color w:val="auto"/>
                <w:vertAlign w:val="superscript"/>
              </w:rPr>
              <w:t>(C)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121,278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121,176</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Below investment grade debt securities</w:t>
            </w:r>
            <w:r>
              <w:rPr>
                <w:rFonts w:ascii="Arial" w:cs="Arial" w:eastAsia="Arial" w:hAnsi="Arial"/>
                <w:sz w:val="23"/>
                <w:szCs w:val="23"/>
                <w:color w:val="auto"/>
                <w:vertAlign w:val="superscript"/>
              </w:rPr>
              <w:t>(D)</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460"/>
              <w:spacing w:after="0" w:line="230" w:lineRule="exact"/>
              <w:rPr>
                <w:sz w:val="20"/>
                <w:szCs w:val="20"/>
                <w:color w:val="auto"/>
              </w:rPr>
            </w:pPr>
            <w:r>
              <w:rPr>
                <w:rFonts w:ascii="Arial" w:cs="Arial" w:eastAsia="Arial" w:hAnsi="Arial"/>
                <w:sz w:val="18"/>
                <w:szCs w:val="18"/>
                <w:color w:val="auto"/>
              </w:rPr>
              <w:t>Residual interest securities</w:t>
            </w:r>
            <w:r>
              <w:rPr>
                <w:rFonts w:ascii="Arial" w:cs="Arial" w:eastAsia="Arial" w:hAnsi="Arial"/>
                <w:sz w:val="23"/>
                <w:szCs w:val="23"/>
                <w:color w:val="auto"/>
                <w:vertAlign w:val="superscript"/>
              </w:rPr>
              <w:t>(E)</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34,506</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153,313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163,489</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34" w:right="339" w:bottom="1440" w:gutter="0" w:footer="0" w:header="0"/>
        </w:sectPr>
      </w:pPr>
    </w:p>
    <w:bookmarkStart w:id="276" w:name="page277"/>
    <w:bookmarkEnd w:id="276"/>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1" w:lineRule="exact"/>
        <w:rPr>
          <w:sz w:val="20"/>
          <w:szCs w:val="20"/>
          <w:color w:val="auto"/>
        </w:rPr>
      </w:pPr>
    </w:p>
    <w:p>
      <w:pPr>
        <w:ind w:left="340" w:right="20" w:hanging="332"/>
        <w:spacing w:after="0" w:line="255" w:lineRule="auto"/>
        <w:tabs>
          <w:tab w:leader="none" w:pos="3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total outstanding face amount represents the aggregate face amount of the debt securities outstanding at each period end, excluding residual interest securities and interest-only securities.</w:t>
      </w:r>
    </w:p>
    <w:p>
      <w:pPr>
        <w:ind w:left="340" w:right="20" w:hanging="332"/>
        <w:spacing w:after="0" w:line="255" w:lineRule="auto"/>
        <w:tabs>
          <w:tab w:leader="none" w:pos="3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Company elected the fair value option for marketable securities; therefore, carrying value represents fair value. See Note 11 for additional information regarding the valuation of the Company’s marketable securities.</w:t>
      </w:r>
    </w:p>
    <w:p>
      <w:pPr>
        <w:ind w:left="320" w:hanging="312"/>
        <w:spacing w:after="0"/>
        <w:tabs>
          <w:tab w:leader="none" w:pos="3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Represents debt securities rated A- or above by DBRS Morningstar or comparable rating by other rating agencies.</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Represents debt securities rated below A- by DBRS Morningstar or comparable rating by other rating agencies.</w:t>
      </w:r>
    </w:p>
    <w:p>
      <w:pPr>
        <w:spacing w:after="0" w:line="14" w:lineRule="exact"/>
        <w:rPr>
          <w:rFonts w:ascii="Arial" w:cs="Arial" w:eastAsia="Arial" w:hAnsi="Arial"/>
          <w:sz w:val="16"/>
          <w:szCs w:val="16"/>
          <w:color w:val="auto"/>
        </w:rPr>
      </w:pPr>
    </w:p>
    <w:p>
      <w:pPr>
        <w:jc w:val="both"/>
        <w:ind w:left="340" w:hanging="332"/>
        <w:spacing w:after="0" w:line="260" w:lineRule="auto"/>
        <w:tabs>
          <w:tab w:leader="none" w:pos="3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Represents residual interests and non-rated securities in securitizations that are not considered debt securities, including 17 and 15 non-rated securities with aggregate outstanding face amounts of $15.6 million and $15.1 million at March 31, 2025 and December 31, 2024, respectively, and 10 and 8 interest-only securities based upon aggregate outstanding principal amounts of $10.9 million and $9.1 million at March 31, 2025 and December 31, 2024, respectively.</w:t>
      </w:r>
    </w:p>
    <w:p>
      <w:pPr>
        <w:spacing w:after="0" w:line="65"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Digital Assets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significant digital assets held by third-party custodians on behalf of the Company’s customers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31, 2025 and 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tcPr>
          <w:p>
            <w:pPr>
              <w:jc w:val="right"/>
              <w:ind w:right="995"/>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7"/>
                <w:szCs w:val="17"/>
                <w:color w:val="auto"/>
              </w:rPr>
            </w:pPr>
          </w:p>
        </w:tc>
        <w:tc>
          <w:tcPr>
            <w:tcW w:w="3200" w:type="dxa"/>
            <w:vAlign w:val="bottom"/>
            <w:tcBorders>
              <w:bottom w:val="single" w:sz="8" w:color="auto"/>
            </w:tcBorders>
            <w:gridSpan w:val="4"/>
          </w:tcPr>
          <w:p>
            <w:pPr>
              <w:jc w:val="right"/>
              <w:ind w:right="875"/>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4760" w:type="dxa"/>
            <w:vAlign w:val="bottom"/>
          </w:tcPr>
          <w:p>
            <w:pPr>
              <w:spacing w:after="0"/>
              <w:rPr>
                <w:sz w:val="17"/>
                <w:szCs w:val="17"/>
                <w:color w:val="auto"/>
              </w:rPr>
            </w:pPr>
          </w:p>
        </w:tc>
        <w:tc>
          <w:tcPr>
            <w:tcW w:w="1020" w:type="dxa"/>
            <w:vAlign w:val="bottom"/>
          </w:tcPr>
          <w:p>
            <w:pPr>
              <w:ind w:left="580"/>
              <w:spacing w:after="0"/>
              <w:rPr>
                <w:sz w:val="20"/>
                <w:szCs w:val="20"/>
                <w:color w:val="auto"/>
              </w:rPr>
            </w:pPr>
            <w:r>
              <w:rPr>
                <w:rFonts w:ascii="Arial" w:cs="Arial" w:eastAsia="Arial" w:hAnsi="Arial"/>
                <w:sz w:val="14"/>
                <w:szCs w:val="14"/>
                <w:b w:val="1"/>
                <w:bCs w:val="1"/>
                <w:color w:val="auto"/>
              </w:rPr>
              <w:t>Units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9"/>
                <w:szCs w:val="9"/>
                <w:b w:val="1"/>
                <w:bCs w:val="1"/>
                <w:color w:val="auto"/>
              </w:rPr>
              <w:t>(A)</w:t>
            </w:r>
          </w:p>
        </w:tc>
        <w:tc>
          <w:tcPr>
            <w:tcW w:w="1640" w:type="dxa"/>
            <w:vAlign w:val="bottom"/>
            <w:gridSpan w:val="2"/>
          </w:tcPr>
          <w:p>
            <w:pPr>
              <w:ind w:left="600"/>
              <w:spacing w:after="0"/>
              <w:rPr>
                <w:sz w:val="20"/>
                <w:szCs w:val="20"/>
                <w:color w:val="auto"/>
              </w:rPr>
            </w:pPr>
            <w:r>
              <w:rPr>
                <w:rFonts w:ascii="Arial" w:cs="Arial" w:eastAsia="Arial" w:hAnsi="Arial"/>
                <w:sz w:val="14"/>
                <w:szCs w:val="14"/>
                <w:b w:val="1"/>
                <w:bCs w:val="1"/>
                <w:color w:val="auto"/>
              </w:rPr>
              <w:t>Units</w:t>
            </w:r>
          </w:p>
        </w:tc>
        <w:tc>
          <w:tcPr>
            <w:tcW w:w="240" w:type="dxa"/>
            <w:vAlign w:val="bottom"/>
          </w:tcPr>
          <w:p>
            <w:pPr>
              <w:spacing w:after="0"/>
              <w:rPr>
                <w:sz w:val="17"/>
                <w:szCs w:val="17"/>
                <w:color w:val="auto"/>
              </w:rPr>
            </w:pPr>
          </w:p>
        </w:tc>
        <w:tc>
          <w:tcPr>
            <w:tcW w:w="1320" w:type="dxa"/>
            <w:vAlign w:val="bottom"/>
          </w:tcPr>
          <w:p>
            <w:pPr>
              <w:jc w:val="right"/>
              <w:ind w:right="295"/>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9"/>
                <w:szCs w:val="9"/>
                <w:b w:val="1"/>
                <w:bCs w:val="1"/>
                <w:color w:val="auto"/>
              </w:rPr>
              <w:t>(A)</w:t>
            </w:r>
          </w:p>
        </w:tc>
      </w:tr>
      <w:tr>
        <w:trPr>
          <w:trHeight w:val="211"/>
        </w:trPr>
        <w:tc>
          <w:tcPr>
            <w:tcW w:w="4760" w:type="dxa"/>
            <w:vAlign w:val="bottom"/>
            <w:tcBorders>
              <w:top w:val="single" w:sz="8" w:color="CCEEFF"/>
            </w:tcBorders>
            <w:shd w:val="clear" w:color="auto" w:fill="CCEEFF"/>
          </w:tcPr>
          <w:p>
            <w:pPr>
              <w:ind w:left="20"/>
              <w:spacing w:after="0" w:line="211" w:lineRule="exact"/>
              <w:rPr>
                <w:sz w:val="20"/>
                <w:szCs w:val="20"/>
                <w:color w:val="auto"/>
              </w:rPr>
            </w:pPr>
            <w:r>
              <w:rPr>
                <w:rFonts w:ascii="Arial" w:cs="Arial" w:eastAsia="Arial" w:hAnsi="Arial"/>
                <w:sz w:val="18"/>
                <w:szCs w:val="18"/>
                <w:b w:val="1"/>
                <w:bCs w:val="1"/>
                <w:color w:val="auto"/>
              </w:rPr>
              <w:t>Digital Assets Held as Collateral</w:t>
            </w:r>
            <w:r>
              <w:rPr>
                <w:rFonts w:ascii="Arial" w:cs="Arial" w:eastAsia="Arial" w:hAnsi="Arial"/>
                <w:sz w:val="23"/>
                <w:szCs w:val="23"/>
                <w:b w:val="1"/>
                <w:bCs w:val="1"/>
                <w:color w:val="auto"/>
                <w:vertAlign w:val="superscript"/>
              </w:rPr>
              <w:t>(C)</w:t>
            </w:r>
          </w:p>
        </w:tc>
        <w:tc>
          <w:tcPr>
            <w:tcW w:w="10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Bitcoin (BTC)</w:t>
            </w:r>
          </w:p>
        </w:tc>
        <w:tc>
          <w:tcPr>
            <w:tcW w:w="52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54,760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49,593</w:t>
            </w: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Ethereum (ETH)</w:t>
            </w:r>
          </w:p>
        </w:tc>
        <w:tc>
          <w:tcPr>
            <w:tcW w:w="10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14,846</w:t>
            </w:r>
          </w:p>
        </w:tc>
      </w:tr>
      <w:tr>
        <w:trPr>
          <w:trHeight w:val="223"/>
        </w:trPr>
        <w:tc>
          <w:tcPr>
            <w:tcW w:w="5780" w:type="dxa"/>
            <w:vAlign w:val="bottom"/>
            <w:gridSpan w:val="2"/>
          </w:tcPr>
          <w:p>
            <w:pPr>
              <w:ind w:left="240"/>
              <w:spacing w:after="0" w:line="223" w:lineRule="exact"/>
              <w:rPr>
                <w:sz w:val="20"/>
                <w:szCs w:val="20"/>
                <w:color w:val="auto"/>
              </w:rPr>
            </w:pPr>
            <w:r>
              <w:rPr>
                <w:rFonts w:ascii="Arial" w:cs="Arial" w:eastAsia="Arial" w:hAnsi="Arial"/>
                <w:sz w:val="18"/>
                <w:szCs w:val="18"/>
                <w:color w:val="auto"/>
              </w:rPr>
              <w:t>Total digital assets held as collateral</w:t>
            </w:r>
            <w:r>
              <w:rPr>
                <w:rFonts w:ascii="Arial" w:cs="Arial" w:eastAsia="Arial" w:hAnsi="Arial"/>
                <w:sz w:val="23"/>
                <w:szCs w:val="23"/>
                <w:color w:val="auto"/>
                <w:vertAlign w:val="superscript"/>
              </w:rPr>
              <w:t>(B)</w:t>
            </w:r>
          </w:p>
        </w:tc>
        <w:tc>
          <w:tcPr>
            <w:tcW w:w="520" w:type="dxa"/>
            <w:vAlign w:val="bottom"/>
          </w:tcPr>
          <w:p>
            <w:pPr>
              <w:jc w:val="right"/>
              <w:spacing w:after="0"/>
              <w:rPr>
                <w:sz w:val="20"/>
                <w:szCs w:val="20"/>
                <w:color w:val="auto"/>
              </w:rPr>
            </w:pPr>
            <w:r>
              <w:rPr>
                <w:rFonts w:ascii="Arial" w:cs="Arial" w:eastAsia="Arial" w:hAnsi="Arial"/>
                <w:sz w:val="18"/>
                <w:szCs w:val="18"/>
                <w:color w:val="auto"/>
              </w:rPr>
              <w:t>3,448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59,842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4,988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64,439</w:t>
            </w:r>
          </w:p>
        </w:tc>
      </w:tr>
      <w:tr>
        <w:trPr>
          <w:trHeight w:val="20"/>
        </w:trPr>
        <w:tc>
          <w:tcPr>
            <w:tcW w:w="47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1" w:lineRule="exact"/>
        <w:rPr>
          <w:sz w:val="20"/>
          <w:szCs w:val="20"/>
          <w:color w:val="auto"/>
        </w:rPr>
      </w:pPr>
    </w:p>
    <w:p>
      <w:pPr>
        <w:ind w:left="340" w:hanging="332"/>
        <w:spacing w:after="0" w:line="255" w:lineRule="auto"/>
        <w:tabs>
          <w:tab w:leader="none" w:pos="3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Company records digital assets and corresponding liability for digital assets held as collateral at fair value, and the Company does not consider the cost basis to be meaningful. See Note 11 for additional information regarding the valuation of these assets and liabilities.</w:t>
      </w:r>
    </w:p>
    <w:p>
      <w:pPr>
        <w:jc w:val="both"/>
        <w:ind w:left="340" w:right="20" w:hanging="332"/>
        <w:spacing w:after="0" w:line="264" w:lineRule="auto"/>
        <w:tabs>
          <w:tab w:leader="none" w:pos="3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Company originates loans collateralized by digital assets and recorded a corresponding $59.9 million liability representing the fair value digital assets owed to the borrower in the event of loan repayment that is included in Other current liabilities in the Condensed Combined Consolidated Balance Sheets.</w:t>
      </w:r>
    </w:p>
    <w:p>
      <w:pPr>
        <w:spacing w:after="0" w:line="175" w:lineRule="exact"/>
        <w:rPr>
          <w:rFonts w:ascii="Arial" w:cs="Arial" w:eastAsia="Arial" w:hAnsi="Arial"/>
          <w:sz w:val="16"/>
          <w:szCs w:val="16"/>
          <w:color w:val="auto"/>
        </w:rPr>
      </w:pPr>
    </w:p>
    <w:p>
      <w:pPr>
        <w:ind w:left="320" w:hanging="312"/>
        <w:spacing w:after="0"/>
        <w:tabs>
          <w:tab w:leader="none" w:pos="3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Digital assets held for collateral are included in “Digital assets” in the Condensed Combined Consolidated Balance Sheets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significant digital assets held by the Company, and by third-party custodians on behalf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Company, at March 31, 2025 and 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8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March 31, 2025</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2024</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97"/>
        </w:trPr>
        <w:tc>
          <w:tcPr>
            <w:tcW w:w="2880" w:type="dxa"/>
            <w:vAlign w:val="bottom"/>
          </w:tcPr>
          <w:p>
            <w:pPr>
              <w:spacing w:after="0"/>
              <w:rPr>
                <w:sz w:val="17"/>
                <w:szCs w:val="17"/>
                <w:color w:val="auto"/>
              </w:rPr>
            </w:pPr>
          </w:p>
        </w:tc>
        <w:tc>
          <w:tcPr>
            <w:tcW w:w="1400" w:type="dxa"/>
            <w:vAlign w:val="bottom"/>
            <w:gridSpan w:val="2"/>
          </w:tcPr>
          <w:p>
            <w:pPr>
              <w:ind w:left="480"/>
              <w:spacing w:after="0"/>
              <w:rPr>
                <w:sz w:val="20"/>
                <w:szCs w:val="20"/>
                <w:color w:val="auto"/>
              </w:rPr>
            </w:pPr>
            <w:r>
              <w:rPr>
                <w:rFonts w:ascii="Arial" w:cs="Arial" w:eastAsia="Arial" w:hAnsi="Arial"/>
                <w:sz w:val="14"/>
                <w:szCs w:val="14"/>
                <w:b w:val="1"/>
                <w:bCs w:val="1"/>
                <w:color w:val="auto"/>
              </w:rPr>
              <w:t>Units</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Cost Basis</w:t>
            </w:r>
          </w:p>
        </w:tc>
        <w:tc>
          <w:tcPr>
            <w:tcW w:w="180" w:type="dxa"/>
            <w:vAlign w:val="bottom"/>
          </w:tcPr>
          <w:p>
            <w:pPr>
              <w:spacing w:after="0"/>
              <w:rPr>
                <w:sz w:val="17"/>
                <w:szCs w:val="17"/>
                <w:color w:val="auto"/>
              </w:rPr>
            </w:pPr>
          </w:p>
        </w:tc>
        <w:tc>
          <w:tcPr>
            <w:tcW w:w="1220" w:type="dxa"/>
            <w:vAlign w:val="bottom"/>
            <w:gridSpan w:val="2"/>
          </w:tcPr>
          <w:p>
            <w:pPr>
              <w:ind w:left="60"/>
              <w:spacing w:after="0" w:line="197" w:lineRule="exact"/>
              <w:rPr>
                <w:sz w:val="20"/>
                <w:szCs w:val="20"/>
                <w:color w:val="auto"/>
              </w:rPr>
            </w:pPr>
            <w:r>
              <w:rPr>
                <w:rFonts w:ascii="Arial" w:cs="Arial" w:eastAsia="Arial" w:hAnsi="Arial"/>
                <w:sz w:val="14"/>
                <w:szCs w:val="14"/>
                <w:b w:val="1"/>
                <w:bCs w:val="1"/>
                <w:color w:val="auto"/>
              </w:rPr>
              <w:t>Fair Value</w:t>
            </w:r>
            <w:r>
              <w:rPr>
                <w:rFonts w:ascii="Arial" w:cs="Arial" w:eastAsia="Arial" w:hAnsi="Arial"/>
                <w:sz w:val="18"/>
                <w:szCs w:val="18"/>
                <w:b w:val="1"/>
                <w:bCs w:val="1"/>
                <w:color w:val="auto"/>
                <w:vertAlign w:val="superscript"/>
              </w:rPr>
              <w:t>(A)</w:t>
            </w:r>
          </w:p>
        </w:tc>
        <w:tc>
          <w:tcPr>
            <w:tcW w:w="1400" w:type="dxa"/>
            <w:vAlign w:val="bottom"/>
            <w:gridSpan w:val="2"/>
          </w:tcPr>
          <w:p>
            <w:pPr>
              <w:ind w:left="480"/>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7"/>
                <w:szCs w:val="17"/>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 Basis</w:t>
            </w:r>
          </w:p>
        </w:tc>
        <w:tc>
          <w:tcPr>
            <w:tcW w:w="180" w:type="dxa"/>
            <w:vAlign w:val="bottom"/>
          </w:tcPr>
          <w:p>
            <w:pPr>
              <w:spacing w:after="0"/>
              <w:rPr>
                <w:sz w:val="17"/>
                <w:szCs w:val="17"/>
                <w:color w:val="auto"/>
              </w:rPr>
            </w:pPr>
          </w:p>
        </w:tc>
        <w:tc>
          <w:tcPr>
            <w:tcW w:w="1140" w:type="dxa"/>
            <w:vAlign w:val="bottom"/>
          </w:tcPr>
          <w:p>
            <w:pPr>
              <w:jc w:val="right"/>
              <w:ind w:right="173"/>
              <w:spacing w:after="0" w:line="197" w:lineRule="exact"/>
              <w:rPr>
                <w:sz w:val="20"/>
                <w:szCs w:val="20"/>
                <w:color w:val="auto"/>
              </w:rPr>
            </w:pPr>
            <w:r>
              <w:rPr>
                <w:rFonts w:ascii="Arial" w:cs="Arial" w:eastAsia="Arial" w:hAnsi="Arial"/>
                <w:sz w:val="14"/>
                <w:szCs w:val="14"/>
                <w:b w:val="1"/>
                <w:bCs w:val="1"/>
                <w:color w:val="auto"/>
              </w:rPr>
              <w:t>Fair Value</w:t>
            </w:r>
            <w:r>
              <w:rPr>
                <w:rFonts w:ascii="Arial" w:cs="Arial" w:eastAsia="Arial" w:hAnsi="Arial"/>
                <w:sz w:val="18"/>
                <w:szCs w:val="18"/>
                <w:b w:val="1"/>
                <w:bCs w:val="1"/>
                <w:color w:val="auto"/>
                <w:vertAlign w:val="superscript"/>
              </w:rPr>
              <w:t>(A)</w:t>
            </w:r>
          </w:p>
        </w:tc>
      </w:tr>
      <w:tr>
        <w:trPr>
          <w:trHeight w:val="209"/>
        </w:trPr>
        <w:tc>
          <w:tcPr>
            <w:tcW w:w="288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b w:val="1"/>
                <w:bCs w:val="1"/>
                <w:color w:val="auto"/>
              </w:rPr>
              <w:t>Digital Assets Held for Sale</w:t>
            </w:r>
            <w:r>
              <w:rPr>
                <w:rFonts w:ascii="Arial" w:cs="Arial" w:eastAsia="Arial" w:hAnsi="Arial"/>
                <w:sz w:val="23"/>
                <w:szCs w:val="23"/>
                <w:b w:val="1"/>
                <w:bCs w:val="1"/>
                <w:color w:val="auto"/>
                <w:vertAlign w:val="superscript"/>
              </w:rPr>
              <w:t>(B)</w:t>
            </w: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0"/>
        </w:trPr>
        <w:tc>
          <w:tcPr>
            <w:tcW w:w="2880" w:type="dxa"/>
            <w:vAlign w:val="bottom"/>
          </w:tcPr>
          <w:p>
            <w:pPr>
              <w:ind w:left="20"/>
              <w:spacing w:after="0" w:line="230" w:lineRule="exact"/>
              <w:rPr>
                <w:sz w:val="20"/>
                <w:szCs w:val="20"/>
                <w:color w:val="auto"/>
              </w:rPr>
            </w:pPr>
            <w:r>
              <w:rPr>
                <w:rFonts w:ascii="Arial" w:cs="Arial" w:eastAsia="Arial" w:hAnsi="Arial"/>
                <w:sz w:val="18"/>
                <w:szCs w:val="18"/>
                <w:color w:val="auto"/>
              </w:rPr>
              <w:t>Solana (SOL)</w:t>
            </w:r>
            <w:r>
              <w:rPr>
                <w:rFonts w:ascii="Arial" w:cs="Arial" w:eastAsia="Arial" w:hAnsi="Arial"/>
                <w:sz w:val="23"/>
                <w:szCs w:val="23"/>
                <w:color w:val="auto"/>
                <w:vertAlign w:val="superscript"/>
              </w:rPr>
              <w:t>(C)</w:t>
            </w:r>
          </w:p>
        </w:tc>
        <w:tc>
          <w:tcPr>
            <w:tcW w:w="1320" w:type="dxa"/>
            <w:vAlign w:val="bottom"/>
          </w:tcPr>
          <w:p>
            <w:pPr>
              <w:jc w:val="right"/>
              <w:spacing w:after="0"/>
              <w:rPr>
                <w:sz w:val="20"/>
                <w:szCs w:val="20"/>
                <w:color w:val="auto"/>
              </w:rPr>
            </w:pPr>
            <w:r>
              <w:rPr>
                <w:rFonts w:ascii="Arial" w:cs="Arial" w:eastAsia="Arial" w:hAnsi="Arial"/>
                <w:sz w:val="18"/>
                <w:szCs w:val="18"/>
                <w:color w:val="auto"/>
              </w:rPr>
              <w:t>98,105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11,109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12,288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95,139</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18,020</w:t>
            </w: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USD Coin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2,435,609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2,414,254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USDT</w:t>
            </w:r>
          </w:p>
        </w:tc>
        <w:tc>
          <w:tcPr>
            <w:tcW w:w="1320" w:type="dxa"/>
            <w:vAlign w:val="bottom"/>
          </w:tcPr>
          <w:p>
            <w:pPr>
              <w:jc w:val="right"/>
              <w:spacing w:after="0"/>
              <w:rPr>
                <w:sz w:val="20"/>
                <w:szCs w:val="20"/>
                <w:color w:val="auto"/>
              </w:rPr>
            </w:pPr>
            <w:r>
              <w:rPr>
                <w:rFonts w:ascii="Arial" w:cs="Arial" w:eastAsia="Arial" w:hAnsi="Arial"/>
                <w:sz w:val="18"/>
                <w:szCs w:val="18"/>
                <w:color w:val="auto"/>
              </w:rPr>
              <w:t>953,658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digital assets</w:t>
            </w:r>
            <w:r>
              <w:rPr>
                <w:rFonts w:ascii="Arial" w:cs="Arial" w:eastAsia="Arial" w:hAnsi="Arial"/>
                <w:sz w:val="23"/>
                <w:szCs w:val="23"/>
                <w:color w:val="auto"/>
                <w:vertAlign w:val="superscript"/>
              </w:rPr>
              <w:t>(D)(E)</w:t>
            </w:r>
          </w:p>
        </w:tc>
        <w:tc>
          <w:tcPr>
            <w:tcW w:w="14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Various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Various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r>
      <w:tr>
        <w:trPr>
          <w:trHeight w:val="223"/>
        </w:trPr>
        <w:tc>
          <w:tcPr>
            <w:tcW w:w="2880" w:type="dxa"/>
            <w:vAlign w:val="bottom"/>
          </w:tcPr>
          <w:p>
            <w:pPr>
              <w:ind w:left="220"/>
              <w:spacing w:after="0"/>
              <w:rPr>
                <w:sz w:val="20"/>
                <w:szCs w:val="20"/>
                <w:color w:val="auto"/>
              </w:rPr>
            </w:pPr>
            <w:r>
              <w:rPr>
                <w:rFonts w:ascii="Arial" w:cs="Arial" w:eastAsia="Arial" w:hAnsi="Arial"/>
                <w:sz w:val="18"/>
                <w:szCs w:val="18"/>
                <w:color w:val="auto"/>
              </w:rPr>
              <w:t>Total digital assets held for sale</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3,487,372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18,014</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2,509,393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15,217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23,127</w:t>
            </w:r>
          </w:p>
        </w:tc>
      </w:tr>
      <w:tr>
        <w:trPr>
          <w:trHeight w:val="20"/>
        </w:trPr>
        <w:tc>
          <w:tcPr>
            <w:tcW w:w="28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31" w:lineRule="exact"/>
        <w:rPr>
          <w:sz w:val="20"/>
          <w:szCs w:val="20"/>
          <w:color w:val="auto"/>
        </w:rPr>
      </w:pPr>
    </w:p>
    <w:p>
      <w:pPr>
        <w:ind w:left="340" w:hanging="332"/>
        <w:spacing w:after="0" w:line="255" w:lineRule="auto"/>
        <w:tabs>
          <w:tab w:leader="none" w:pos="3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Company records digital assets held for sale at fair value. See Note 11 for additional information regarding the valuation of these assets and liabilities.</w:t>
      </w:r>
    </w:p>
    <w:p>
      <w:pPr>
        <w:ind w:left="340" w:hanging="332"/>
        <w:spacing w:after="0" w:line="270" w:lineRule="auto"/>
        <w:tabs>
          <w:tab w:leader="none" w:pos="3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Digital assets held for sale are included in both “Digital assets” and “Digital assets, non-current” in the Condensed Combined Consolidated Balance Sheets, depending on the nature of the underlying asset and related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34" w:right="339" w:bottom="1440" w:gutter="0" w:footer="0" w:header="0"/>
        </w:sectPr>
      </w:pPr>
    </w:p>
    <w:bookmarkStart w:id="277" w:name="page278"/>
    <w:bookmarkEnd w:id="277"/>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41" w:lineRule="exact"/>
        <w:rPr>
          <w:sz w:val="20"/>
          <w:szCs w:val="20"/>
          <w:color w:val="auto"/>
        </w:rPr>
      </w:pPr>
    </w:p>
    <w:p>
      <w:pPr>
        <w:ind w:left="340" w:hanging="332"/>
        <w:spacing w:after="0" w:line="263" w:lineRule="auto"/>
        <w:tabs>
          <w:tab w:leader="none" w:pos="33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Includes 67.684 SOL that are subject to a lock-up period through January 2028 and unlocked on a monthly basis based on a contractual schedule. The locked tokens are not accessible, are staked, and earn rewards during the lock up period.</w:t>
      </w:r>
    </w:p>
    <w:p>
      <w:pPr>
        <w:ind w:left="340" w:right="20" w:hanging="332"/>
        <w:spacing w:after="0" w:line="255" w:lineRule="auto"/>
        <w:tabs>
          <w:tab w:leader="none" w:pos="33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Includes various other digital asset balances, none of which individually represented more than 5% of the carrying value of total digital assets held for sale.</w:t>
      </w:r>
    </w:p>
    <w:p>
      <w:pPr>
        <w:ind w:left="340" w:hanging="332"/>
        <w:spacing w:after="0" w:line="270" w:lineRule="auto"/>
        <w:tabs>
          <w:tab w:leader="none" w:pos="3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Includes native utility tokens used by the Company as a medium of exchange (“Hash”), maintained by an affiliated entity, which is carried at cost in the Condensed Combined Consolidated Balance Sheets. See Note 10 for additional information regarding the related party relationship.</w:t>
      </w:r>
    </w:p>
    <w:p>
      <w:pPr>
        <w:spacing w:after="0" w:line="109"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The following table summarizes activities involving the Company’s digital assets held as collateral and held for sale for the three months ended March 31, 2025 and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Held as Collateral</w:t>
            </w:r>
          </w:p>
        </w:tc>
        <w:tc>
          <w:tcPr>
            <w:tcW w:w="240" w:type="dxa"/>
            <w:vAlign w:val="bottom"/>
          </w:tcPr>
          <w:p>
            <w:pPr>
              <w:spacing w:after="0"/>
              <w:rPr>
                <w:sz w:val="17"/>
                <w:szCs w:val="17"/>
                <w:color w:val="auto"/>
              </w:rPr>
            </w:pPr>
          </w:p>
        </w:tc>
        <w:tc>
          <w:tcPr>
            <w:tcW w:w="1340" w:type="dxa"/>
            <w:vAlign w:val="bottom"/>
          </w:tcPr>
          <w:p>
            <w:pPr>
              <w:jc w:val="right"/>
              <w:ind w:right="251"/>
              <w:spacing w:after="0"/>
              <w:rPr>
                <w:sz w:val="20"/>
                <w:szCs w:val="20"/>
                <w:color w:val="auto"/>
              </w:rPr>
            </w:pPr>
            <w:r>
              <w:rPr>
                <w:rFonts w:ascii="Arial" w:cs="Arial" w:eastAsia="Arial" w:hAnsi="Arial"/>
                <w:sz w:val="14"/>
                <w:szCs w:val="14"/>
                <w:b w:val="1"/>
                <w:bCs w:val="1"/>
                <w:color w:val="auto"/>
              </w:rPr>
              <w:t>Held for Sale</w:t>
            </w:r>
          </w:p>
        </w:tc>
      </w:tr>
      <w:tr>
        <w:trPr>
          <w:trHeight w:val="224"/>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5,865</w:t>
            </w:r>
          </w:p>
        </w:tc>
      </w:tr>
      <w:tr>
        <w:trPr>
          <w:trHeight w:val="230"/>
        </w:trPr>
        <w:tc>
          <w:tcPr>
            <w:tcW w:w="7980" w:type="dxa"/>
            <w:vAlign w:val="bottom"/>
          </w:tcPr>
          <w:p>
            <w:pPr>
              <w:ind w:left="240"/>
              <w:spacing w:after="0" w:line="230" w:lineRule="exact"/>
              <w:rPr>
                <w:sz w:val="20"/>
                <w:szCs w:val="20"/>
                <w:color w:val="auto"/>
              </w:rPr>
            </w:pPr>
            <w:r>
              <w:rPr>
                <w:rFonts w:ascii="Arial" w:cs="Arial" w:eastAsia="Arial" w:hAnsi="Arial"/>
                <w:sz w:val="18"/>
                <w:szCs w:val="18"/>
                <w:color w:val="auto"/>
              </w:rPr>
              <w:t>Purchases</w:t>
            </w:r>
            <w:r>
              <w:rPr>
                <w:rFonts w:ascii="Arial" w:cs="Arial" w:eastAsia="Arial" w:hAnsi="Arial"/>
                <w:sz w:val="23"/>
                <w:szCs w:val="23"/>
                <w:color w:val="auto"/>
                <w:vertAlign w:val="superscript"/>
              </w:rPr>
              <w:t>(A)</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851</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 of digital assets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w:t>
            </w:r>
          </w:p>
        </w:tc>
      </w:tr>
      <w:tr>
        <w:trPr>
          <w:trHeight w:val="257"/>
        </w:trPr>
        <w:tc>
          <w:tcPr>
            <w:tcW w:w="79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64,439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23,127</w:t>
            </w:r>
          </w:p>
        </w:tc>
      </w:tr>
      <w:tr>
        <w:trPr>
          <w:trHeight w:val="229"/>
        </w:trPr>
        <w:tc>
          <w:tcPr>
            <w:tcW w:w="79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Purchases</w:t>
            </w:r>
            <w:r>
              <w:rPr>
                <w:rFonts w:ascii="Arial" w:cs="Arial" w:eastAsia="Arial" w:hAnsi="Arial"/>
                <w:sz w:val="23"/>
                <w:szCs w:val="23"/>
                <w:color w:val="auto"/>
                <w:vertAlign w:val="superscript"/>
              </w:rPr>
              <w:t>(A)</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r>
      <w:tr>
        <w:trPr>
          <w:trHeight w:val="230"/>
        </w:trPr>
        <w:tc>
          <w:tcPr>
            <w:tcW w:w="7980" w:type="dxa"/>
            <w:vAlign w:val="bottom"/>
          </w:tcPr>
          <w:p>
            <w:pPr>
              <w:ind w:left="240"/>
              <w:spacing w:after="0" w:line="230" w:lineRule="exact"/>
              <w:rPr>
                <w:sz w:val="20"/>
                <w:szCs w:val="20"/>
                <w:color w:val="auto"/>
              </w:rPr>
            </w:pPr>
            <w:r>
              <w:rPr>
                <w:rFonts w:ascii="Arial" w:cs="Arial" w:eastAsia="Arial" w:hAnsi="Arial"/>
                <w:sz w:val="18"/>
                <w:szCs w:val="18"/>
                <w:color w:val="auto"/>
              </w:rPr>
              <w:t>Sales</w:t>
            </w:r>
            <w:r>
              <w:rPr>
                <w:rFonts w:ascii="Arial" w:cs="Arial" w:eastAsia="Arial" w:hAnsi="Arial"/>
                <w:sz w:val="23"/>
                <w:szCs w:val="23"/>
                <w:color w:val="auto"/>
                <w:vertAlign w:val="superscript"/>
              </w:rPr>
              <w:t>(B)</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(2,899)</w:t>
            </w:r>
          </w:p>
        </w:tc>
      </w:tr>
      <w:tr>
        <w:trPr>
          <w:trHeight w:val="229"/>
        </w:trPr>
        <w:tc>
          <w:tcPr>
            <w:tcW w:w="79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Collateral received</w:t>
            </w:r>
            <w:r>
              <w:rPr>
                <w:rFonts w:ascii="Arial" w:cs="Arial" w:eastAsia="Arial" w:hAnsi="Arial"/>
                <w:sz w:val="23"/>
                <w:szCs w:val="23"/>
                <w:color w:val="auto"/>
                <w:vertAlign w:val="superscript"/>
              </w:rPr>
              <w:t>(C)</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Pr>
          <w:p>
            <w:pPr>
              <w:ind w:left="240"/>
              <w:spacing w:after="0" w:line="230" w:lineRule="exact"/>
              <w:rPr>
                <w:sz w:val="20"/>
                <w:szCs w:val="20"/>
                <w:color w:val="auto"/>
              </w:rPr>
            </w:pPr>
            <w:r>
              <w:rPr>
                <w:rFonts w:ascii="Arial" w:cs="Arial" w:eastAsia="Arial" w:hAnsi="Arial"/>
                <w:sz w:val="18"/>
                <w:szCs w:val="18"/>
                <w:color w:val="auto"/>
              </w:rPr>
              <w:t>Distributions from Fund I</w:t>
            </w:r>
            <w:r>
              <w:rPr>
                <w:rFonts w:ascii="Arial" w:cs="Arial" w:eastAsia="Arial" w:hAnsi="Arial"/>
                <w:sz w:val="23"/>
                <w:szCs w:val="23"/>
                <w:color w:val="auto"/>
                <w:vertAlign w:val="superscript"/>
              </w:rPr>
              <w:t>(E)</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1,177</w:t>
            </w:r>
          </w:p>
        </w:tc>
      </w:tr>
      <w:tr>
        <w:trPr>
          <w:trHeight w:val="230"/>
        </w:trPr>
        <w:tc>
          <w:tcPr>
            <w:tcW w:w="79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Gains</w:t>
            </w:r>
            <w:r>
              <w:rPr>
                <w:rFonts w:ascii="Arial" w:cs="Arial" w:eastAsia="Arial" w:hAnsi="Arial"/>
                <w:sz w:val="23"/>
                <w:szCs w:val="23"/>
                <w:color w:val="auto"/>
                <w:vertAlign w:val="superscript"/>
              </w:rPr>
              <w:t>(D)</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w:t>
            </w:r>
          </w:p>
        </w:tc>
      </w:tr>
      <w:tr>
        <w:trPr>
          <w:trHeight w:val="229"/>
        </w:trPr>
        <w:tc>
          <w:tcPr>
            <w:tcW w:w="7980" w:type="dxa"/>
            <w:vAlign w:val="bottom"/>
          </w:tcPr>
          <w:p>
            <w:pPr>
              <w:ind w:left="240"/>
              <w:spacing w:after="0" w:line="230" w:lineRule="exact"/>
              <w:rPr>
                <w:sz w:val="20"/>
                <w:szCs w:val="20"/>
                <w:color w:val="auto"/>
              </w:rPr>
            </w:pPr>
            <w:r>
              <w:rPr>
                <w:rFonts w:ascii="Arial" w:cs="Arial" w:eastAsia="Arial" w:hAnsi="Arial"/>
                <w:sz w:val="18"/>
                <w:szCs w:val="18"/>
                <w:color w:val="auto"/>
              </w:rPr>
              <w:t>Collateral returned</w:t>
            </w:r>
            <w:r>
              <w:rPr>
                <w:rFonts w:ascii="Arial" w:cs="Arial" w:eastAsia="Arial" w:hAnsi="Arial"/>
                <w:sz w:val="23"/>
                <w:szCs w:val="23"/>
                <w:color w:val="auto"/>
                <w:vertAlign w:val="superscript"/>
              </w:rPr>
              <w:t>(C)</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(7,782)</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59,842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18,014</w:t>
            </w:r>
          </w:p>
        </w:tc>
      </w:tr>
      <w:tr>
        <w:trPr>
          <w:trHeight w:val="21"/>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1" w:lineRule="exact"/>
        <w:rPr>
          <w:sz w:val="20"/>
          <w:szCs w:val="20"/>
          <w:color w:val="auto"/>
        </w:rPr>
      </w:pPr>
    </w:p>
    <w:p>
      <w:pPr>
        <w:ind w:left="340" w:hanging="332"/>
        <w:spacing w:after="0"/>
        <w:tabs>
          <w:tab w:leader="none" w:pos="3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Includes receipts of digital assets held for sale resulting from the disbursement of cash.</w:t>
      </w:r>
    </w:p>
    <w:p>
      <w:pPr>
        <w:spacing w:after="0" w:line="14" w:lineRule="exact"/>
        <w:rPr>
          <w:rFonts w:ascii="Arial" w:cs="Arial" w:eastAsia="Arial" w:hAnsi="Arial"/>
          <w:sz w:val="16"/>
          <w:szCs w:val="16"/>
          <w:color w:val="auto"/>
        </w:rPr>
      </w:pPr>
    </w:p>
    <w:p>
      <w:pPr>
        <w:ind w:left="340" w:hanging="332"/>
        <w:spacing w:after="0"/>
        <w:tabs>
          <w:tab w:leader="none" w:pos="3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Includes transactions related to the settlement and transfer of digital assets held for sale in exchange for the receipt of cash.</w:t>
      </w:r>
    </w:p>
    <w:p>
      <w:pPr>
        <w:spacing w:after="0" w:line="8" w:lineRule="exact"/>
        <w:rPr>
          <w:rFonts w:ascii="Arial" w:cs="Arial" w:eastAsia="Arial" w:hAnsi="Arial"/>
          <w:sz w:val="16"/>
          <w:szCs w:val="16"/>
          <w:color w:val="auto"/>
        </w:rPr>
      </w:pPr>
    </w:p>
    <w:p>
      <w:pPr>
        <w:jc w:val="both"/>
        <w:ind w:left="340" w:hanging="332"/>
        <w:spacing w:after="0" w:line="252" w:lineRule="auto"/>
        <w:tabs>
          <w:tab w:leader="none" w:pos="33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Collateral received and returned includes movements impacting digital assets held as collateral associated with borrower personal loan activities which can include receipt of digital assets held as collateral related to loan originations, combined loan to value maintenance, and returns of collateral owed to the borrower once a loan has been repaid.</w:t>
      </w:r>
    </w:p>
    <w:p>
      <w:pPr>
        <w:jc w:val="both"/>
        <w:ind w:left="340" w:hanging="332"/>
        <w:spacing w:after="0" w:line="255" w:lineRule="auto"/>
        <w:tabs>
          <w:tab w:leader="none" w:pos="33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Includes realized gains incurred on the sale of digital assets held for sale, and the recognition of income associated to blockchain staking rewards which are reflected in “Other expense, net” in the Condensed Combined Consolidated Statements of Operations. No realized gains were recorded for digital assets held as collateral, as the liquidation of collateral reduces the corresponding liability and cash proceeds are applied to the borrower’s personal loan balance.</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Represents distributions of digital assets received from SOL Opportunity Fund L.P., a domestic fund that invests primarily in SOL.</w:t>
      </w:r>
    </w:p>
    <w:p>
      <w:pPr>
        <w:spacing w:after="0" w:line="1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u w:val="single" w:color="auto"/>
          <w:color w:val="auto"/>
        </w:rPr>
        <w:t>Safeguarding of Digital Assets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engages a third party to provide custodial services for digital assets, which includes holding the cryptographic key information and working to protect the digital assets from loss or theft. The third-party custodian holds digital assets as custodial assets in an account in the Company’s name for the benefit of borrowers that collateralize their loans using digital assets. The Company maintains internal recordkeeping of the collateral in the form of digital assets, including the amount and type of digital assets owned by each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34" w:right="339" w:bottom="1440" w:gutter="0" w:footer="0" w:header="0"/>
        </w:sectPr>
      </w:pPr>
    </w:p>
    <w:bookmarkStart w:id="278" w:name="page279"/>
    <w:bookmarkEnd w:id="278"/>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holds the following minority investments in certain entities not considered significant to the Company and recorded within “Other non-current assets” in the Condensed Combined Consolidated Balance Sheets, with the Company’s share of net income of equity-method investees recorded as “Other revenue” in the Condensed Combined Consolidated Statements of Operations. The following table presents the carrying value of these investments at March 31, 2025 and December 31,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2025</w:t>
            </w:r>
          </w:p>
        </w:tc>
        <w:tc>
          <w:tcPr>
            <w:tcW w:w="140" w:type="dxa"/>
            <w:vAlign w:val="bottom"/>
          </w:tcPr>
          <w:p>
            <w:pPr>
              <w:spacing w:after="0"/>
              <w:rPr>
                <w:sz w:val="17"/>
                <w:szCs w:val="17"/>
                <w:color w:val="auto"/>
              </w:rPr>
            </w:pPr>
          </w:p>
        </w:tc>
        <w:tc>
          <w:tcPr>
            <w:tcW w:w="1440" w:type="dxa"/>
            <w:vAlign w:val="bottom"/>
          </w:tcPr>
          <w:p>
            <w:pPr>
              <w:jc w:val="right"/>
              <w:ind w:right="53"/>
              <w:spacing w:after="0"/>
              <w:rPr>
                <w:sz w:val="20"/>
                <w:szCs w:val="20"/>
                <w:color w:val="auto"/>
              </w:rPr>
            </w:pPr>
            <w:r>
              <w:rPr>
                <w:rFonts w:ascii="Arial" w:cs="Arial" w:eastAsia="Arial" w:hAnsi="Arial"/>
                <w:sz w:val="14"/>
                <w:szCs w:val="14"/>
                <w:b w:val="1"/>
                <w:bCs w:val="1"/>
                <w:color w:val="auto"/>
              </w:rPr>
              <w:t>December 31, 2024</w:t>
            </w:r>
          </w:p>
        </w:tc>
      </w:tr>
      <w:tr>
        <w:trPr>
          <w:trHeight w:val="211"/>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Equity Method Investees</w:t>
            </w: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7980" w:type="dxa"/>
            <w:vAlign w:val="bottom"/>
          </w:tcPr>
          <w:p>
            <w:pPr>
              <w:ind w:left="240"/>
              <w:spacing w:after="0" w:line="230" w:lineRule="exact"/>
              <w:rPr>
                <w:sz w:val="20"/>
                <w:szCs w:val="20"/>
                <w:color w:val="auto"/>
              </w:rPr>
            </w:pPr>
            <w:r>
              <w:rPr>
                <w:rFonts w:ascii="Arial" w:cs="Arial" w:eastAsia="Arial" w:hAnsi="Arial"/>
                <w:sz w:val="18"/>
                <w:szCs w:val="18"/>
                <w:color w:val="auto"/>
              </w:rPr>
              <w:t>Domestic Solana Fund</w:t>
            </w:r>
            <w:r>
              <w:rPr>
                <w:rFonts w:ascii="Arial" w:cs="Arial" w:eastAsia="Arial" w:hAnsi="Arial"/>
                <w:sz w:val="23"/>
                <w:szCs w:val="23"/>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5,748</w:t>
            </w:r>
          </w:p>
        </w:tc>
      </w:tr>
      <w:tr>
        <w:trPr>
          <w:trHeight w:val="229"/>
        </w:trPr>
        <w:tc>
          <w:tcPr>
            <w:tcW w:w="79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Reflow</w:t>
            </w:r>
            <w:r>
              <w:rPr>
                <w:rFonts w:ascii="Arial" w:cs="Arial" w:eastAsia="Arial" w:hAnsi="Arial"/>
                <w:sz w:val="23"/>
                <w:szCs w:val="23"/>
                <w:color w:val="auto"/>
                <w:vertAlign w:val="superscript"/>
              </w:rPr>
              <w:t>(B)</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r>
      <w:tr>
        <w:trPr>
          <w:trHeight w:val="223"/>
        </w:trPr>
        <w:tc>
          <w:tcPr>
            <w:tcW w:w="79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6,668</w:t>
            </w: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Measurement Alternative Investments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798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JAM FINTOP</w:t>
            </w:r>
            <w:r>
              <w:rPr>
                <w:rFonts w:ascii="Arial" w:cs="Arial" w:eastAsia="Arial" w:hAnsi="Arial"/>
                <w:sz w:val="23"/>
                <w:szCs w:val="23"/>
                <w:color w:val="auto"/>
                <w:vertAlign w:val="superscript"/>
              </w:rPr>
              <w:t>(C)</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w:t>
            </w:r>
          </w:p>
        </w:tc>
      </w:tr>
      <w:tr>
        <w:trPr>
          <w:trHeight w:val="248"/>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Equity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1" w:lineRule="exact"/>
        <w:rPr>
          <w:sz w:val="20"/>
          <w:szCs w:val="20"/>
          <w:color w:val="auto"/>
        </w:rPr>
      </w:pPr>
    </w:p>
    <w:p>
      <w:pPr>
        <w:ind w:left="340" w:hanging="332"/>
        <w:spacing w:after="0" w:line="252" w:lineRule="auto"/>
        <w:tabs>
          <w:tab w:leader="none" w:pos="3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Represents a 4.8% equity interest in SOL Opportunity Fund L.P. (“Domestic Solana Fund”), a domestic fund that invests primarily in SOL, at March 31, 2025 and December 31, 2024.</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Represents a 17.3% interest in Reflow Services LLC (“Reflow”), an SEC-registered investment adviser, at March 31, 2025 and December 31, 2024.</w:t>
      </w:r>
    </w:p>
    <w:p>
      <w:pPr>
        <w:spacing w:after="0" w:line="8" w:lineRule="exact"/>
        <w:rPr>
          <w:rFonts w:ascii="Arial" w:cs="Arial" w:eastAsia="Arial" w:hAnsi="Arial"/>
          <w:sz w:val="16"/>
          <w:szCs w:val="16"/>
          <w:color w:val="auto"/>
        </w:rPr>
      </w:pPr>
    </w:p>
    <w:p>
      <w:pPr>
        <w:ind w:left="340" w:right="20" w:hanging="332"/>
        <w:spacing w:after="0" w:line="283" w:lineRule="auto"/>
        <w:tabs>
          <w:tab w:leader="none" w:pos="33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Represents a 1.0% equity interest in JAM FINTOP Blockchain LP (“JAM FINTOP”), an investment company domiciled in the United States of America, at March 31, 2025 and December 31, 2024.</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SERVICING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servicing assets at March 31,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March 31, 2025</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UPB of Underlying</w:t>
            </w: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Loan Count</w:t>
            </w:r>
          </w:p>
        </w:tc>
        <w:tc>
          <w:tcPr>
            <w:tcW w:w="180" w:type="dxa"/>
            <w:vAlign w:val="bottom"/>
          </w:tcPr>
          <w:p>
            <w:pPr>
              <w:spacing w:after="0"/>
              <w:rPr>
                <w:sz w:val="12"/>
                <w:szCs w:val="12"/>
                <w:color w:val="auto"/>
              </w:rPr>
            </w:pPr>
          </w:p>
        </w:tc>
        <w:tc>
          <w:tcPr>
            <w:tcW w:w="14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Carrying Value</w:t>
            </w:r>
            <w:r>
              <w:rPr>
                <w:rFonts w:ascii="Arial" w:cs="Arial" w:eastAsia="Arial" w:hAnsi="Arial"/>
                <w:sz w:val="18"/>
                <w:szCs w:val="18"/>
                <w:b w:val="1"/>
                <w:bCs w:val="1"/>
                <w:color w:val="auto"/>
                <w:vertAlign w:val="superscript"/>
              </w:rPr>
              <w:t>(A)</w:t>
            </w:r>
          </w:p>
        </w:tc>
        <w:tc>
          <w:tcPr>
            <w:tcW w:w="0" w:type="dxa"/>
            <w:vAlign w:val="bottom"/>
          </w:tcPr>
          <w:p>
            <w:pPr>
              <w:spacing w:after="0"/>
              <w:rPr>
                <w:sz w:val="1"/>
                <w:szCs w:val="1"/>
                <w:color w:val="auto"/>
              </w:rPr>
            </w:pPr>
          </w:p>
        </w:tc>
      </w:tr>
      <w:tr>
        <w:trPr>
          <w:trHeight w:val="185"/>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Loans</w:t>
            </w:r>
          </w:p>
        </w:tc>
        <w:tc>
          <w:tcPr>
            <w:tcW w:w="16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HELOC loans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8,407,610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86,838</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Mortgage loans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160,539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8,568,149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88,823</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6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December 31, 2024</w:t>
            </w: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6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UPB of Underlying</w:t>
            </w: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Loan Count</w:t>
            </w:r>
          </w:p>
        </w:tc>
        <w:tc>
          <w:tcPr>
            <w:tcW w:w="180" w:type="dxa"/>
            <w:vAlign w:val="bottom"/>
          </w:tcPr>
          <w:p>
            <w:pPr>
              <w:spacing w:after="0"/>
              <w:rPr>
                <w:sz w:val="12"/>
                <w:szCs w:val="12"/>
                <w:color w:val="auto"/>
              </w:rPr>
            </w:pPr>
          </w:p>
        </w:tc>
        <w:tc>
          <w:tcPr>
            <w:tcW w:w="14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Carrying Value</w:t>
            </w:r>
            <w:r>
              <w:rPr>
                <w:rFonts w:ascii="Arial" w:cs="Arial" w:eastAsia="Arial" w:hAnsi="Arial"/>
                <w:sz w:val="18"/>
                <w:szCs w:val="18"/>
                <w:b w:val="1"/>
                <w:bCs w:val="1"/>
                <w:color w:val="auto"/>
                <w:vertAlign w:val="superscript"/>
              </w:rPr>
              <w:t>(A)</w:t>
            </w:r>
          </w:p>
        </w:tc>
        <w:tc>
          <w:tcPr>
            <w:tcW w:w="0" w:type="dxa"/>
            <w:vAlign w:val="bottom"/>
          </w:tcPr>
          <w:p>
            <w:pPr>
              <w:spacing w:after="0"/>
              <w:rPr>
                <w:sz w:val="1"/>
                <w:szCs w:val="1"/>
                <w:color w:val="auto"/>
              </w:rPr>
            </w:pPr>
          </w:p>
        </w:tc>
      </w:tr>
      <w:tr>
        <w:trPr>
          <w:trHeight w:val="185"/>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Loans</w:t>
            </w:r>
          </w:p>
        </w:tc>
        <w:tc>
          <w:tcPr>
            <w:tcW w:w="16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HELOC loans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7,933,975</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113,413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86,465</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Mortgage loans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162,908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8,096,883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88,497</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1" w:lineRule="exact"/>
        <w:rPr>
          <w:sz w:val="20"/>
          <w:szCs w:val="20"/>
          <w:color w:val="auto"/>
        </w:rPr>
      </w:pPr>
    </w:p>
    <w:p>
      <w:pPr>
        <w:ind w:left="340" w:hanging="332"/>
        <w:spacing w:after="0"/>
        <w:tabs>
          <w:tab w:leader="none" w:pos="3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Company records loan servicing assets at fair value. See Note 11 for additional information regarding the valuation of these assets.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5440"/>
        <w:spacing w:after="0"/>
        <w:rPr>
          <w:rFonts w:ascii="Arial" w:cs="Arial" w:eastAsia="Arial" w:hAnsi="Arial"/>
          <w:sz w:val="16"/>
          <w:szCs w:val="16"/>
          <w:color w:val="auto"/>
        </w:rPr>
      </w:pPr>
      <w:r>
        <w:rPr>
          <w:rFonts w:ascii="Arial" w:cs="Arial" w:eastAsia="Arial" w:hAnsi="Arial"/>
          <w:sz w:val="18"/>
          <w:szCs w:val="18"/>
          <w:color w:val="auto"/>
        </w:rPr>
        <w:t>F-26</w:t>
      </w:r>
    </w:p>
    <w:p>
      <w:pPr>
        <w:sectPr>
          <w:pgSz w:w="11900" w:h="16838" w:orient="portrait"/>
          <w:cols w:equalWidth="0" w:num="1">
            <w:col w:w="11240"/>
          </w:cols>
          <w:pgMar w:left="320" w:top="134" w:right="339" w:bottom="1440" w:gutter="0" w:footer="0" w:header="0"/>
        </w:sectPr>
      </w:pPr>
    </w:p>
    <w:bookmarkStart w:id="279" w:name="page280"/>
    <w:bookmarkEnd w:id="279"/>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includes a rollforward of the Company’s servicing assets for the three months ended March 31, 2025 and 2024:</w:t>
      </w:r>
    </w:p>
    <w:p>
      <w:pPr>
        <w:sectPr>
          <w:pgSz w:w="11900" w:h="16838" w:orient="portrait"/>
          <w:cols w:equalWidth="0" w:num="1">
            <w:col w:w="11240"/>
          </w:cols>
          <w:pgMar w:left="320" w:top="134" w:right="339" w:bottom="1440" w:gutter="0" w:footer="0" w:header="0"/>
        </w:sect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 in fair value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680"/>
        <w:spacing w:after="0" w:line="219" w:lineRule="auto"/>
        <w:rPr>
          <w:sz w:val="20"/>
          <w:szCs w:val="20"/>
          <w:color w:val="auto"/>
        </w:rPr>
      </w:pPr>
      <w:r>
        <w:rPr>
          <w:rFonts w:ascii="Arial" w:cs="Arial" w:eastAsia="Arial" w:hAnsi="Arial"/>
          <w:sz w:val="18"/>
          <w:szCs w:val="18"/>
          <w:color w:val="auto"/>
        </w:rPr>
        <w:t>Additions</w:t>
      </w:r>
      <w:r>
        <w:rPr>
          <w:rFonts w:ascii="Arial" w:cs="Arial" w:eastAsia="Arial" w:hAnsi="Arial"/>
          <w:sz w:val="23"/>
          <w:szCs w:val="23"/>
          <w:color w:val="auto"/>
          <w:vertAlign w:val="superscript"/>
        </w:rPr>
        <w:t>(A)</w:t>
      </w:r>
    </w:p>
    <w:p>
      <w:pPr>
        <w:ind w:left="680"/>
        <w:spacing w:after="0" w:line="218" w:lineRule="auto"/>
        <w:rPr>
          <w:sz w:val="20"/>
          <w:szCs w:val="20"/>
          <w:color w:val="auto"/>
        </w:rPr>
      </w:pPr>
      <w:r>
        <w:rPr>
          <w:rFonts w:ascii="Arial" w:cs="Arial" w:eastAsia="Arial" w:hAnsi="Arial"/>
          <w:sz w:val="18"/>
          <w:szCs w:val="18"/>
          <w:color w:val="auto"/>
        </w:rPr>
        <w:t>Realization of cash flows</w:t>
      </w:r>
      <w:r>
        <w:rPr>
          <w:rFonts w:ascii="Arial" w:cs="Arial" w:eastAsia="Arial" w:hAnsi="Arial"/>
          <w:sz w:val="23"/>
          <w:szCs w:val="23"/>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color w:val="auto"/>
        </w:rPr>
        <w:t>Change in valuation inputs and assumptions</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impact of change to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March 31, 2024</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 in fair value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680"/>
        <w:spacing w:after="0" w:line="219" w:lineRule="auto"/>
        <w:rPr>
          <w:sz w:val="20"/>
          <w:szCs w:val="20"/>
          <w:color w:val="auto"/>
        </w:rPr>
      </w:pPr>
      <w:r>
        <w:rPr>
          <w:rFonts w:ascii="Arial" w:cs="Arial" w:eastAsia="Arial" w:hAnsi="Arial"/>
          <w:sz w:val="18"/>
          <w:szCs w:val="18"/>
          <w:color w:val="auto"/>
        </w:rPr>
        <w:t>Additions</w:t>
      </w:r>
      <w:r>
        <w:rPr>
          <w:rFonts w:ascii="Arial" w:cs="Arial" w:eastAsia="Arial" w:hAnsi="Arial"/>
          <w:sz w:val="23"/>
          <w:szCs w:val="23"/>
          <w:color w:val="auto"/>
          <w:vertAlign w:val="superscript"/>
        </w:rPr>
        <w:t>(A)</w:t>
      </w:r>
    </w:p>
    <w:p>
      <w:pPr>
        <w:ind w:left="680"/>
        <w:spacing w:after="0" w:line="218" w:lineRule="auto"/>
        <w:rPr>
          <w:sz w:val="20"/>
          <w:szCs w:val="20"/>
          <w:color w:val="auto"/>
        </w:rPr>
      </w:pPr>
      <w:r>
        <w:rPr>
          <w:rFonts w:ascii="Arial" w:cs="Arial" w:eastAsia="Arial" w:hAnsi="Arial"/>
          <w:sz w:val="18"/>
          <w:szCs w:val="18"/>
          <w:color w:val="auto"/>
        </w:rPr>
        <w:t>Realization of cash flows</w:t>
      </w:r>
      <w:r>
        <w:rPr>
          <w:rFonts w:ascii="Arial" w:cs="Arial" w:eastAsia="Arial" w:hAnsi="Arial"/>
          <w:sz w:val="23"/>
          <w:szCs w:val="23"/>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color w:val="auto"/>
        </w:rPr>
        <w:t>Change in valuation inputs and assumptions</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impact of change to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March 31, 2025</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1" w:lineRule="exact"/>
        <w:rPr>
          <w:sz w:val="20"/>
          <w:szCs w:val="20"/>
          <w:color w:val="auto"/>
        </w:rPr>
      </w:pPr>
    </w:p>
    <w:p>
      <w:pPr>
        <w:ind w:left="340" w:hanging="332"/>
        <w:spacing w:after="0"/>
        <w:tabs>
          <w:tab w:leader="none" w:pos="3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Represents the fair value of servicing rights retained upon sale of originated loans.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Based on the paydown of the underlying loans.</w:t>
      </w:r>
    </w:p>
    <w:p>
      <w:pPr>
        <w:spacing w:after="0" w:line="107"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Geographic Concentration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942" w:hanging="942"/>
        <w:spacing w:after="0"/>
        <w:tabs>
          <w:tab w:leader="none" w:pos="94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55,860</w:t>
      </w:r>
    </w:p>
    <w:p>
      <w:pPr>
        <w:spacing w:after="0" w:line="252" w:lineRule="exact"/>
        <w:rPr>
          <w:rFonts w:ascii="Arial" w:cs="Arial" w:eastAsia="Arial" w:hAnsi="Arial"/>
          <w:sz w:val="18"/>
          <w:szCs w:val="18"/>
          <w:color w:val="auto"/>
        </w:rPr>
      </w:pPr>
    </w:p>
    <w:p>
      <w:pPr>
        <w:ind w:left="942"/>
        <w:spacing w:after="0"/>
        <w:rPr>
          <w:rFonts w:ascii="Arial" w:cs="Arial" w:eastAsia="Arial" w:hAnsi="Arial"/>
          <w:sz w:val="18"/>
          <w:szCs w:val="18"/>
          <w:color w:val="auto"/>
        </w:rPr>
      </w:pPr>
      <w:r>
        <w:rPr>
          <w:rFonts w:ascii="Arial" w:cs="Arial" w:eastAsia="Arial" w:hAnsi="Arial"/>
          <w:sz w:val="18"/>
          <w:szCs w:val="18"/>
          <w:color w:val="auto"/>
        </w:rPr>
        <w:t>12,242</w:t>
      </w:r>
    </w:p>
    <w:p>
      <w:pPr>
        <w:spacing w:after="0" w:line="31" w:lineRule="exact"/>
        <w:rPr>
          <w:rFonts w:ascii="Arial" w:cs="Arial" w:eastAsia="Arial" w:hAnsi="Arial"/>
          <w:sz w:val="18"/>
          <w:szCs w:val="18"/>
          <w:color w:val="auto"/>
        </w:rPr>
      </w:pPr>
    </w:p>
    <w:p>
      <w:pPr>
        <w:ind w:left="962"/>
        <w:spacing w:after="0"/>
        <w:rPr>
          <w:rFonts w:ascii="Arial" w:cs="Arial" w:eastAsia="Arial" w:hAnsi="Arial"/>
          <w:sz w:val="18"/>
          <w:szCs w:val="18"/>
          <w:color w:val="auto"/>
        </w:rPr>
      </w:pPr>
      <w:r>
        <w:rPr>
          <w:rFonts w:ascii="Arial" w:cs="Arial" w:eastAsia="Arial" w:hAnsi="Arial"/>
          <w:sz w:val="18"/>
          <w:szCs w:val="18"/>
          <w:color w:val="auto"/>
        </w:rPr>
        <w:t>(3,995)</w:t>
      </w:r>
    </w:p>
    <w:p>
      <w:pPr>
        <w:spacing w:after="0" w:line="22" w:lineRule="exact"/>
        <w:rPr>
          <w:rFonts w:ascii="Arial" w:cs="Arial" w:eastAsia="Arial" w:hAnsi="Arial"/>
          <w:sz w:val="18"/>
          <w:szCs w:val="18"/>
          <w:color w:val="auto"/>
        </w:rPr>
      </w:pPr>
    </w:p>
    <w:p>
      <w:pPr>
        <w:ind w:left="1042"/>
        <w:spacing w:after="0"/>
        <w:rPr>
          <w:rFonts w:ascii="Arial" w:cs="Arial" w:eastAsia="Arial" w:hAnsi="Arial"/>
          <w:sz w:val="18"/>
          <w:szCs w:val="18"/>
          <w:color w:val="auto"/>
        </w:rPr>
      </w:pPr>
      <w:r>
        <w:rPr>
          <w:rFonts w:ascii="Arial" w:cs="Arial" w:eastAsia="Arial" w:hAnsi="Arial"/>
          <w:sz w:val="18"/>
          <w:szCs w:val="18"/>
          <w:color w:val="auto"/>
        </w:rPr>
        <w:t>5,292</w:t>
      </w:r>
    </w:p>
    <w:p>
      <w:pPr>
        <w:spacing w:after="0" w:line="26" w:lineRule="exact"/>
        <w:rPr>
          <w:rFonts w:ascii="Arial" w:cs="Arial" w:eastAsia="Arial" w:hAnsi="Arial"/>
          <w:sz w:val="18"/>
          <w:szCs w:val="18"/>
          <w:color w:val="auto"/>
        </w:rPr>
      </w:pPr>
    </w:p>
    <w:p>
      <w:pPr>
        <w:ind w:left="942"/>
        <w:spacing w:after="0"/>
        <w:rPr>
          <w:rFonts w:ascii="Arial" w:cs="Arial" w:eastAsia="Arial" w:hAnsi="Arial"/>
          <w:sz w:val="18"/>
          <w:szCs w:val="18"/>
          <w:color w:val="auto"/>
        </w:rPr>
      </w:pPr>
      <w:r>
        <w:rPr>
          <w:rFonts w:ascii="Arial" w:cs="Arial" w:eastAsia="Arial" w:hAnsi="Arial"/>
          <w:sz w:val="18"/>
          <w:szCs w:val="18"/>
          <w:color w:val="auto"/>
        </w:rPr>
        <w:t>13,539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-135890</wp:posOffset>
            </wp:positionV>
            <wp:extent cx="10033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16" w:lineRule="exact"/>
        <w:rPr>
          <w:sz w:val="20"/>
          <w:szCs w:val="20"/>
          <w:color w:val="auto"/>
        </w:rPr>
      </w:pPr>
    </w:p>
    <w:p>
      <w:pPr>
        <w:ind w:left="942" w:hanging="942"/>
        <w:spacing w:after="0"/>
        <w:tabs>
          <w:tab w:leader="none" w:pos="94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69,399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0033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86" w:lineRule="exact"/>
        <w:rPr>
          <w:sz w:val="20"/>
          <w:szCs w:val="20"/>
          <w:color w:val="auto"/>
        </w:rPr>
      </w:pPr>
    </w:p>
    <w:p>
      <w:pPr>
        <w:ind w:left="942" w:hanging="942"/>
        <w:spacing w:after="0"/>
        <w:tabs>
          <w:tab w:leader="none" w:pos="94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88,497</w:t>
      </w:r>
    </w:p>
    <w:p>
      <w:pPr>
        <w:spacing w:after="0" w:line="252" w:lineRule="exact"/>
        <w:rPr>
          <w:rFonts w:ascii="Arial" w:cs="Arial" w:eastAsia="Arial" w:hAnsi="Arial"/>
          <w:sz w:val="18"/>
          <w:szCs w:val="18"/>
          <w:color w:val="auto"/>
        </w:rPr>
      </w:pPr>
    </w:p>
    <w:p>
      <w:pPr>
        <w:ind w:left="942"/>
        <w:spacing w:after="0"/>
        <w:rPr>
          <w:rFonts w:ascii="Arial" w:cs="Arial" w:eastAsia="Arial" w:hAnsi="Arial"/>
          <w:sz w:val="18"/>
          <w:szCs w:val="18"/>
          <w:color w:val="auto"/>
        </w:rPr>
      </w:pPr>
      <w:r>
        <w:rPr>
          <w:rFonts w:ascii="Arial" w:cs="Arial" w:eastAsia="Arial" w:hAnsi="Arial"/>
          <w:sz w:val="18"/>
          <w:szCs w:val="18"/>
          <w:color w:val="auto"/>
        </w:rPr>
        <w:t>10,269</w:t>
      </w:r>
    </w:p>
    <w:p>
      <w:pPr>
        <w:spacing w:after="0" w:line="31" w:lineRule="exact"/>
        <w:rPr>
          <w:rFonts w:ascii="Arial" w:cs="Arial" w:eastAsia="Arial" w:hAnsi="Arial"/>
          <w:sz w:val="18"/>
          <w:szCs w:val="18"/>
          <w:color w:val="auto"/>
        </w:rPr>
      </w:pPr>
    </w:p>
    <w:p>
      <w:pPr>
        <w:ind w:left="962"/>
        <w:spacing w:after="0"/>
        <w:rPr>
          <w:rFonts w:ascii="Arial" w:cs="Arial" w:eastAsia="Arial" w:hAnsi="Arial"/>
          <w:sz w:val="18"/>
          <w:szCs w:val="18"/>
          <w:color w:val="auto"/>
        </w:rPr>
      </w:pPr>
      <w:r>
        <w:rPr>
          <w:rFonts w:ascii="Arial" w:cs="Arial" w:eastAsia="Arial" w:hAnsi="Arial"/>
          <w:sz w:val="18"/>
          <w:szCs w:val="18"/>
          <w:color w:val="auto"/>
        </w:rPr>
        <w:t>(5,240)</w:t>
      </w:r>
    </w:p>
    <w:p>
      <w:pPr>
        <w:spacing w:after="0" w:line="22" w:lineRule="exact"/>
        <w:rPr>
          <w:rFonts w:ascii="Arial" w:cs="Arial" w:eastAsia="Arial" w:hAnsi="Arial"/>
          <w:sz w:val="18"/>
          <w:szCs w:val="18"/>
          <w:color w:val="auto"/>
        </w:rPr>
      </w:pPr>
    </w:p>
    <w:p>
      <w:pPr>
        <w:ind w:left="962"/>
        <w:spacing w:after="0"/>
        <w:rPr>
          <w:rFonts w:ascii="Arial" w:cs="Arial" w:eastAsia="Arial" w:hAnsi="Arial"/>
          <w:sz w:val="18"/>
          <w:szCs w:val="18"/>
          <w:color w:val="auto"/>
        </w:rPr>
      </w:pPr>
      <w:r>
        <w:rPr>
          <w:rFonts w:ascii="Arial" w:cs="Arial" w:eastAsia="Arial" w:hAnsi="Arial"/>
          <w:sz w:val="18"/>
          <w:szCs w:val="18"/>
          <w:color w:val="auto"/>
        </w:rPr>
        <w:t>(4,703)</w:t>
      </w:r>
    </w:p>
    <w:p>
      <w:pPr>
        <w:spacing w:after="0" w:line="26" w:lineRule="exact"/>
        <w:rPr>
          <w:rFonts w:ascii="Arial" w:cs="Arial" w:eastAsia="Arial" w:hAnsi="Arial"/>
          <w:sz w:val="18"/>
          <w:szCs w:val="18"/>
          <w:color w:val="auto"/>
        </w:rPr>
      </w:pPr>
    </w:p>
    <w:p>
      <w:pPr>
        <w:ind w:left="1182"/>
        <w:spacing w:after="0"/>
        <w:rPr>
          <w:rFonts w:ascii="Arial" w:cs="Arial" w:eastAsia="Arial" w:hAnsi="Arial"/>
          <w:sz w:val="18"/>
          <w:szCs w:val="18"/>
          <w:color w:val="auto"/>
        </w:rPr>
      </w:pPr>
      <w:r>
        <w:rPr>
          <w:rFonts w:ascii="Arial" w:cs="Arial" w:eastAsia="Arial" w:hAnsi="Arial"/>
          <w:sz w:val="18"/>
          <w:szCs w:val="18"/>
          <w:color w:val="auto"/>
        </w:rPr>
        <w:t>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-135890</wp:posOffset>
            </wp:positionV>
            <wp:extent cx="10033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6" w:lineRule="exact"/>
        <w:rPr>
          <w:sz w:val="20"/>
          <w:szCs w:val="20"/>
          <w:color w:val="auto"/>
        </w:rPr>
      </w:pPr>
    </w:p>
    <w:p>
      <w:pPr>
        <w:ind w:left="942" w:hanging="942"/>
        <w:spacing w:after="0"/>
        <w:tabs>
          <w:tab w:leader="none" w:pos="94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88,823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0033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1224" w:lineRule="exact"/>
        <w:rPr>
          <w:sz w:val="20"/>
          <w:szCs w:val="20"/>
          <w:color w:val="auto"/>
        </w:rPr>
      </w:pPr>
    </w:p>
    <w:p>
      <w:pPr>
        <w:sectPr>
          <w:pgSz w:w="11900" w:h="16838" w:orient="portrait"/>
          <w:cols w:equalWidth="0" w:num="2">
            <w:col w:w="8958" w:space="720"/>
            <w:col w:w="1562"/>
          </w:cols>
          <w:pgMar w:left="320" w:top="134" w:right="33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The table below summarizes the geographic concentration of the loans underlying the servicing rights at March 31, 2025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3"/>
          </w:tcPr>
          <w:p>
            <w:pPr>
              <w:jc w:val="right"/>
              <w:ind w:right="1051"/>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3"/>
          </w:tcPr>
          <w:p>
            <w:pPr>
              <w:jc w:val="right"/>
              <w:ind w:right="931"/>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43"/>
        </w:trPr>
        <w:tc>
          <w:tcPr>
            <w:tcW w:w="4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State</w:t>
            </w:r>
          </w:p>
        </w:tc>
        <w:tc>
          <w:tcPr>
            <w:tcW w:w="200" w:type="dxa"/>
            <w:vAlign w:val="bottom"/>
          </w:tcPr>
          <w:p>
            <w:pPr>
              <w:spacing w:after="0"/>
              <w:rPr>
                <w:sz w:val="12"/>
                <w:szCs w:val="12"/>
                <w:color w:val="auto"/>
              </w:rPr>
            </w:pPr>
          </w:p>
        </w:tc>
        <w:tc>
          <w:tcPr>
            <w:tcW w:w="146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Amount</w:t>
            </w:r>
          </w:p>
        </w:tc>
        <w:tc>
          <w:tcPr>
            <w:tcW w:w="17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 of Total</w:t>
            </w:r>
          </w:p>
        </w:tc>
        <w:tc>
          <w:tcPr>
            <w:tcW w:w="200" w:type="dxa"/>
            <w:vAlign w:val="bottom"/>
          </w:tcPr>
          <w:p>
            <w:pPr>
              <w:spacing w:after="0"/>
              <w:rPr>
                <w:sz w:val="12"/>
                <w:szCs w:val="12"/>
                <w:color w:val="auto"/>
              </w:rPr>
            </w:pPr>
          </w:p>
        </w:tc>
        <w:tc>
          <w:tcPr>
            <w:tcW w:w="14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Amount</w:t>
            </w:r>
          </w:p>
        </w:tc>
        <w:tc>
          <w:tcPr>
            <w:tcW w:w="168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202"/>
        </w:trPr>
        <w:tc>
          <w:tcPr>
            <w:tcW w:w="45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Outstanding</w:t>
            </w:r>
            <w:r>
              <w:rPr>
                <w:rFonts w:ascii="Arial" w:cs="Arial" w:eastAsia="Arial" w:hAnsi="Arial"/>
                <w:sz w:val="9"/>
                <w:szCs w:val="9"/>
                <w:b w:val="1"/>
                <w:bCs w:val="1"/>
                <w:color w:val="auto"/>
              </w:rPr>
              <w:t>(A)</w:t>
            </w:r>
          </w:p>
        </w:tc>
        <w:tc>
          <w:tcPr>
            <w:tcW w:w="17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Outstanding</w:t>
            </w:r>
            <w:r>
              <w:rPr>
                <w:rFonts w:ascii="Arial" w:cs="Arial" w:eastAsia="Arial" w:hAnsi="Arial"/>
                <w:sz w:val="9"/>
                <w:szCs w:val="9"/>
                <w:b w:val="1"/>
                <w:bCs w:val="1"/>
                <w:color w:val="auto"/>
              </w:rPr>
              <w:t>(A)</w:t>
            </w: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2,250,537</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2,146,371</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26.5 %</w:t>
            </w: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Florida</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1,055,408</w:t>
            </w:r>
          </w:p>
        </w:tc>
        <w:tc>
          <w:tcPr>
            <w:tcW w:w="100" w:type="dxa"/>
            <w:vAlign w:val="bottom"/>
          </w:tcPr>
          <w:p>
            <w:pPr>
              <w:spacing w:after="0"/>
              <w:rPr>
                <w:sz w:val="19"/>
                <w:szCs w:val="19"/>
                <w:color w:val="auto"/>
              </w:rPr>
            </w:pPr>
          </w:p>
        </w:tc>
        <w:tc>
          <w:tcPr>
            <w:tcW w:w="1660" w:type="dxa"/>
            <w:vAlign w:val="bottom"/>
          </w:tcPr>
          <w:p>
            <w:pPr>
              <w:jc w:val="right"/>
              <w:ind w:right="15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990,404</w:t>
            </w:r>
          </w:p>
        </w:tc>
        <w:tc>
          <w:tcPr>
            <w:tcW w:w="80" w:type="dxa"/>
            <w:vAlign w:val="bottom"/>
          </w:tcPr>
          <w:p>
            <w:pPr>
              <w:spacing w:after="0"/>
              <w:rPr>
                <w:sz w:val="19"/>
                <w:szCs w:val="19"/>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443,357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429,469</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Georgia</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426,592</w:t>
            </w:r>
          </w:p>
        </w:tc>
        <w:tc>
          <w:tcPr>
            <w:tcW w:w="100" w:type="dxa"/>
            <w:vAlign w:val="bottom"/>
          </w:tcPr>
          <w:p>
            <w:pPr>
              <w:spacing w:after="0"/>
              <w:rPr>
                <w:sz w:val="19"/>
                <w:szCs w:val="19"/>
                <w:color w:val="auto"/>
              </w:rPr>
            </w:pPr>
          </w:p>
        </w:tc>
        <w:tc>
          <w:tcPr>
            <w:tcW w:w="1660" w:type="dxa"/>
            <w:vAlign w:val="bottom"/>
          </w:tcPr>
          <w:p>
            <w:pPr>
              <w:jc w:val="right"/>
              <w:ind w:right="15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407,651</w:t>
            </w:r>
          </w:p>
        </w:tc>
        <w:tc>
          <w:tcPr>
            <w:tcW w:w="80" w:type="dxa"/>
            <w:vAlign w:val="bottom"/>
          </w:tcPr>
          <w:p>
            <w:pPr>
              <w:spacing w:after="0"/>
              <w:rPr>
                <w:sz w:val="19"/>
                <w:szCs w:val="19"/>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Washington</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377,397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362,370</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330,656</w:t>
            </w:r>
          </w:p>
        </w:tc>
        <w:tc>
          <w:tcPr>
            <w:tcW w:w="100" w:type="dxa"/>
            <w:vAlign w:val="bottom"/>
          </w:tcPr>
          <w:p>
            <w:pPr>
              <w:spacing w:after="0"/>
              <w:rPr>
                <w:sz w:val="19"/>
                <w:szCs w:val="19"/>
                <w:color w:val="auto"/>
              </w:rPr>
            </w:pPr>
          </w:p>
        </w:tc>
        <w:tc>
          <w:tcPr>
            <w:tcW w:w="1660" w:type="dxa"/>
            <w:vAlign w:val="bottom"/>
          </w:tcPr>
          <w:p>
            <w:pPr>
              <w:jc w:val="right"/>
              <w:ind w:right="15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320,124</w:t>
            </w:r>
          </w:p>
        </w:tc>
        <w:tc>
          <w:tcPr>
            <w:tcW w:w="80" w:type="dxa"/>
            <w:vAlign w:val="bottom"/>
          </w:tcPr>
          <w:p>
            <w:pPr>
              <w:spacing w:after="0"/>
              <w:rPr>
                <w:sz w:val="19"/>
                <w:szCs w:val="19"/>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North Carolina</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270,230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261,013</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Virginia</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257,410</w:t>
            </w:r>
          </w:p>
        </w:tc>
        <w:tc>
          <w:tcPr>
            <w:tcW w:w="100" w:type="dxa"/>
            <w:vAlign w:val="bottom"/>
          </w:tcPr>
          <w:p>
            <w:pPr>
              <w:spacing w:after="0"/>
              <w:rPr>
                <w:sz w:val="19"/>
                <w:szCs w:val="19"/>
                <w:color w:val="auto"/>
              </w:rPr>
            </w:pPr>
          </w:p>
        </w:tc>
        <w:tc>
          <w:tcPr>
            <w:tcW w:w="1660" w:type="dxa"/>
            <w:vAlign w:val="bottom"/>
          </w:tcPr>
          <w:p>
            <w:pPr>
              <w:jc w:val="right"/>
              <w:ind w:right="15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241,844</w:t>
            </w:r>
          </w:p>
        </w:tc>
        <w:tc>
          <w:tcPr>
            <w:tcW w:w="80" w:type="dxa"/>
            <w:vAlign w:val="bottom"/>
          </w:tcPr>
          <w:p>
            <w:pPr>
              <w:spacing w:after="0"/>
              <w:rPr>
                <w:sz w:val="19"/>
                <w:szCs w:val="19"/>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251,771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239,559</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Ohio</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241,684</w:t>
            </w:r>
          </w:p>
        </w:tc>
        <w:tc>
          <w:tcPr>
            <w:tcW w:w="100" w:type="dxa"/>
            <w:vAlign w:val="bottom"/>
          </w:tcPr>
          <w:p>
            <w:pPr>
              <w:spacing w:after="0"/>
              <w:rPr>
                <w:sz w:val="19"/>
                <w:szCs w:val="19"/>
                <w:color w:val="auto"/>
              </w:rPr>
            </w:pPr>
          </w:p>
        </w:tc>
        <w:tc>
          <w:tcPr>
            <w:tcW w:w="1660" w:type="dxa"/>
            <w:vAlign w:val="bottom"/>
          </w:tcPr>
          <w:p>
            <w:pPr>
              <w:jc w:val="right"/>
              <w:ind w:right="15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227,069</w:t>
            </w:r>
          </w:p>
        </w:tc>
        <w:tc>
          <w:tcPr>
            <w:tcW w:w="80" w:type="dxa"/>
            <w:vAlign w:val="bottom"/>
          </w:tcPr>
          <w:p>
            <w:pPr>
              <w:spacing w:after="0"/>
              <w:rPr>
                <w:sz w:val="19"/>
                <w:szCs w:val="19"/>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Other U.S.</w:t>
            </w:r>
            <w:r>
              <w:rPr>
                <w:rFonts w:ascii="Arial" w:cs="Arial" w:eastAsia="Arial" w:hAnsi="Arial"/>
                <w:sz w:val="23"/>
                <w:szCs w:val="23"/>
                <w:color w:val="auto"/>
                <w:vertAlign w:val="superscript"/>
              </w:rPr>
              <w:t>(B)</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2,663,107</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2,471,009</w:t>
            </w:r>
          </w:p>
        </w:tc>
        <w:tc>
          <w:tcPr>
            <w:tcW w:w="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3"/>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8,568,149</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8,096,883</w:t>
            </w:r>
          </w:p>
        </w:tc>
        <w:tc>
          <w:tcPr>
            <w:tcW w:w="8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31" w:lineRule="exact"/>
        <w:rPr>
          <w:sz w:val="20"/>
          <w:szCs w:val="20"/>
          <w:color w:val="auto"/>
        </w:rPr>
      </w:pPr>
    </w:p>
    <w:p>
      <w:pPr>
        <w:ind w:left="340" w:hanging="332"/>
        <w:spacing w:after="0"/>
        <w:tabs>
          <w:tab w:leader="none" w:pos="3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Represents the principal balance of the loans that the Company services.</w:t>
      </w:r>
    </w:p>
    <w:p>
      <w:pPr>
        <w:spacing w:after="0" w:line="8" w:lineRule="exact"/>
        <w:rPr>
          <w:rFonts w:ascii="Arial" w:cs="Arial" w:eastAsia="Arial" w:hAnsi="Arial"/>
          <w:sz w:val="16"/>
          <w:szCs w:val="16"/>
          <w:color w:val="auto"/>
        </w:rPr>
      </w:pPr>
    </w:p>
    <w:p>
      <w:pPr>
        <w:ind w:left="340" w:hanging="332"/>
        <w:spacing w:after="0" w:line="283" w:lineRule="auto"/>
        <w:tabs>
          <w:tab w:leader="none" w:pos="3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Company did not service loans in any state or U.S. territory contained in “Other U.S.” aggregating to more than 5% of the total amount outstanding of the loans that the Company services.</w:t>
      </w:r>
    </w:p>
    <w:p>
      <w:pPr>
        <w:spacing w:after="0" w:line="99"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As part of its servicing operations, the Company held principal, interest, and other borrower payments of $248.6 million and $198.8 million at March 31, 2025 and December 31, 2024, respectively, due to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34" w:right="339" w:bottom="1440" w:gutter="0" w:footer="0" w:header="0"/>
          <w:type w:val="continuous"/>
        </w:sectPr>
      </w:pPr>
    </w:p>
    <w:bookmarkStart w:id="280" w:name="page281"/>
    <w:bookmarkEnd w:id="280"/>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party loan buyers recorded as “Payables to third-party loan owners” in the Condensed Combined Consolidated Balance Sheets. The Company makes payments on these arrangements by remitting amounts due from proceeds received from borrower payments on the underlying loans. Additionally, the Company has outstanding liability obligations to repurchase loans that are in early payment default status. As of March 31, 2025 and December 31, 2024, the total obligation to repurchase loans associated with contractual arrangements was $15.2 million and $13.8 million, respectively, recorded in “Payables to third-party loan owners” in the Condensed Combined Consolidated Balance Sheets.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loans held by the Company at March 31,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March 31, 2025</w:t>
            </w:r>
          </w:p>
        </w:tc>
        <w:tc>
          <w:tcPr>
            <w:tcW w:w="13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2024</w:t>
            </w:r>
          </w:p>
        </w:tc>
        <w:tc>
          <w:tcPr>
            <w:tcW w:w="1300" w:type="dxa"/>
            <w:vAlign w:val="bottom"/>
            <w:tcBorders>
              <w:bottom w:val="single" w:sz="8" w:color="auto"/>
            </w:tcBorders>
          </w:tcPr>
          <w:p>
            <w:pPr>
              <w:spacing w:after="0"/>
              <w:rPr>
                <w:sz w:val="17"/>
                <w:szCs w:val="17"/>
                <w:color w:val="auto"/>
              </w:rPr>
            </w:pPr>
          </w:p>
        </w:tc>
      </w:tr>
      <w:tr>
        <w:trPr>
          <w:trHeight w:val="197"/>
        </w:trPr>
        <w:tc>
          <w:tcPr>
            <w:tcW w:w="2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UPB</w:t>
            </w:r>
          </w:p>
        </w:tc>
        <w:tc>
          <w:tcPr>
            <w:tcW w:w="1420" w:type="dxa"/>
            <w:vAlign w:val="bottom"/>
            <w:gridSpan w:val="3"/>
          </w:tcPr>
          <w:p>
            <w:pPr>
              <w:jc w:val="center"/>
              <w:ind w:right="80"/>
              <w:spacing w:after="0" w:line="197" w:lineRule="exact"/>
              <w:rPr>
                <w:sz w:val="20"/>
                <w:szCs w:val="20"/>
                <w:color w:val="auto"/>
              </w:rPr>
            </w:pPr>
            <w:r>
              <w:rPr>
                <w:rFonts w:ascii="Arial" w:cs="Arial" w:eastAsia="Arial" w:hAnsi="Arial"/>
                <w:sz w:val="14"/>
                <w:szCs w:val="14"/>
                <w:b w:val="1"/>
                <w:bCs w:val="1"/>
                <w:color w:val="auto"/>
                <w:w w:val="98"/>
              </w:rPr>
              <w:t>Carrying Value</w:t>
            </w:r>
            <w:r>
              <w:rPr>
                <w:rFonts w:ascii="Arial" w:cs="Arial" w:eastAsia="Arial" w:hAnsi="Arial"/>
                <w:sz w:val="18"/>
                <w:szCs w:val="18"/>
                <w:b w:val="1"/>
                <w:bCs w:val="1"/>
                <w:color w:val="auto"/>
                <w:w w:val="98"/>
                <w:vertAlign w:val="superscript"/>
              </w:rPr>
              <w:t>(A)</w:t>
            </w:r>
          </w:p>
        </w:tc>
        <w:tc>
          <w:tcPr>
            <w:tcW w:w="1380" w:type="dxa"/>
            <w:vAlign w:val="bottom"/>
            <w:gridSpan w:val="2"/>
          </w:tcPr>
          <w:p>
            <w:pPr>
              <w:ind w:left="240"/>
              <w:spacing w:after="0"/>
              <w:rPr>
                <w:sz w:val="20"/>
                <w:szCs w:val="20"/>
                <w:color w:val="auto"/>
              </w:rPr>
            </w:pPr>
            <w:r>
              <w:rPr>
                <w:rFonts w:ascii="Arial" w:cs="Arial" w:eastAsia="Arial" w:hAnsi="Arial"/>
                <w:sz w:val="14"/>
                <w:szCs w:val="14"/>
                <w:b w:val="1"/>
                <w:bCs w:val="1"/>
                <w:color w:val="auto"/>
              </w:rPr>
              <w:t>Loan Count</w:t>
            </w:r>
          </w:p>
        </w:tc>
        <w:tc>
          <w:tcPr>
            <w:tcW w:w="320" w:type="dxa"/>
            <w:vAlign w:val="bottom"/>
          </w:tcPr>
          <w:p>
            <w:pPr>
              <w:spacing w:after="0"/>
              <w:rPr>
                <w:sz w:val="17"/>
                <w:szCs w:val="17"/>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UPB</w:t>
            </w:r>
          </w:p>
        </w:tc>
        <w:tc>
          <w:tcPr>
            <w:tcW w:w="1420" w:type="dxa"/>
            <w:vAlign w:val="bottom"/>
            <w:gridSpan w:val="3"/>
          </w:tcPr>
          <w:p>
            <w:pPr>
              <w:ind w:left="100"/>
              <w:spacing w:after="0" w:line="197" w:lineRule="exact"/>
              <w:rPr>
                <w:sz w:val="20"/>
                <w:szCs w:val="20"/>
                <w:color w:val="auto"/>
              </w:rPr>
            </w:pPr>
            <w:r>
              <w:rPr>
                <w:rFonts w:ascii="Arial" w:cs="Arial" w:eastAsia="Arial" w:hAnsi="Arial"/>
                <w:sz w:val="14"/>
                <w:szCs w:val="14"/>
                <w:b w:val="1"/>
                <w:bCs w:val="1"/>
                <w:color w:val="auto"/>
              </w:rPr>
              <w:t>Carrying Value</w:t>
            </w:r>
            <w:r>
              <w:rPr>
                <w:rFonts w:ascii="Arial" w:cs="Arial" w:eastAsia="Arial" w:hAnsi="Arial"/>
                <w:sz w:val="18"/>
                <w:szCs w:val="18"/>
                <w:b w:val="1"/>
                <w:bCs w:val="1"/>
                <w:color w:val="auto"/>
                <w:vertAlign w:val="superscript"/>
              </w:rPr>
              <w:t>(A)</w:t>
            </w:r>
          </w:p>
        </w:tc>
        <w:tc>
          <w:tcPr>
            <w:tcW w:w="1300" w:type="dxa"/>
            <w:vAlign w:val="bottom"/>
          </w:tcPr>
          <w:p>
            <w:pPr>
              <w:jc w:val="right"/>
              <w:ind w:right="154"/>
              <w:spacing w:after="0"/>
              <w:rPr>
                <w:sz w:val="20"/>
                <w:szCs w:val="20"/>
                <w:color w:val="auto"/>
              </w:rPr>
            </w:pPr>
            <w:r>
              <w:rPr>
                <w:rFonts w:ascii="Arial" w:cs="Arial" w:eastAsia="Arial" w:hAnsi="Arial"/>
                <w:sz w:val="14"/>
                <w:szCs w:val="14"/>
                <w:b w:val="1"/>
                <w:bCs w:val="1"/>
                <w:color w:val="auto"/>
              </w:rPr>
              <w:t>Loan Count</w:t>
            </w:r>
          </w:p>
        </w:tc>
      </w:tr>
      <w:tr>
        <w:trPr>
          <w:trHeight w:val="209"/>
        </w:trPr>
        <w:tc>
          <w:tcPr>
            <w:tcW w:w="2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Loans held for sale</w:t>
            </w: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29"/>
        </w:trPr>
        <w:tc>
          <w:tcPr>
            <w:tcW w:w="2900" w:type="dxa"/>
            <w:vAlign w:val="bottom"/>
          </w:tcPr>
          <w:p>
            <w:pPr>
              <w:ind w:left="460"/>
              <w:spacing w:after="0"/>
              <w:rPr>
                <w:sz w:val="20"/>
                <w:szCs w:val="20"/>
                <w:color w:val="auto"/>
              </w:rPr>
            </w:pPr>
            <w:r>
              <w:rPr>
                <w:rFonts w:ascii="Arial" w:cs="Arial" w:eastAsia="Arial" w:hAnsi="Arial"/>
                <w:sz w:val="18"/>
                <w:szCs w:val="18"/>
                <w:color w:val="auto"/>
              </w:rPr>
              <w:t>HELOC loans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482,864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498,352</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6,332</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359,155</w:t>
            </w:r>
          </w:p>
        </w:tc>
        <w:tc>
          <w:tcPr>
            <w:tcW w:w="8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366,154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4,582</w:t>
            </w:r>
          </w:p>
        </w:tc>
      </w:tr>
      <w:tr>
        <w:trPr>
          <w:trHeight w:val="230"/>
        </w:trPr>
        <w:tc>
          <w:tcPr>
            <w:tcW w:w="29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Personal loans</w:t>
            </w:r>
            <w:r>
              <w:rPr>
                <w:rFonts w:ascii="Arial" w:cs="Arial" w:eastAsia="Arial" w:hAnsi="Arial"/>
                <w:sz w:val="23"/>
                <w:szCs w:val="23"/>
                <w:color w:val="auto"/>
                <w:vertAlign w:val="superscript"/>
              </w:rPr>
              <w:t>(B)</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29"/>
        </w:trPr>
        <w:tc>
          <w:tcPr>
            <w:tcW w:w="2900" w:type="dxa"/>
            <w:vAlign w:val="bottom"/>
            <w:tcBorders>
              <w:bottom w:val="single" w:sz="8" w:color="CCEEFF"/>
            </w:tcBorders>
          </w:tcPr>
          <w:p>
            <w:pPr>
              <w:ind w:left="46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(C)</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3,904</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r>
      <w:tr>
        <w:trPr>
          <w:trHeight w:val="248"/>
        </w:trPr>
        <w:tc>
          <w:tcPr>
            <w:tcW w:w="2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loans held for sale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515,346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530,525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389,107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395,922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5,141</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tabs>
          <w:tab w:leader="none" w:pos="3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Company records loans at fair value. See Note 11 for additional information regarding the valuation of these assets.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Loans collateralized by digital assets.</w:t>
      </w:r>
    </w:p>
    <w:p>
      <w:pPr>
        <w:spacing w:after="0" w:line="14" w:lineRule="exact"/>
        <w:rPr>
          <w:rFonts w:ascii="Arial" w:cs="Arial" w:eastAsia="Arial" w:hAnsi="Arial"/>
          <w:sz w:val="16"/>
          <w:szCs w:val="16"/>
          <w:color w:val="auto"/>
        </w:rPr>
      </w:pPr>
    </w:p>
    <w:p>
      <w:pPr>
        <w:ind w:left="320" w:hanging="312"/>
        <w:spacing w:after="0"/>
        <w:tabs>
          <w:tab w:leader="none" w:pos="3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Primarily contains legacy mortgage and other unsecured loans.</w:t>
      </w:r>
    </w:p>
    <w:p>
      <w:pPr>
        <w:spacing w:after="0" w:line="150"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Loans are generally placed on non-accrual status when principal or interest is 90 days or more past due. The Company does not consider the average carrying values and interest income recognized (including interest income recognized using a cash-basis method) material for non-accrual loans. The Company placed loans held for sale with an aggregate UPB of $1.8 million and $1.2 million and fair value of $1.0 million and $0.8 million on non-accrual status at March 31, 2025 and December 31, 2024, respectively.</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did not hold any loans held for investment at March 31, 2025 or December 31, 2024.</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following table summarizes the past due status and difference between the aggregate UPB and the aggregate carrying value of loans held by the Company at March 31, 2025 and December 31,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March 31, 2025</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2024</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Payment Delinquency</w:t>
            </w:r>
          </w:p>
        </w:tc>
        <w:tc>
          <w:tcPr>
            <w:tcW w:w="300" w:type="dxa"/>
            <w:vAlign w:val="bottom"/>
          </w:tcPr>
          <w:p>
            <w:pPr>
              <w:spacing w:after="0"/>
              <w:rPr>
                <w:sz w:val="12"/>
                <w:szCs w:val="12"/>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UPB</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Carrying Value</w:t>
            </w:r>
            <w:r>
              <w:rPr>
                <w:rFonts w:ascii="Arial" w:cs="Arial" w:eastAsia="Arial" w:hAnsi="Arial"/>
                <w:sz w:val="9"/>
                <w:szCs w:val="9"/>
                <w:b w:val="1"/>
                <w:bCs w:val="1"/>
                <w:color w:val="auto"/>
              </w:rPr>
              <w:t>(A)</w:t>
            </w:r>
          </w:p>
        </w:tc>
        <w:tc>
          <w:tcPr>
            <w:tcW w:w="140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rPr>
              <w:t>Carrying Value</w:t>
            </w:r>
            <w:r>
              <w:rPr>
                <w:rFonts w:ascii="Arial" w:cs="Arial" w:eastAsia="Arial" w:hAnsi="Arial"/>
                <w:sz w:val="9"/>
                <w:szCs w:val="9"/>
                <w:b w:val="1"/>
                <w:bCs w:val="1"/>
                <w:color w:val="auto"/>
              </w:rPr>
              <w:t>(A)</w:t>
            </w:r>
          </w:p>
        </w:tc>
        <w:tc>
          <w:tcPr>
            <w:tcW w:w="32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UPB</w:t>
            </w:r>
          </w:p>
        </w:tc>
        <w:tc>
          <w:tcPr>
            <w:tcW w:w="14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Carrying Value</w:t>
            </w:r>
            <w:r>
              <w:rPr>
                <w:rFonts w:ascii="Arial" w:cs="Arial" w:eastAsia="Arial" w:hAnsi="Arial"/>
                <w:sz w:val="9"/>
                <w:szCs w:val="9"/>
                <w:b w:val="1"/>
                <w:bCs w:val="1"/>
                <w:color w:val="auto"/>
              </w:rPr>
              <w:t>(A)</w:t>
            </w:r>
          </w:p>
        </w:tc>
        <w:tc>
          <w:tcPr>
            <w:tcW w:w="130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Carrying Value</w:t>
            </w:r>
            <w:r>
              <w:rPr>
                <w:rFonts w:ascii="Arial" w:cs="Arial" w:eastAsia="Arial" w:hAnsi="Arial"/>
                <w:sz w:val="9"/>
                <w:szCs w:val="9"/>
                <w:b w:val="1"/>
                <w:bCs w:val="1"/>
                <w:color w:val="auto"/>
              </w:rPr>
              <w:t>(A)</w:t>
            </w:r>
          </w:p>
        </w:tc>
        <w:tc>
          <w:tcPr>
            <w:tcW w:w="0" w:type="dxa"/>
            <w:vAlign w:val="bottom"/>
          </w:tcPr>
          <w:p>
            <w:pPr>
              <w:spacing w:after="0"/>
              <w:rPr>
                <w:sz w:val="1"/>
                <w:szCs w:val="1"/>
                <w:color w:val="auto"/>
              </w:rPr>
            </w:pPr>
          </w:p>
        </w:tc>
      </w:tr>
      <w:tr>
        <w:trPr>
          <w:trHeight w:val="197"/>
        </w:trPr>
        <w:tc>
          <w:tcPr>
            <w:tcW w:w="29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Over (Under) UPB</w:t>
            </w:r>
          </w:p>
        </w:tc>
        <w:tc>
          <w:tcPr>
            <w:tcW w:w="3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Over (Under) UPB</w:t>
            </w:r>
          </w:p>
        </w:tc>
        <w:tc>
          <w:tcPr>
            <w:tcW w:w="0" w:type="dxa"/>
            <w:vAlign w:val="bottom"/>
          </w:tcPr>
          <w:p>
            <w:pPr>
              <w:spacing w:after="0"/>
              <w:rPr>
                <w:sz w:val="1"/>
                <w:szCs w:val="1"/>
                <w:color w:val="auto"/>
              </w:rPr>
            </w:pPr>
          </w:p>
        </w:tc>
      </w:tr>
      <w:tr>
        <w:trPr>
          <w:trHeight w:val="224"/>
        </w:trPr>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Loans held for sale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gridSpan w:val="2"/>
          </w:tcPr>
          <w:p>
            <w:pPr>
              <w:ind w:left="460"/>
              <w:spacing w:after="0"/>
              <w:rPr>
                <w:sz w:val="20"/>
                <w:szCs w:val="20"/>
                <w:color w:val="auto"/>
              </w:rPr>
            </w:pPr>
            <w:r>
              <w:rPr>
                <w:rFonts w:ascii="Arial" w:cs="Arial" w:eastAsia="Arial" w:hAnsi="Arial"/>
                <w:sz w:val="18"/>
                <w:szCs w:val="18"/>
                <w:color w:val="auto"/>
              </w:rPr>
              <w:t>Current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499,089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515,149</w:t>
            </w:r>
          </w:p>
        </w:tc>
        <w:tc>
          <w:tcPr>
            <w:tcW w:w="10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16,060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373,876</w:t>
            </w:r>
          </w:p>
        </w:tc>
        <w:tc>
          <w:tcPr>
            <w:tcW w:w="8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383,551</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9,675</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30 to 59 days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30"/>
        </w:trPr>
        <w:tc>
          <w:tcPr>
            <w:tcW w:w="2920" w:type="dxa"/>
            <w:vAlign w:val="bottom"/>
            <w:gridSpan w:val="2"/>
          </w:tcPr>
          <w:p>
            <w:pPr>
              <w:ind w:left="460"/>
              <w:spacing w:after="0"/>
              <w:rPr>
                <w:sz w:val="20"/>
                <w:szCs w:val="20"/>
                <w:color w:val="auto"/>
              </w:rPr>
            </w:pPr>
            <w:r>
              <w:rPr>
                <w:rFonts w:ascii="Arial" w:cs="Arial" w:eastAsia="Arial" w:hAnsi="Arial"/>
                <w:sz w:val="18"/>
                <w:szCs w:val="18"/>
                <w:color w:val="auto"/>
              </w:rPr>
              <w:t>60 to 89 days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90 days or more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Forbearance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loans held for sale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515,346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530,525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389,107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tabs>
          <w:tab w:leader="none" w:pos="3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Company records loans at fair value. See Note 11 for additional information regarding the valuation of these assets.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5440"/>
        <w:spacing w:after="0"/>
        <w:rPr>
          <w:rFonts w:ascii="Arial" w:cs="Arial" w:eastAsia="Arial" w:hAnsi="Arial"/>
          <w:sz w:val="16"/>
          <w:szCs w:val="16"/>
          <w:color w:val="auto"/>
        </w:rPr>
      </w:pPr>
      <w:r>
        <w:rPr>
          <w:rFonts w:ascii="Arial" w:cs="Arial" w:eastAsia="Arial" w:hAnsi="Arial"/>
          <w:sz w:val="18"/>
          <w:szCs w:val="18"/>
          <w:color w:val="auto"/>
        </w:rPr>
        <w:t>F-28</w:t>
      </w:r>
    </w:p>
    <w:p>
      <w:pPr>
        <w:sectPr>
          <w:pgSz w:w="11900" w:h="16838" w:orient="portrait"/>
          <w:cols w:equalWidth="0" w:num="1">
            <w:col w:w="11240"/>
          </w:cols>
          <w:pgMar w:left="320" w:top="134" w:right="339" w:bottom="1440" w:gutter="0" w:footer="0" w:header="0"/>
        </w:sectPr>
      </w:pPr>
    </w:p>
    <w:bookmarkStart w:id="281" w:name="page282"/>
    <w:bookmarkEnd w:id="281"/>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activities involving the Company’s loans for the three months ended March 31, 2025 and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Loans held for sale</w:t>
            </w:r>
          </w:p>
        </w:tc>
        <w:tc>
          <w:tcPr>
            <w:tcW w:w="200" w:type="dxa"/>
            <w:vAlign w:val="bottom"/>
          </w:tcPr>
          <w:p>
            <w:pPr>
              <w:spacing w:after="0"/>
              <w:rPr>
                <w:sz w:val="14"/>
                <w:szCs w:val="14"/>
                <w:color w:val="auto"/>
              </w:rPr>
            </w:pPr>
          </w:p>
        </w:tc>
        <w:tc>
          <w:tcPr>
            <w:tcW w:w="1380" w:type="dxa"/>
            <w:vAlign w:val="bottom"/>
          </w:tcPr>
          <w:p>
            <w:pPr>
              <w:jc w:val="right"/>
              <w:ind w:right="212"/>
              <w:spacing w:after="0"/>
              <w:rPr>
                <w:sz w:val="20"/>
                <w:szCs w:val="20"/>
                <w:color w:val="auto"/>
              </w:rPr>
            </w:pPr>
            <w:r>
              <w:rPr>
                <w:rFonts w:ascii="Arial" w:cs="Arial" w:eastAsia="Arial" w:hAnsi="Arial"/>
                <w:sz w:val="14"/>
                <w:szCs w:val="14"/>
                <w:b w:val="1"/>
                <w:bCs w:val="1"/>
                <w:color w:val="auto"/>
              </w:rPr>
              <w:t>Loans held for</w:t>
            </w:r>
          </w:p>
        </w:tc>
        <w:tc>
          <w:tcPr>
            <w:tcW w:w="0" w:type="dxa"/>
            <w:vAlign w:val="bottom"/>
          </w:tcPr>
          <w:p>
            <w:pPr>
              <w:spacing w:after="0"/>
              <w:rPr>
                <w:sz w:val="1"/>
                <w:szCs w:val="1"/>
                <w:color w:val="auto"/>
              </w:rPr>
            </w:pPr>
          </w:p>
        </w:tc>
      </w:tr>
      <w:tr>
        <w:trPr>
          <w:trHeight w:val="185"/>
        </w:trPr>
        <w:tc>
          <w:tcPr>
            <w:tcW w:w="7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312"/>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255,516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61,337</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512,008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Originations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669,912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Sales, net of repurchases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(1,046,223)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Principal payments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line="230" w:lineRule="exact"/>
              <w:rPr>
                <w:sz w:val="20"/>
                <w:szCs w:val="20"/>
                <w:color w:val="auto"/>
              </w:rPr>
            </w:pPr>
            <w:r>
              <w:rPr>
                <w:rFonts w:ascii="Arial" w:cs="Arial" w:eastAsia="Arial" w:hAnsi="Arial"/>
                <w:sz w:val="18"/>
                <w:szCs w:val="18"/>
                <w:color w:val="auto"/>
              </w:rPr>
              <w:t>Change in fair value</w:t>
            </w:r>
            <w:r>
              <w:rPr>
                <w:rFonts w:ascii="Arial" w:cs="Arial" w:eastAsia="Arial" w:hAnsi="Arial"/>
                <w:sz w:val="23"/>
                <w:szCs w:val="23"/>
                <w:color w:val="auto"/>
                <w:vertAlign w:val="superscript"/>
              </w:rPr>
              <w:t>(A)</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3,282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Loans not yet repurchased</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293,517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62,009</w:t>
            </w:r>
          </w:p>
        </w:tc>
        <w:tc>
          <w:tcPr>
            <w:tcW w:w="0" w:type="dxa"/>
            <w:vAlign w:val="bottom"/>
          </w:tcPr>
          <w:p>
            <w:pPr>
              <w:spacing w:after="0"/>
              <w:rPr>
                <w:sz w:val="1"/>
                <w:szCs w:val="1"/>
                <w:color w:val="auto"/>
              </w:rPr>
            </w:pPr>
          </w:p>
        </w:tc>
      </w:tr>
      <w:tr>
        <w:trPr>
          <w:trHeight w:val="257"/>
        </w:trPr>
        <w:tc>
          <w:tcPr>
            <w:tcW w:w="79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395,922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516,863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Originations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680,350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net of repurchases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Principal payments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(95,990)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Change in fair value</w:t>
            </w:r>
            <w:r>
              <w:rPr>
                <w:rFonts w:ascii="Arial" w:cs="Arial" w:eastAsia="Arial" w:hAnsi="Arial"/>
                <w:sz w:val="23"/>
                <w:szCs w:val="23"/>
                <w:color w:val="auto"/>
                <w:vertAlign w:val="superscript"/>
              </w:rPr>
              <w:t>(A)</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Loans not yet repurchased</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530,525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 Change in fair value of loans are reflected in “Gain on sale of loans, net” in the Condensed Combined Consolidated Statements of Operations.</w:t>
      </w:r>
    </w:p>
    <w:p>
      <w:pPr>
        <w:spacing w:after="0" w:line="14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top five loan originators for the three months ended March 31, 2025 and 2024 originated $387.1 million and $ 431.4 million unpaid principal balance of loans, or 73.9% and 84.0%, of total unpaid principal balance of loans purchased by the Company, representing 15.0% and 10.8% of total revenue, respectively.</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top five loan purchasers for the three months ended March 31, 2025 and 2024 purchased $516.2 million and $606.9 million unpaid principal balance of loans, or 73.6% and 67.0%, of total unpaid principal balance of loans sold by the Company, excluding $73.5 million and $92.5 million UPB securitized, representing 17.8% and 15.9% of total revenue,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34" w:right="339" w:bottom="1440" w:gutter="0" w:footer="0" w:header="0"/>
        </w:sectPr>
      </w:pPr>
    </w:p>
    <w:bookmarkStart w:id="282" w:name="page283"/>
    <w:bookmarkEnd w:id="282"/>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components of debt at March 31, 2025 and December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March 31, 2025</w:t>
            </w: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b w:val="1"/>
                <w:bCs w:val="1"/>
                <w:color w:val="auto"/>
                <w:w w:val="97"/>
              </w:rPr>
              <w:t>December 31, 2024</w:t>
            </w: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ind w:right="40"/>
              <w:spacing w:after="0"/>
              <w:rPr>
                <w:sz w:val="20"/>
                <w:szCs w:val="20"/>
                <w:color w:val="auto"/>
              </w:rPr>
            </w:pPr>
            <w:r>
              <w:rPr>
                <w:rFonts w:ascii="Arial" w:cs="Arial" w:eastAsia="Arial" w:hAnsi="Arial"/>
                <w:sz w:val="13"/>
                <w:szCs w:val="13"/>
                <w:b w:val="1"/>
                <w:bCs w:val="1"/>
                <w:color w:val="auto"/>
                <w:w w:val="93"/>
              </w:rPr>
              <w:t>Carrying Value</w:t>
            </w:r>
          </w:p>
        </w:tc>
        <w:tc>
          <w:tcPr>
            <w:tcW w:w="80" w:type="dxa"/>
            <w:vAlign w:val="bottom"/>
          </w:tcPr>
          <w:p>
            <w:pPr>
              <w:spacing w:after="0"/>
              <w:rPr>
                <w:sz w:val="10"/>
                <w:szCs w:val="10"/>
                <w:color w:val="auto"/>
              </w:rPr>
            </w:pPr>
          </w:p>
        </w:tc>
        <w:tc>
          <w:tcPr>
            <w:tcW w:w="16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7"/>
              </w:rPr>
              <w:t>Facility Inception Date</w:t>
            </w: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5"/>
              </w:rPr>
              <w:t>Final Stated Maturity</w:t>
            </w:r>
            <w:r>
              <w:rPr>
                <w:rFonts w:ascii="Arial" w:cs="Arial" w:eastAsia="Arial" w:hAnsi="Arial"/>
                <w:sz w:val="16"/>
                <w:szCs w:val="16"/>
                <w:b w:val="1"/>
                <w:bCs w:val="1"/>
                <w:color w:val="auto"/>
                <w:w w:val="95"/>
                <w:vertAlign w:val="superscript"/>
              </w:rPr>
              <w:t>(A)</w:t>
            </w:r>
          </w:p>
        </w:tc>
        <w:tc>
          <w:tcPr>
            <w:tcW w:w="12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180" w:type="dxa"/>
            <w:vAlign w:val="bottom"/>
          </w:tcPr>
          <w:p>
            <w:pPr>
              <w:spacing w:after="0"/>
              <w:rPr>
                <w:sz w:val="10"/>
                <w:szCs w:val="10"/>
                <w:color w:val="auto"/>
              </w:rPr>
            </w:pPr>
          </w:p>
        </w:tc>
        <w:tc>
          <w:tcPr>
            <w:tcW w:w="900" w:type="dxa"/>
            <w:vAlign w:val="bottom"/>
          </w:tcPr>
          <w:p>
            <w:pPr>
              <w:jc w:val="right"/>
              <w:ind w:right="180"/>
              <w:spacing w:after="0" w:line="119" w:lineRule="exact"/>
              <w:rPr>
                <w:sz w:val="20"/>
                <w:szCs w:val="20"/>
                <w:color w:val="auto"/>
              </w:rPr>
            </w:pPr>
            <w:r>
              <w:rPr>
                <w:rFonts w:ascii="Arial" w:cs="Arial" w:eastAsia="Arial" w:hAnsi="Arial"/>
                <w:sz w:val="13"/>
                <w:szCs w:val="13"/>
                <w:b w:val="1"/>
                <w:bCs w:val="1"/>
                <w:color w:val="auto"/>
              </w:rPr>
              <w:t>Collateral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vMerge w:val="restart"/>
          </w:tcPr>
          <w:p>
            <w:pPr>
              <w:jc w:val="right"/>
              <w:ind w:right="201"/>
              <w:spacing w:after="0"/>
              <w:rPr>
                <w:sz w:val="20"/>
                <w:szCs w:val="20"/>
                <w:color w:val="auto"/>
              </w:rPr>
            </w:pPr>
            <w:r>
              <w:rPr>
                <w:rFonts w:ascii="Arial" w:cs="Arial" w:eastAsia="Arial" w:hAnsi="Arial"/>
                <w:sz w:val="13"/>
                <w:szCs w:val="13"/>
                <w:b w:val="1"/>
                <w:bCs w:val="1"/>
                <w:color w:val="auto"/>
              </w:rPr>
              <w:t>Carrying Value</w:t>
            </w:r>
          </w:p>
        </w:tc>
        <w:tc>
          <w:tcPr>
            <w:tcW w:w="0" w:type="dxa"/>
            <w:vAlign w:val="bottom"/>
          </w:tcPr>
          <w:p>
            <w:pPr>
              <w:spacing w:after="0"/>
              <w:rPr>
                <w:sz w:val="1"/>
                <w:szCs w:val="1"/>
                <w:color w:val="auto"/>
              </w:rPr>
            </w:pPr>
          </w:p>
        </w:tc>
      </w:tr>
      <w:tr>
        <w:trPr>
          <w:trHeight w:val="189"/>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Funding Cost</w:t>
            </w:r>
          </w:p>
        </w:tc>
        <w:tc>
          <w:tcPr>
            <w:tcW w:w="1180" w:type="dxa"/>
            <w:vAlign w:val="bottom"/>
            <w:gridSpan w:val="3"/>
          </w:tcPr>
          <w:p>
            <w:pPr>
              <w:ind w:left="100"/>
              <w:spacing w:after="0"/>
              <w:rPr>
                <w:sz w:val="20"/>
                <w:szCs w:val="20"/>
                <w:color w:val="auto"/>
              </w:rPr>
            </w:pPr>
            <w:r>
              <w:rPr>
                <w:rFonts w:ascii="Arial" w:cs="Arial" w:eastAsia="Arial" w:hAnsi="Arial"/>
                <w:sz w:val="13"/>
                <w:szCs w:val="13"/>
                <w:b w:val="1"/>
                <w:bCs w:val="1"/>
                <w:color w:val="auto"/>
              </w:rPr>
              <w:t>Carrying Value</w:t>
            </w: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Debt Carried at Cost</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Funding Debt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Warehouse Facility 1</w:t>
            </w:r>
            <w:r>
              <w:rPr>
                <w:rFonts w:ascii="Arial" w:cs="Arial" w:eastAsia="Arial" w:hAnsi="Arial"/>
                <w:sz w:val="21"/>
                <w:szCs w:val="21"/>
                <w:color w:val="auto"/>
                <w:vertAlign w:val="superscript"/>
              </w:rPr>
              <w:t>(B)</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26,925</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August 2020</w:t>
            </w: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November 2025</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28,286</w:t>
            </w:r>
          </w:p>
        </w:tc>
        <w:tc>
          <w:tcPr>
            <w:tcW w:w="0" w:type="dxa"/>
            <w:vAlign w:val="bottom"/>
          </w:tcPr>
          <w:p>
            <w:pPr>
              <w:spacing w:after="0"/>
              <w:rPr>
                <w:sz w:val="1"/>
                <w:szCs w:val="1"/>
                <w:color w:val="auto"/>
              </w:rPr>
            </w:pPr>
          </w:p>
        </w:tc>
      </w:tr>
      <w:tr>
        <w:trPr>
          <w:trHeight w:val="216"/>
        </w:trPr>
        <w:tc>
          <w:tcPr>
            <w:tcW w:w="3000" w:type="dxa"/>
            <w:vAlign w:val="bottom"/>
          </w:tcPr>
          <w:p>
            <w:pPr>
              <w:ind w:left="240"/>
              <w:spacing w:after="0" w:line="216" w:lineRule="exact"/>
              <w:rPr>
                <w:sz w:val="20"/>
                <w:szCs w:val="20"/>
                <w:color w:val="auto"/>
              </w:rPr>
            </w:pPr>
            <w:r>
              <w:rPr>
                <w:rFonts w:ascii="Arial" w:cs="Arial" w:eastAsia="Arial" w:hAnsi="Arial"/>
                <w:sz w:val="16"/>
                <w:szCs w:val="16"/>
                <w:color w:val="auto"/>
              </w:rPr>
              <w:t>Warehouse Facility 2</w:t>
            </w:r>
            <w:r>
              <w:rPr>
                <w:rFonts w:ascii="Arial" w:cs="Arial" w:eastAsia="Arial" w:hAnsi="Arial"/>
                <w:sz w:val="21"/>
                <w:szCs w:val="21"/>
                <w:color w:val="auto"/>
                <w:vertAlign w:val="superscript"/>
              </w:rPr>
              <w:t>(C)</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165,821</w:t>
            </w: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color w:val="auto"/>
              </w:rPr>
              <w:t>November 2022</w:t>
            </w:r>
          </w:p>
        </w:tc>
        <w:tc>
          <w:tcPr>
            <w:tcW w:w="1520" w:type="dxa"/>
            <w:vAlign w:val="bottom"/>
            <w:gridSpan w:val="2"/>
          </w:tcPr>
          <w:p>
            <w:pPr>
              <w:jc w:val="center"/>
              <w:ind w:right="80"/>
              <w:spacing w:after="0"/>
              <w:rPr>
                <w:sz w:val="20"/>
                <w:szCs w:val="20"/>
                <w:color w:val="auto"/>
              </w:rPr>
            </w:pPr>
            <w:r>
              <w:rPr>
                <w:rFonts w:ascii="Arial" w:cs="Arial" w:eastAsia="Arial" w:hAnsi="Arial"/>
                <w:sz w:val="16"/>
                <w:szCs w:val="16"/>
                <w:color w:val="auto"/>
              </w:rPr>
              <w:t>May 2025</w:t>
            </w:r>
          </w:p>
        </w:tc>
        <w:tc>
          <w:tcPr>
            <w:tcW w:w="1180" w:type="dxa"/>
            <w:vAlign w:val="bottom"/>
          </w:tcPr>
          <w:p>
            <w:pPr>
              <w:jc w:val="right"/>
              <w:ind w:right="122"/>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169,871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61,007</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Warehouse Facility 3</w:t>
            </w:r>
            <w:r>
              <w:rPr>
                <w:rFonts w:ascii="Arial" w:cs="Arial" w:eastAsia="Arial" w:hAnsi="Arial"/>
                <w:sz w:val="21"/>
                <w:szCs w:val="21"/>
                <w:color w:val="auto"/>
                <w:vertAlign w:val="superscript"/>
              </w:rPr>
              <w:t>(D)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50,417</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October 2023</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October 2025</w:t>
            </w: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26,227</w:t>
            </w:r>
          </w:p>
        </w:tc>
        <w:tc>
          <w:tcPr>
            <w:tcW w:w="0" w:type="dxa"/>
            <w:vAlign w:val="bottom"/>
          </w:tcPr>
          <w:p>
            <w:pPr>
              <w:spacing w:after="0"/>
              <w:rPr>
                <w:sz w:val="1"/>
                <w:szCs w:val="1"/>
                <w:color w:val="auto"/>
              </w:rPr>
            </w:pPr>
          </w:p>
        </w:tc>
      </w:tr>
      <w:tr>
        <w:trPr>
          <w:trHeight w:val="216"/>
        </w:trPr>
        <w:tc>
          <w:tcPr>
            <w:tcW w:w="3000" w:type="dxa"/>
            <w:vAlign w:val="bottom"/>
          </w:tcPr>
          <w:p>
            <w:pPr>
              <w:ind w:left="240"/>
              <w:spacing w:after="0" w:line="216" w:lineRule="exact"/>
              <w:rPr>
                <w:sz w:val="20"/>
                <w:szCs w:val="20"/>
                <w:color w:val="auto"/>
              </w:rPr>
            </w:pPr>
            <w:r>
              <w:rPr>
                <w:rFonts w:ascii="Arial" w:cs="Arial" w:eastAsia="Arial" w:hAnsi="Arial"/>
                <w:sz w:val="16"/>
                <w:szCs w:val="16"/>
                <w:color w:val="auto"/>
              </w:rPr>
              <w:t>Warehouse Facility 4</w:t>
            </w:r>
            <w:r>
              <w:rPr>
                <w:rFonts w:ascii="Arial" w:cs="Arial" w:eastAsia="Arial" w:hAnsi="Arial"/>
                <w:sz w:val="21"/>
                <w:szCs w:val="21"/>
                <w:color w:val="auto"/>
                <w:vertAlign w:val="superscript"/>
              </w:rPr>
              <w:t>(E)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107,180</w:t>
            </w: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color w:val="auto"/>
              </w:rPr>
              <w:t>February 2023</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rPr>
              <w:t>January 2026</w:t>
            </w:r>
          </w:p>
        </w:tc>
        <w:tc>
          <w:tcPr>
            <w:tcW w:w="1180" w:type="dxa"/>
            <w:vAlign w:val="bottom"/>
          </w:tcPr>
          <w:p>
            <w:pPr>
              <w:jc w:val="right"/>
              <w:ind w:right="122"/>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108,811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68,568</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Warehouse Facility 5</w:t>
            </w:r>
            <w:r>
              <w:rPr>
                <w:rFonts w:ascii="Arial" w:cs="Arial" w:eastAsia="Arial" w:hAnsi="Arial"/>
                <w:sz w:val="21"/>
                <w:szCs w:val="21"/>
                <w:color w:val="auto"/>
                <w:vertAlign w:val="superscript"/>
              </w:rPr>
              <w:t>(F)</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12,646</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October 2023</w:t>
            </w: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n.a.</w:t>
            </w: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21,697</w:t>
            </w:r>
          </w:p>
        </w:tc>
        <w:tc>
          <w:tcPr>
            <w:tcW w:w="0" w:type="dxa"/>
            <w:vAlign w:val="bottom"/>
          </w:tcPr>
          <w:p>
            <w:pPr>
              <w:spacing w:after="0"/>
              <w:rPr>
                <w:sz w:val="1"/>
                <w:szCs w:val="1"/>
                <w:color w:val="auto"/>
              </w:rPr>
            </w:pPr>
          </w:p>
        </w:tc>
      </w:tr>
      <w:tr>
        <w:trPr>
          <w:trHeight w:val="216"/>
        </w:trPr>
        <w:tc>
          <w:tcPr>
            <w:tcW w:w="3000" w:type="dxa"/>
            <w:vAlign w:val="bottom"/>
          </w:tcPr>
          <w:p>
            <w:pPr>
              <w:ind w:left="240"/>
              <w:spacing w:after="0" w:line="216" w:lineRule="exact"/>
              <w:rPr>
                <w:sz w:val="20"/>
                <w:szCs w:val="20"/>
                <w:color w:val="auto"/>
              </w:rPr>
            </w:pPr>
            <w:r>
              <w:rPr>
                <w:rFonts w:ascii="Arial" w:cs="Arial" w:eastAsia="Arial" w:hAnsi="Arial"/>
                <w:sz w:val="16"/>
                <w:szCs w:val="16"/>
                <w:color w:val="auto"/>
              </w:rPr>
              <w:t>REIT Warehouse</w:t>
            </w:r>
            <w:r>
              <w:rPr>
                <w:rFonts w:ascii="Arial" w:cs="Arial" w:eastAsia="Arial" w:hAnsi="Arial"/>
                <w:sz w:val="21"/>
                <w:szCs w:val="21"/>
                <w:color w:val="auto"/>
                <w:vertAlign w:val="superscript"/>
              </w:rPr>
              <w:t>(F)</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55,540</w:t>
            </w: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color w:val="auto"/>
              </w:rPr>
              <w:t>October 2024</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rPr>
              <w:t>October 2025</w:t>
            </w:r>
          </w:p>
        </w:tc>
        <w:tc>
          <w:tcPr>
            <w:tcW w:w="1180" w:type="dxa"/>
            <w:vAlign w:val="bottom"/>
          </w:tcPr>
          <w:p>
            <w:pPr>
              <w:jc w:val="right"/>
              <w:ind w:right="122"/>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52,435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99,204</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Warehouse Facility 6</w:t>
            </w:r>
            <w:r>
              <w:rPr>
                <w:rFonts w:ascii="Arial" w:cs="Arial" w:eastAsia="Arial" w:hAnsi="Arial"/>
                <w:sz w:val="21"/>
                <w:szCs w:val="21"/>
                <w:color w:val="auto"/>
                <w:vertAlign w:val="superscript"/>
              </w:rPr>
              <w:t>(G)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May 2024</w:t>
            </w: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May 2026</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tcPr>
          <w:p>
            <w:pPr>
              <w:ind w:left="240"/>
              <w:spacing w:after="0" w:line="216" w:lineRule="exact"/>
              <w:rPr>
                <w:sz w:val="20"/>
                <w:szCs w:val="20"/>
                <w:color w:val="auto"/>
              </w:rPr>
            </w:pPr>
            <w:r>
              <w:rPr>
                <w:rFonts w:ascii="Arial" w:cs="Arial" w:eastAsia="Arial" w:hAnsi="Arial"/>
                <w:sz w:val="16"/>
                <w:szCs w:val="16"/>
                <w:color w:val="auto"/>
              </w:rPr>
              <w:t>Warehouse Facility 7</w:t>
            </w:r>
            <w:r>
              <w:rPr>
                <w:rFonts w:ascii="Arial" w:cs="Arial" w:eastAsia="Arial" w:hAnsi="Arial"/>
                <w:sz w:val="21"/>
                <w:szCs w:val="21"/>
                <w:color w:val="auto"/>
                <w:vertAlign w:val="superscript"/>
              </w:rPr>
              <w:t>(H)</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color w:val="auto"/>
              </w:rPr>
              <w:t>February 2023</w:t>
            </w:r>
          </w:p>
        </w:tc>
        <w:tc>
          <w:tcPr>
            <w:tcW w:w="1520" w:type="dxa"/>
            <w:vAlign w:val="bottom"/>
            <w:gridSpan w:val="2"/>
          </w:tcPr>
          <w:p>
            <w:pPr>
              <w:jc w:val="center"/>
              <w:ind w:right="80"/>
              <w:spacing w:after="0"/>
              <w:rPr>
                <w:sz w:val="20"/>
                <w:szCs w:val="20"/>
                <w:color w:val="auto"/>
              </w:rPr>
            </w:pPr>
            <w:r>
              <w:rPr>
                <w:rFonts w:ascii="Arial" w:cs="Arial" w:eastAsia="Arial" w:hAnsi="Arial"/>
                <w:sz w:val="16"/>
                <w:szCs w:val="16"/>
                <w:color w:val="auto"/>
              </w:rPr>
              <w:t>August 2025</w:t>
            </w: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Warehouse Facility 8</w:t>
            </w:r>
            <w:r>
              <w:rPr>
                <w:rFonts w:ascii="Arial" w:cs="Arial" w:eastAsia="Arial" w:hAnsi="Arial"/>
                <w:sz w:val="21"/>
                <w:szCs w:val="21"/>
                <w:color w:val="auto"/>
                <w:vertAlign w:val="superscript"/>
              </w:rPr>
              <w:t>(I)</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March 2022</w:t>
            </w: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December 2024</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tcBorders>
              <w:bottom w:val="single" w:sz="8" w:color="CCEEFF"/>
            </w:tcBorders>
          </w:tcPr>
          <w:p>
            <w:pPr>
              <w:ind w:left="240"/>
              <w:spacing w:after="0" w:line="216" w:lineRule="exact"/>
              <w:rPr>
                <w:sz w:val="20"/>
                <w:szCs w:val="20"/>
                <w:color w:val="auto"/>
              </w:rPr>
            </w:pPr>
            <w:r>
              <w:rPr>
                <w:rFonts w:ascii="Arial" w:cs="Arial" w:eastAsia="Arial" w:hAnsi="Arial"/>
                <w:sz w:val="16"/>
                <w:szCs w:val="16"/>
                <w:color w:val="auto"/>
              </w:rPr>
              <w:t>Warehouse Facility 9</w:t>
            </w:r>
            <w:r>
              <w:rPr>
                <w:rFonts w:ascii="Arial" w:cs="Arial" w:eastAsia="Arial" w:hAnsi="Arial"/>
                <w:sz w:val="21"/>
                <w:szCs w:val="21"/>
                <w:color w:val="auto"/>
                <w:vertAlign w:val="superscript"/>
              </w:rPr>
              <w:t>(F)</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6"/>
                <w:szCs w:val="16"/>
                <w:color w:val="auto"/>
              </w:rPr>
              <w:t>March 2024</w:t>
            </w:r>
          </w:p>
        </w:tc>
        <w:tc>
          <w:tcPr>
            <w:tcW w:w="15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rPr>
              <w:t>March 2025</w:t>
            </w:r>
          </w:p>
        </w:tc>
        <w:tc>
          <w:tcPr>
            <w:tcW w:w="1280" w:type="dxa"/>
            <w:vAlign w:val="bottom"/>
            <w:tcBorders>
              <w:bottom w:val="single" w:sz="8" w:color="CCEEFF"/>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861</w:t>
            </w: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funding debt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418,529</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305,850</w:t>
            </w:r>
          </w:p>
        </w:tc>
        <w:tc>
          <w:tcPr>
            <w:tcW w:w="0" w:type="dxa"/>
            <w:vAlign w:val="bottom"/>
          </w:tcPr>
          <w:p>
            <w:pPr>
              <w:spacing w:after="0"/>
              <w:rPr>
                <w:sz w:val="1"/>
                <w:szCs w:val="1"/>
                <w:color w:val="auto"/>
              </w:rPr>
            </w:pPr>
          </w:p>
        </w:tc>
      </w:tr>
      <w:tr>
        <w:trPr>
          <w:trHeight w:val="216"/>
        </w:trPr>
        <w:tc>
          <w:tcPr>
            <w:tcW w:w="300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MSR Financing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Lender 1</w:t>
            </w:r>
            <w:r>
              <w:rPr>
                <w:rFonts w:ascii="Arial" w:cs="Arial" w:eastAsia="Arial" w:hAnsi="Arial"/>
                <w:sz w:val="21"/>
                <w:szCs w:val="21"/>
                <w:color w:val="auto"/>
                <w:vertAlign w:val="superscript"/>
              </w:rPr>
              <w:t>(J)</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June 2024</w:t>
            </w: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June 2026</w:t>
            </w: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61,638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40,000</w:t>
            </w:r>
          </w:p>
        </w:tc>
        <w:tc>
          <w:tcPr>
            <w:tcW w:w="0" w:type="dxa"/>
            <w:vAlign w:val="bottom"/>
          </w:tcPr>
          <w:p>
            <w:pPr>
              <w:spacing w:after="0"/>
              <w:rPr>
                <w:sz w:val="1"/>
                <w:szCs w:val="1"/>
                <w:color w:val="auto"/>
              </w:rPr>
            </w:pPr>
          </w:p>
        </w:tc>
      </w:tr>
      <w:tr>
        <w:trPr>
          <w:trHeight w:val="209"/>
        </w:trPr>
        <w:tc>
          <w:tcPr>
            <w:tcW w:w="3000" w:type="dxa"/>
            <w:vAlign w:val="bottom"/>
          </w:tcPr>
          <w:p>
            <w:pPr>
              <w:ind w:left="240"/>
              <w:spacing w:after="0"/>
              <w:rPr>
                <w:sz w:val="20"/>
                <w:szCs w:val="20"/>
                <w:color w:val="auto"/>
              </w:rPr>
            </w:pPr>
            <w:r>
              <w:rPr>
                <w:rFonts w:ascii="Arial" w:cs="Arial" w:eastAsia="Arial" w:hAnsi="Arial"/>
                <w:sz w:val="16"/>
                <w:szCs w:val="16"/>
                <w:color w:val="auto"/>
              </w:rPr>
              <w:t>Total MSR Financing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40,000</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40,000</w:t>
            </w:r>
          </w:p>
        </w:tc>
        <w:tc>
          <w:tcPr>
            <w:tcW w:w="0" w:type="dxa"/>
            <w:vAlign w:val="bottom"/>
          </w:tcPr>
          <w:p>
            <w:pPr>
              <w:spacing w:after="0"/>
              <w:rPr>
                <w:sz w:val="1"/>
                <w:szCs w:val="1"/>
                <w:color w:val="auto"/>
              </w:rPr>
            </w:pPr>
          </w:p>
        </w:tc>
      </w:tr>
      <w:tr>
        <w:trPr>
          <w:trHeight w:val="217"/>
        </w:trPr>
        <w:tc>
          <w:tcPr>
            <w:tcW w:w="3000" w:type="dxa"/>
            <w:vAlign w:val="bottom"/>
            <w:shd w:val="clear" w:color="auto" w:fill="CCEEFF"/>
          </w:tcPr>
          <w:p>
            <w:pPr>
              <w:ind w:left="100"/>
              <w:spacing w:after="0"/>
              <w:rPr>
                <w:sz w:val="20"/>
                <w:szCs w:val="20"/>
                <w:color w:val="auto"/>
              </w:rPr>
            </w:pPr>
            <w:r>
              <w:rPr>
                <w:rFonts w:ascii="Arial" w:cs="Arial" w:eastAsia="Arial" w:hAnsi="Arial"/>
                <w:sz w:val="16"/>
                <w:szCs w:val="16"/>
                <w:b w:val="1"/>
                <w:bCs w:val="1"/>
                <w:i w:val="1"/>
                <w:iCs w:val="1"/>
                <w:color w:val="auto"/>
              </w:rPr>
              <w:t>Financed Retained Interests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Borders>
              <w:bottom w:val="single" w:sz="8" w:color="CCEEFF"/>
            </w:tcBorders>
          </w:tcPr>
          <w:p>
            <w:pPr>
              <w:ind w:left="360"/>
              <w:spacing w:after="0" w:line="216" w:lineRule="exact"/>
              <w:rPr>
                <w:sz w:val="20"/>
                <w:szCs w:val="20"/>
                <w:color w:val="auto"/>
              </w:rPr>
            </w:pPr>
            <w:r>
              <w:rPr>
                <w:rFonts w:ascii="Arial" w:cs="Arial" w:eastAsia="Arial" w:hAnsi="Arial"/>
                <w:sz w:val="16"/>
                <w:szCs w:val="16"/>
                <w:color w:val="auto"/>
              </w:rPr>
              <w:t>Retained Interest Facility</w:t>
            </w:r>
            <w:r>
              <w:rPr>
                <w:rFonts w:ascii="Arial" w:cs="Arial" w:eastAsia="Arial" w:hAnsi="Arial"/>
                <w:sz w:val="21"/>
                <w:szCs w:val="21"/>
                <w:color w:val="auto"/>
                <w:vertAlign w:val="superscript"/>
              </w:rPr>
              <w:t>(K)</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152,709</w:t>
            </w:r>
          </w:p>
        </w:tc>
        <w:tc>
          <w:tcPr>
            <w:tcW w:w="8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6"/>
                <w:szCs w:val="16"/>
                <w:color w:val="auto"/>
              </w:rPr>
              <w:t>April 2023</w:t>
            </w:r>
          </w:p>
        </w:tc>
        <w:tc>
          <w:tcPr>
            <w:tcW w:w="15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rPr>
              <w:t>Various(L)</w:t>
            </w:r>
          </w:p>
        </w:tc>
        <w:tc>
          <w:tcPr>
            <w:tcW w:w="1180" w:type="dxa"/>
            <w:vAlign w:val="bottom"/>
            <w:tcBorders>
              <w:bottom w:val="single" w:sz="8" w:color="CCEEFF"/>
            </w:tcBorders>
          </w:tcPr>
          <w:p>
            <w:pPr>
              <w:jc w:val="right"/>
              <w:ind w:right="122"/>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152,863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129,005</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Financed Retained Interests</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152,709</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129,005</w:t>
            </w:r>
          </w:p>
        </w:tc>
        <w:tc>
          <w:tcPr>
            <w:tcW w:w="0" w:type="dxa"/>
            <w:vAlign w:val="bottom"/>
          </w:tcPr>
          <w:p>
            <w:pPr>
              <w:spacing w:after="0"/>
              <w:rPr>
                <w:sz w:val="1"/>
                <w:szCs w:val="1"/>
                <w:color w:val="auto"/>
              </w:rPr>
            </w:pPr>
          </w:p>
        </w:tc>
      </w:tr>
      <w:tr>
        <w:trPr>
          <w:trHeight w:val="210"/>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Total Debt Carried at Cost, Gross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611,238</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474,855</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Unamortized deferred financing costs</w:t>
            </w:r>
            <w:r>
              <w:rPr>
                <w:rFonts w:ascii="Arial" w:cs="Arial" w:eastAsia="Arial" w:hAnsi="Arial"/>
                <w:sz w:val="21"/>
                <w:szCs w:val="21"/>
                <w:color w:val="auto"/>
                <w:vertAlign w:val="superscript"/>
              </w:rPr>
              <w:t>(M)</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210"/>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Total Debt Carried at Cost,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609,532</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473,176</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Debt at Fair Value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Borders>
              <w:bottom w:val="single" w:sz="8" w:color="CCEEFF"/>
            </w:tcBorders>
          </w:tcPr>
          <w:p>
            <w:pPr>
              <w:ind w:left="240"/>
              <w:spacing w:after="0" w:line="216" w:lineRule="exact"/>
              <w:rPr>
                <w:sz w:val="20"/>
                <w:szCs w:val="20"/>
                <w:color w:val="auto"/>
              </w:rPr>
            </w:pPr>
            <w:r>
              <w:rPr>
                <w:rFonts w:ascii="Arial" w:cs="Arial" w:eastAsia="Arial" w:hAnsi="Arial"/>
                <w:sz w:val="16"/>
                <w:szCs w:val="16"/>
                <w:color w:val="auto"/>
              </w:rPr>
              <w:t>FCC</w:t>
            </w:r>
            <w:r>
              <w:rPr>
                <w:rFonts w:ascii="Arial" w:cs="Arial" w:eastAsia="Arial" w:hAnsi="Arial"/>
                <w:sz w:val="21"/>
                <w:szCs w:val="21"/>
                <w:color w:val="auto"/>
                <w:vertAlign w:val="superscript"/>
              </w:rPr>
              <w:t>(N)</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Debt at Fair Value</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Total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609,733</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473,176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line="252" w:lineRule="auto"/>
        <w:tabs>
          <w:tab w:leader="none" w:pos="3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Debt obligations with a stated maturity through the date of issuance of the condensed combined consolidated financial statements were refinanced, extended or repaid.</w:t>
      </w:r>
    </w:p>
    <w:p>
      <w:pPr>
        <w:spacing w:after="0" w:line="1" w:lineRule="exact"/>
        <w:rPr>
          <w:rFonts w:ascii="Arial" w:cs="Arial" w:eastAsia="Arial" w:hAnsi="Arial"/>
          <w:sz w:val="16"/>
          <w:szCs w:val="16"/>
          <w:color w:val="auto"/>
        </w:rPr>
      </w:pPr>
    </w:p>
    <w:p>
      <w:pPr>
        <w:ind w:left="340" w:hanging="332"/>
        <w:spacing w:after="0" w:line="255" w:lineRule="auto"/>
        <w:tabs>
          <w:tab w:leader="none" w:pos="3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Warehouse Facility 1 bears variable interest at an annual benchmark rate of Secured Financing Overnight Rate (“SOFR”) plus a spread of 4.9% at March 31, 2025.</w:t>
      </w:r>
    </w:p>
    <w:p>
      <w:pPr>
        <w:ind w:left="340" w:hanging="332"/>
        <w:spacing w:after="0" w:line="249" w:lineRule="auto"/>
        <w:tabs>
          <w:tab w:leader="none" w:pos="33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Warehouse Facility 2 bears interest at SOFR plus a spread of 3.0% at March 31, 2025. The facility also carries a 0.5% exit fee on repurchased, non-securitized loans.</w:t>
      </w:r>
    </w:p>
    <w:p>
      <w:pPr>
        <w:jc w:val="both"/>
        <w:ind w:left="340" w:hanging="332"/>
        <w:spacing w:after="0" w:line="264" w:lineRule="auto"/>
        <w:tabs>
          <w:tab w:leader="none" w:pos="33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Under Warehouse Facility 3, the interest accrued on the loans is payable to the lender during the period the loans are held, and the Company will pay a variable exit fee, which is determined on a quarterly basis as follows: (i) the first $50.0 million of principal balance repurchased is subject to a 0.5% exit fee, and (ii) amounts in excess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134" w:right="339" w:bottom="1440" w:gutter="0" w:footer="0" w:header="0"/>
        </w:sectPr>
      </w:pPr>
    </w:p>
    <w:bookmarkStart w:id="283" w:name="page284"/>
    <w:bookmarkEnd w:id="283"/>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41" w:lineRule="exact"/>
        <w:rPr>
          <w:sz w:val="20"/>
          <w:szCs w:val="20"/>
          <w:color w:val="auto"/>
        </w:rPr>
      </w:pPr>
    </w:p>
    <w:p>
      <w:pPr>
        <w:ind w:left="340" w:right="20"/>
        <w:spacing w:after="0" w:line="263" w:lineRule="auto"/>
        <w:rPr>
          <w:sz w:val="20"/>
          <w:szCs w:val="20"/>
          <w:color w:val="auto"/>
        </w:rPr>
      </w:pPr>
      <w:r>
        <w:rPr>
          <w:rFonts w:ascii="Arial" w:cs="Arial" w:eastAsia="Arial" w:hAnsi="Arial"/>
          <w:sz w:val="16"/>
          <w:szCs w:val="16"/>
          <w:color w:val="auto"/>
        </w:rPr>
        <w:t>of $50.0 million are subject to an exit fee that are between 0.125% to 1.50% of the price at which the Company securitizes repurchased loans (or otherwise agreed between the Company and the lender for repurchased loans not securitized).</w:t>
      </w:r>
    </w:p>
    <w:p>
      <w:pPr>
        <w:ind w:left="340" w:hanging="332"/>
        <w:spacing w:after="0" w:line="255" w:lineRule="auto"/>
        <w:tabs>
          <w:tab w:leader="none" w:pos="3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Warehouse Facility 4 bears variable interest at SOFR plus a spread between 3.5% and 7.5% at March 31, 2025. A portion of the facility is also subject to a 0.5% non-use fee.</w:t>
      </w:r>
    </w:p>
    <w:p>
      <w:pPr>
        <w:ind w:left="320" w:hanging="312"/>
        <w:spacing w:after="0"/>
        <w:tabs>
          <w:tab w:leader="none" w:pos="3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interest accrued from the collateral under the loans is payable to the lender during the period the loans are held.</w:t>
      </w:r>
    </w:p>
    <w:p>
      <w:pPr>
        <w:spacing w:after="0" w:line="8" w:lineRule="exact"/>
        <w:rPr>
          <w:rFonts w:ascii="Arial" w:cs="Arial" w:eastAsia="Arial" w:hAnsi="Arial"/>
          <w:sz w:val="16"/>
          <w:szCs w:val="16"/>
          <w:color w:val="auto"/>
        </w:rPr>
      </w:pPr>
    </w:p>
    <w:p>
      <w:pPr>
        <w:ind w:left="340" w:hanging="332"/>
        <w:spacing w:after="0" w:line="252" w:lineRule="auto"/>
        <w:tabs>
          <w:tab w:leader="none" w:pos="331"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Warehouse Facility 6 bears interest at SOFR, plus a spread of 3.5% at March 31, 2025. The facility also carries a 0.5% exit fee on all loans repurchased from the facility.</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Warehouse Facility 7 bears interest at SOFR, plus a spread of 3.5% at March 31, 2025.</w:t>
      </w:r>
    </w:p>
    <w:p>
      <w:pPr>
        <w:spacing w:after="0" w:line="8" w:lineRule="exact"/>
        <w:rPr>
          <w:rFonts w:ascii="Arial" w:cs="Arial" w:eastAsia="Arial" w:hAnsi="Arial"/>
          <w:sz w:val="16"/>
          <w:szCs w:val="16"/>
          <w:color w:val="auto"/>
        </w:rPr>
      </w:pPr>
    </w:p>
    <w:p>
      <w:pPr>
        <w:ind w:left="320" w:hanging="312"/>
        <w:spacing w:after="0"/>
        <w:tabs>
          <w:tab w:leader="none" w:pos="3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Warehouse Facility 8 was closed in December 2024.</w:t>
      </w:r>
    </w:p>
    <w:p>
      <w:pPr>
        <w:spacing w:after="0" w:line="14" w:lineRule="exact"/>
        <w:rPr>
          <w:rFonts w:ascii="Arial" w:cs="Arial" w:eastAsia="Arial" w:hAnsi="Arial"/>
          <w:sz w:val="16"/>
          <w:szCs w:val="16"/>
          <w:color w:val="auto"/>
        </w:rPr>
      </w:pPr>
    </w:p>
    <w:p>
      <w:pPr>
        <w:ind w:left="340" w:hanging="332"/>
        <w:spacing w:after="0" w:line="249" w:lineRule="auto"/>
        <w:tabs>
          <w:tab w:leader="none" w:pos="3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MSR Note bears interest at 16.5% per annum and secured by eligible servicing assets, which include servicing fees related to loan servicing rights owned by, or delegated to, the Company.</w:t>
      </w:r>
    </w:p>
    <w:p>
      <w:pPr>
        <w:ind w:left="340" w:hanging="332"/>
        <w:spacing w:after="0" w:line="255" w:lineRule="auto"/>
        <w:tabs>
          <w:tab w:leader="none" w:pos="3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Under the Retained Interest Facility, the interest accrued on the securities and beneficial interests is payable to the lender during the period the loans are held plus a spread between 0.50% and 0.55%, depending on the tranche to which the Company pledges collateral.</w:t>
      </w:r>
    </w:p>
    <w:p>
      <w:pPr>
        <w:ind w:left="340" w:hanging="332"/>
        <w:spacing w:after="0" w:line="252" w:lineRule="auto"/>
        <w:tabs>
          <w:tab w:leader="none" w:pos="33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maturities of financed retained interests align with the terms of the underlying securities. The financed retained interest have maturity dates through March 2055.</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During the three months ended March 31, 2025 and 2024, the Company amortized $0.3 million and $0.6 million of deferred financing costs, respectively.</w:t>
      </w:r>
    </w:p>
    <w:p>
      <w:pPr>
        <w:spacing w:after="0" w:line="8" w:lineRule="exact"/>
        <w:rPr>
          <w:rFonts w:ascii="Arial" w:cs="Arial" w:eastAsia="Arial" w:hAnsi="Arial"/>
          <w:sz w:val="16"/>
          <w:szCs w:val="16"/>
          <w:color w:val="auto"/>
        </w:rPr>
      </w:pPr>
    </w:p>
    <w:p>
      <w:pPr>
        <w:ind w:left="340" w:hanging="332"/>
        <w:spacing w:after="0" w:line="283" w:lineRule="auto"/>
        <w:tabs>
          <w:tab w:leader="none" w:pos="33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Interest accrues at a rate of SOFR less 0.5% based on the face-amount certificates issued by FCC. Certificates mature 20 years from the issue date, but may be surrendered at any time by the holder at face amount, plus accrued interest minus any applicable expenses or fees.</w:t>
      </w:r>
    </w:p>
    <w:p>
      <w:pPr>
        <w:spacing w:after="0" w:line="100"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Maturities</w:t>
      </w:r>
    </w:p>
    <w:p>
      <w:pPr>
        <w:spacing w:after="0" w:line="169"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Contractual maturities of recourse and nonrecourse debt obligations at March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80" w:type="dxa"/>
            <w:vAlign w:val="bottom"/>
          </w:tcPr>
          <w:p>
            <w:pPr>
              <w:spacing w:after="0"/>
              <w:rPr>
                <w:sz w:val="17"/>
                <w:szCs w:val="17"/>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Recourse</w:t>
            </w:r>
          </w:p>
        </w:tc>
        <w:tc>
          <w:tcPr>
            <w:tcW w:w="240" w:type="dxa"/>
            <w:vAlign w:val="bottom"/>
          </w:tcPr>
          <w:p>
            <w:pPr>
              <w:spacing w:after="0"/>
              <w:rPr>
                <w:sz w:val="17"/>
                <w:szCs w:val="17"/>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Nonrecourse</w:t>
            </w:r>
          </w:p>
        </w:tc>
        <w:tc>
          <w:tcPr>
            <w:tcW w:w="380" w:type="dxa"/>
            <w:vAlign w:val="bottom"/>
          </w:tcPr>
          <w:p>
            <w:pPr>
              <w:spacing w:after="0"/>
              <w:rPr>
                <w:sz w:val="17"/>
                <w:szCs w:val="17"/>
                <w:color w:val="auto"/>
              </w:rPr>
            </w:pPr>
          </w:p>
        </w:tc>
        <w:tc>
          <w:tcPr>
            <w:tcW w:w="1200" w:type="dxa"/>
            <w:vAlign w:val="bottom"/>
          </w:tcPr>
          <w:p>
            <w:pPr>
              <w:jc w:val="right"/>
              <w:ind w:right="532"/>
              <w:spacing w:after="0"/>
              <w:rPr>
                <w:sz w:val="20"/>
                <w:szCs w:val="20"/>
                <w:color w:val="auto"/>
              </w:rPr>
            </w:pPr>
            <w:r>
              <w:rPr>
                <w:rFonts w:ascii="Arial" w:cs="Arial" w:eastAsia="Arial" w:hAnsi="Arial"/>
                <w:sz w:val="14"/>
                <w:szCs w:val="14"/>
                <w:b w:val="1"/>
                <w:bCs w:val="1"/>
                <w:color w:val="auto"/>
              </w:rPr>
              <w:t>Total</w:t>
            </w:r>
          </w:p>
        </w:tc>
      </w:tr>
      <w:tr>
        <w:trPr>
          <w:trHeight w:val="224"/>
        </w:trPr>
        <w:tc>
          <w:tcPr>
            <w:tcW w:w="6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2025 (remainder)</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165,821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133,082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298,903</w:t>
            </w: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147,180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147,180</w:t>
            </w: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152,709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152,709</w:t>
            </w:r>
          </w:p>
        </w:tc>
      </w:tr>
      <w:tr>
        <w:trPr>
          <w:trHeight w:val="275"/>
        </w:trPr>
        <w:tc>
          <w:tcPr>
            <w:tcW w:w="622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313,001</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285,791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598,792</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34" w:right="339" w:bottom="1440" w:gutter="0" w:footer="0" w:header="0"/>
        </w:sectPr>
      </w:pPr>
    </w:p>
    <w:bookmarkStart w:id="284" w:name="page285"/>
    <w:bookmarkEnd w:id="284"/>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Borrowing Capacity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borrowing capacity of committed debt facilities at March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March 31, 2025</w:t>
            </w: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197"/>
        </w:trPr>
        <w:tc>
          <w:tcPr>
            <w:tcW w:w="6320" w:type="dxa"/>
            <w:vAlign w:val="bottom"/>
            <w:gridSpan w:val="2"/>
          </w:tcPr>
          <w:p>
            <w:pPr>
              <w:ind w:left="20"/>
              <w:spacing w:after="0"/>
              <w:rPr>
                <w:sz w:val="20"/>
                <w:szCs w:val="20"/>
                <w:color w:val="auto"/>
              </w:rPr>
            </w:pPr>
            <w:r>
              <w:rPr>
                <w:rFonts w:ascii="Arial" w:cs="Arial" w:eastAsia="Arial" w:hAnsi="Arial"/>
                <w:sz w:val="14"/>
                <w:szCs w:val="14"/>
                <w:b w:val="1"/>
                <w:bCs w:val="1"/>
                <w:color w:val="auto"/>
              </w:rPr>
              <w:t>Debt</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Borrowing Capacity</w:t>
            </w:r>
          </w:p>
        </w:tc>
        <w:tc>
          <w:tcPr>
            <w:tcW w:w="1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Balance Outstanding</w:t>
            </w:r>
          </w:p>
        </w:tc>
        <w:tc>
          <w:tcPr>
            <w:tcW w:w="120" w:type="dxa"/>
            <w:vAlign w:val="bottom"/>
          </w:tcPr>
          <w:p>
            <w:pPr>
              <w:spacing w:after="0"/>
              <w:rPr>
                <w:sz w:val="17"/>
                <w:szCs w:val="17"/>
                <w:color w:val="auto"/>
              </w:rPr>
            </w:pPr>
          </w:p>
        </w:tc>
        <w:tc>
          <w:tcPr>
            <w:tcW w:w="1460" w:type="dxa"/>
            <w:vAlign w:val="bottom"/>
          </w:tcPr>
          <w:p>
            <w:pPr>
              <w:jc w:val="right"/>
              <w:ind w:right="31"/>
              <w:spacing w:after="0"/>
              <w:rPr>
                <w:sz w:val="20"/>
                <w:szCs w:val="20"/>
                <w:color w:val="auto"/>
              </w:rPr>
            </w:pPr>
            <w:r>
              <w:rPr>
                <w:rFonts w:ascii="Arial" w:cs="Arial" w:eastAsia="Arial" w:hAnsi="Arial"/>
                <w:sz w:val="14"/>
                <w:szCs w:val="14"/>
                <w:b w:val="1"/>
                <w:bCs w:val="1"/>
                <w:color w:val="auto"/>
              </w:rPr>
              <w:t>Available Financing</w:t>
            </w:r>
          </w:p>
        </w:tc>
      </w:tr>
      <w:tr>
        <w:trPr>
          <w:trHeight w:val="224"/>
        </w:trPr>
        <w:tc>
          <w:tcPr>
            <w:tcW w:w="6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Funding Debt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r>
      <w:tr>
        <w:trPr>
          <w:trHeight w:val="230"/>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Warehouse Facility 1</w:t>
            </w: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26,925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223,075</w:t>
            </w:r>
          </w:p>
        </w:tc>
      </w:tr>
      <w:tr>
        <w:trPr>
          <w:trHeight w:val="229"/>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Warehouse Facility 2</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184,179</w:t>
            </w:r>
          </w:p>
        </w:tc>
      </w:tr>
      <w:tr>
        <w:trPr>
          <w:trHeight w:val="230"/>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Warehouse Facility 3</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50,417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49,583</w:t>
            </w:r>
          </w:p>
        </w:tc>
      </w:tr>
      <w:tr>
        <w:trPr>
          <w:trHeight w:val="229"/>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Warehouse Facility 4</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228,120</w:t>
            </w:r>
          </w:p>
        </w:tc>
      </w:tr>
      <w:tr>
        <w:trPr>
          <w:trHeight w:val="229"/>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REIT</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55,540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94,460</w:t>
            </w:r>
          </w:p>
        </w:tc>
      </w:tr>
      <w:tr>
        <w:trPr>
          <w:trHeight w:val="230"/>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Warehouse Facility 6</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r>
      <w:tr>
        <w:trPr>
          <w:trHeight w:val="229"/>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Warehouse Facility 7</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Warehouse Facility 8</w:t>
            </w: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Warehouse Facility 9</w:t>
            </w:r>
          </w:p>
        </w:tc>
        <w:tc>
          <w:tcPr>
            <w:tcW w:w="4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MSR Financing</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Lender 1</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Financed Retained Interests</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63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Retained Interest Facility</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152,709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97,291</w:t>
            </w:r>
          </w:p>
        </w:tc>
      </w:tr>
      <w:tr>
        <w:trPr>
          <w:trHeight w:val="275"/>
        </w:trPr>
        <w:tc>
          <w:tcPr>
            <w:tcW w:w="6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1,726,300</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598,592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1,127,708</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debt obligations are subject to customary loan covenants, such as minimum tangible net worth, minimum liquidity, maximum leverage ratios, required range of net income or loss during specified periods, periodic financial reporting requirements, and event of default provisions, including event of default provisions triggered by certain specified declines in the Company’s equity or a failure to maintain a specified tangible net worth, liquidity, or indebtedness to tangible net worth ratio. The Company was in compliance with all of its debt covenants at March 31, 2025.</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Facilities</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following summarizes the debt facilities that the Company entered into or amended during the three months ended March 31, 2025 and during the year ended December 31, 2024.</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Warehouse Facility 2</w:t>
      </w:r>
    </w:p>
    <w:p>
      <w:pPr>
        <w:spacing w:after="0" w:line="171"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In December 2024, the Company amended Warehouse Facility 2 to reduce the borrowing limit to $350.0 million and to lower the interest rate from SOFR plus a spread of 4% to SOFR plus a spread of 3%.</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Warehouse Facility 3</w:t>
      </w:r>
    </w:p>
    <w:p>
      <w:pPr>
        <w:spacing w:after="0" w:line="171"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In February 2024, the Company amended Warehouse Facility 3 to temporarily increase the borrowing limit from $100.0 million to $200.0 million for the period February 1, 2024 through April 30, 2024.</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Warehouse Facility 4</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March 2024, the Company amended Warehouse Facility 4 to establish a second class of buyer under the facility. Borrowings to Class A and Class B Buyers were limited to $200.0 million and $37.50 million, respectively, with an aggregate borrowing limit of $237.50 million. On January 29, 2025, the Company amended Warehouse Facility 4 to increase the aggregate borrowing limit to $335.3 million and extend the maturity date to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34" w:right="339" w:bottom="1440" w:gutter="0" w:footer="0" w:header="0"/>
        </w:sectPr>
      </w:pPr>
    </w:p>
    <w:bookmarkStart w:id="285" w:name="page286"/>
    <w:bookmarkEnd w:id="285"/>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REIT Warehouse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October 2024, the Company entered into a secured warehouse credit facility with a borrowing limit of $150.0 million.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MSR Note</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June 2024, the Company entered into a loan and security agreement with Lender 1 under which the Company borrowed the MSR Note that had an initial borrowing limit of $30.0 million. In September 2024, the Company and Lender 1 amended the MSR Note to increase the borrowing limit to $40.0 million.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FCC</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During the three months ended March 31, 2025, FCC issued $ 0.2 million face-amount certificates to third parties, redeemable upon redemption of YLDS. The certificates entitle the certificate owner to receive, at certificate maturity, a stated amount of money, interest, or credits declared from time to time by FCC, at its discretion. The certificates issued by FCC are not insured by any government agency or other entity.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EQUITY</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These financial statements combine the capital structures and operations of FTI and Markets, both of which issued common and convertible preferred shares as well as equity awards in the form of options on and after the Reorganization (Note 2). In addition to common and preferred shares, and options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34" w:right="339" w:bottom="1440" w:gutter="0" w:footer="0" w:header="0"/>
        </w:sectPr>
      </w:pPr>
    </w:p>
    <w:bookmarkStart w:id="286" w:name="page287"/>
    <w:bookmarkEnd w:id="286"/>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3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FTI issued equity awards in the form of RSAs and Markets issued warrants. Unless otherwise stated, the terms of each equity instrument applies to each respective entity.</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equity instruments at March 31,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4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2025</w:t>
            </w: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197"/>
        </w:trPr>
        <w:tc>
          <w:tcPr>
            <w:tcW w:w="3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ind w:left="460"/>
              <w:spacing w:after="0" w:line="197" w:lineRule="exact"/>
              <w:rPr>
                <w:sz w:val="20"/>
                <w:szCs w:val="20"/>
                <w:color w:val="auto"/>
              </w:rPr>
            </w:pPr>
            <w:r>
              <w:rPr>
                <w:rFonts w:ascii="Arial" w:cs="Arial" w:eastAsia="Arial" w:hAnsi="Arial"/>
                <w:sz w:val="14"/>
                <w:szCs w:val="14"/>
                <w:b w:val="1"/>
                <w:bCs w:val="1"/>
                <w:color w:val="auto"/>
              </w:rPr>
              <w:t>Issued and Outstanding</w:t>
            </w:r>
            <w:r>
              <w:rPr>
                <w:rFonts w:ascii="Arial" w:cs="Arial" w:eastAsia="Arial" w:hAnsi="Arial"/>
                <w:sz w:val="18"/>
                <w:szCs w:val="18"/>
                <w:b w:val="1"/>
                <w:bCs w:val="1"/>
                <w:color w:val="auto"/>
                <w:vertAlign w:val="superscript"/>
              </w:rPr>
              <w:t>(A)</w:t>
            </w:r>
          </w:p>
        </w:tc>
        <w:tc>
          <w:tcPr>
            <w:tcW w:w="1380" w:type="dxa"/>
            <w:vAlign w:val="bottom"/>
            <w:tcBorders>
              <w:bottom w:val="single" w:sz="8" w:color="auto"/>
            </w:tcBorders>
          </w:tcPr>
          <w:p>
            <w:pPr>
              <w:spacing w:after="0"/>
              <w:rPr>
                <w:sz w:val="17"/>
                <w:szCs w:val="17"/>
                <w:color w:val="auto"/>
              </w:rPr>
            </w:pPr>
          </w:p>
        </w:tc>
      </w:tr>
      <w:tr>
        <w:trPr>
          <w:trHeight w:val="196"/>
        </w:trPr>
        <w:tc>
          <w:tcPr>
            <w:tcW w:w="374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Authorized Shares</w:t>
            </w:r>
          </w:p>
        </w:tc>
        <w:tc>
          <w:tcPr>
            <w:tcW w:w="1500" w:type="dxa"/>
            <w:vAlign w:val="bottom"/>
          </w:tcPr>
          <w:p>
            <w:pPr>
              <w:jc w:val="right"/>
              <w:ind w:right="353"/>
              <w:spacing w:after="0" w:line="196"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8"/>
                <w:szCs w:val="18"/>
                <w:b w:val="1"/>
                <w:bCs w:val="1"/>
                <w:color w:val="auto"/>
                <w:vertAlign w:val="superscript"/>
              </w:rPr>
              <w:t>(B)</w:t>
            </w:r>
          </w:p>
        </w:tc>
        <w:tc>
          <w:tcPr>
            <w:tcW w:w="100" w:type="dxa"/>
            <w:vAlign w:val="bottom"/>
          </w:tcPr>
          <w:p>
            <w:pPr>
              <w:spacing w:after="0"/>
              <w:rPr>
                <w:sz w:val="17"/>
                <w:szCs w:val="17"/>
                <w:color w:val="auto"/>
              </w:rPr>
            </w:pPr>
          </w:p>
        </w:tc>
        <w:tc>
          <w:tcPr>
            <w:tcW w:w="1460" w:type="dxa"/>
            <w:vAlign w:val="bottom"/>
            <w:gridSpan w:val="2"/>
          </w:tcPr>
          <w:p>
            <w:pPr>
              <w:ind w:left="360"/>
              <w:spacing w:after="0"/>
              <w:rPr>
                <w:sz w:val="20"/>
                <w:szCs w:val="20"/>
                <w:color w:val="auto"/>
              </w:rPr>
            </w:pPr>
            <w:r>
              <w:rPr>
                <w:rFonts w:ascii="Arial" w:cs="Arial" w:eastAsia="Arial" w:hAnsi="Arial"/>
                <w:sz w:val="14"/>
                <w:szCs w:val="14"/>
                <w:b w:val="1"/>
                <w:bCs w:val="1"/>
                <w:color w:val="auto"/>
              </w:rPr>
              <w:t>Warrants</w:t>
            </w:r>
          </w:p>
        </w:tc>
        <w:tc>
          <w:tcPr>
            <w:tcW w:w="1460" w:type="dxa"/>
            <w:vAlign w:val="bottom"/>
            <w:gridSpan w:val="2"/>
          </w:tcPr>
          <w:p>
            <w:pPr>
              <w:ind w:left="400"/>
              <w:spacing w:after="0"/>
              <w:rPr>
                <w:sz w:val="20"/>
                <w:szCs w:val="20"/>
                <w:color w:val="auto"/>
              </w:rPr>
            </w:pPr>
            <w:r>
              <w:rPr>
                <w:rFonts w:ascii="Arial" w:cs="Arial" w:eastAsia="Arial" w:hAnsi="Arial"/>
                <w:sz w:val="14"/>
                <w:szCs w:val="14"/>
                <w:b w:val="1"/>
                <w:bCs w:val="1"/>
                <w:color w:val="auto"/>
              </w:rPr>
              <w:t>Options</w:t>
            </w:r>
          </w:p>
        </w:tc>
        <w:tc>
          <w:tcPr>
            <w:tcW w:w="1380" w:type="dxa"/>
            <w:vAlign w:val="bottom"/>
          </w:tcPr>
          <w:p>
            <w:pPr>
              <w:jc w:val="right"/>
              <w:ind w:right="453"/>
              <w:spacing w:after="0"/>
              <w:rPr>
                <w:sz w:val="20"/>
                <w:szCs w:val="20"/>
                <w:color w:val="auto"/>
              </w:rPr>
            </w:pPr>
            <w:r>
              <w:rPr>
                <w:rFonts w:ascii="Arial" w:cs="Arial" w:eastAsia="Arial" w:hAnsi="Arial"/>
                <w:sz w:val="14"/>
                <w:szCs w:val="14"/>
                <w:b w:val="1"/>
                <w:bCs w:val="1"/>
                <w:color w:val="auto"/>
              </w:rPr>
              <w:t>RSA</w:t>
            </w:r>
          </w:p>
        </w:tc>
      </w:tr>
      <w:tr>
        <w:trPr>
          <w:trHeight w:val="209"/>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29"/>
        </w:trPr>
        <w:tc>
          <w:tcPr>
            <w:tcW w:w="3740" w:type="dxa"/>
            <w:vAlign w:val="bottom"/>
          </w:tcPr>
          <w:p>
            <w:pPr>
              <w:ind w:left="240"/>
              <w:spacing w:after="0"/>
              <w:rPr>
                <w:sz w:val="20"/>
                <w:szCs w:val="20"/>
                <w:color w:val="auto"/>
              </w:rPr>
            </w:pPr>
            <w:r>
              <w:rPr>
                <w:rFonts w:ascii="Arial" w:cs="Arial" w:eastAsia="Arial" w:hAnsi="Arial"/>
                <w:sz w:val="18"/>
                <w:szCs w:val="18"/>
                <w:color w:val="auto"/>
              </w:rPr>
              <w:t>FTI</w:t>
            </w:r>
          </w:p>
        </w:tc>
        <w:tc>
          <w:tcPr>
            <w:tcW w:w="1500" w:type="dxa"/>
            <w:vAlign w:val="bottom"/>
          </w:tcPr>
          <w:p>
            <w:pPr>
              <w:jc w:val="right"/>
              <w:spacing w:after="0"/>
              <w:rPr>
                <w:sz w:val="20"/>
                <w:szCs w:val="20"/>
                <w:color w:val="auto"/>
              </w:rPr>
            </w:pPr>
            <w:r>
              <w:rPr>
                <w:rFonts w:ascii="Arial" w:cs="Arial" w:eastAsia="Arial" w:hAnsi="Arial"/>
                <w:sz w:val="18"/>
                <w:szCs w:val="18"/>
                <w:color w:val="auto"/>
              </w:rPr>
              <w:t>202,800,000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49,114,305</w:t>
            </w:r>
          </w:p>
        </w:tc>
        <w:tc>
          <w:tcPr>
            <w:tcW w:w="1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29,177,345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44,973,456</w:t>
            </w:r>
          </w:p>
        </w:tc>
      </w:tr>
      <w:tr>
        <w:trPr>
          <w:trHeight w:val="230"/>
        </w:trPr>
        <w:tc>
          <w:tcPr>
            <w:tcW w:w="3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188,540,000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101,076,818</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10,573,823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740" w:type="dxa"/>
            <w:vAlign w:val="bottom"/>
          </w:tcPr>
          <w:p>
            <w:pPr>
              <w:ind w:left="140"/>
              <w:spacing w:after="0"/>
              <w:rPr>
                <w:sz w:val="20"/>
                <w:szCs w:val="20"/>
                <w:color w:val="auto"/>
              </w:rPr>
            </w:pPr>
            <w:r>
              <w:rPr>
                <w:rFonts w:ascii="Arial" w:cs="Arial" w:eastAsia="Arial" w:hAnsi="Arial"/>
                <w:sz w:val="18"/>
                <w:szCs w:val="18"/>
                <w:color w:val="auto"/>
              </w:rPr>
              <w:t>Total Common Stock</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391,340,000</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150,191,123</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39,751,168</w:t>
            </w: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44,973,456</w:t>
            </w: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7"/>
        </w:trPr>
        <w:tc>
          <w:tcPr>
            <w:tcW w:w="3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Convertible Preferred Stock</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0"/>
        </w:trPr>
        <w:tc>
          <w:tcPr>
            <w:tcW w:w="3740" w:type="dxa"/>
            <w:vAlign w:val="bottom"/>
          </w:tcPr>
          <w:p>
            <w:pPr>
              <w:ind w:left="240"/>
              <w:spacing w:after="0"/>
              <w:rPr>
                <w:sz w:val="20"/>
                <w:szCs w:val="20"/>
                <w:color w:val="auto"/>
              </w:rPr>
            </w:pPr>
            <w:r>
              <w:rPr>
                <w:rFonts w:ascii="Arial" w:cs="Arial" w:eastAsia="Arial" w:hAnsi="Arial"/>
                <w:sz w:val="18"/>
                <w:szCs w:val="18"/>
                <w:color w:val="auto"/>
              </w:rPr>
              <w:t>FTI</w:t>
            </w:r>
          </w:p>
        </w:tc>
        <w:tc>
          <w:tcPr>
            <w:tcW w:w="1500" w:type="dxa"/>
            <w:vAlign w:val="bottom"/>
          </w:tcPr>
          <w:p>
            <w:pPr>
              <w:jc w:val="right"/>
              <w:spacing w:after="0"/>
              <w:rPr>
                <w:sz w:val="20"/>
                <w:szCs w:val="20"/>
                <w:color w:val="auto"/>
              </w:rPr>
            </w:pPr>
            <w:r>
              <w:rPr>
                <w:rFonts w:ascii="Arial" w:cs="Arial" w:eastAsia="Arial" w:hAnsi="Arial"/>
                <w:sz w:val="18"/>
                <w:szCs w:val="18"/>
                <w:color w:val="auto"/>
              </w:rPr>
              <w:t>104,575,110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104,575,110</w:t>
            </w:r>
          </w:p>
        </w:tc>
        <w:tc>
          <w:tcPr>
            <w:tcW w:w="1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56,573,362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36,326,136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8,135,228</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740" w:type="dxa"/>
            <w:vAlign w:val="bottom"/>
          </w:tcPr>
          <w:p>
            <w:pPr>
              <w:ind w:left="220"/>
              <w:spacing w:after="0"/>
              <w:rPr>
                <w:sz w:val="20"/>
                <w:szCs w:val="20"/>
                <w:color w:val="auto"/>
              </w:rPr>
            </w:pPr>
            <w:r>
              <w:rPr>
                <w:rFonts w:ascii="Arial" w:cs="Arial" w:eastAsia="Arial" w:hAnsi="Arial"/>
                <w:sz w:val="18"/>
                <w:szCs w:val="18"/>
                <w:color w:val="auto"/>
              </w:rPr>
              <w:t>Total Convertible Preferred Stock</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161,148,472</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140,901,246</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8,135,228</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3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38"/>
        </w:trPr>
        <w:tc>
          <w:tcPr>
            <w:tcW w:w="37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2024</w:t>
            </w: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197"/>
        </w:trPr>
        <w:tc>
          <w:tcPr>
            <w:tcW w:w="3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ind w:left="460"/>
              <w:spacing w:after="0" w:line="197" w:lineRule="exact"/>
              <w:rPr>
                <w:sz w:val="20"/>
                <w:szCs w:val="20"/>
                <w:color w:val="auto"/>
              </w:rPr>
            </w:pPr>
            <w:r>
              <w:rPr>
                <w:rFonts w:ascii="Arial" w:cs="Arial" w:eastAsia="Arial" w:hAnsi="Arial"/>
                <w:sz w:val="14"/>
                <w:szCs w:val="14"/>
                <w:b w:val="1"/>
                <w:bCs w:val="1"/>
                <w:color w:val="auto"/>
              </w:rPr>
              <w:t>Issued and Outstanding</w:t>
            </w:r>
            <w:r>
              <w:rPr>
                <w:rFonts w:ascii="Arial" w:cs="Arial" w:eastAsia="Arial" w:hAnsi="Arial"/>
                <w:sz w:val="18"/>
                <w:szCs w:val="18"/>
                <w:b w:val="1"/>
                <w:bCs w:val="1"/>
                <w:color w:val="auto"/>
                <w:vertAlign w:val="superscript"/>
              </w:rPr>
              <w:t>(A)</w:t>
            </w:r>
          </w:p>
        </w:tc>
        <w:tc>
          <w:tcPr>
            <w:tcW w:w="1380" w:type="dxa"/>
            <w:vAlign w:val="bottom"/>
            <w:tcBorders>
              <w:bottom w:val="single" w:sz="8" w:color="auto"/>
            </w:tcBorders>
          </w:tcPr>
          <w:p>
            <w:pPr>
              <w:spacing w:after="0"/>
              <w:rPr>
                <w:sz w:val="17"/>
                <w:szCs w:val="17"/>
                <w:color w:val="auto"/>
              </w:rPr>
            </w:pPr>
          </w:p>
        </w:tc>
      </w:tr>
      <w:tr>
        <w:trPr>
          <w:trHeight w:val="196"/>
        </w:trPr>
        <w:tc>
          <w:tcPr>
            <w:tcW w:w="374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Authorized Shares</w:t>
            </w:r>
          </w:p>
        </w:tc>
        <w:tc>
          <w:tcPr>
            <w:tcW w:w="1500" w:type="dxa"/>
            <w:vAlign w:val="bottom"/>
          </w:tcPr>
          <w:p>
            <w:pPr>
              <w:jc w:val="right"/>
              <w:ind w:right="353"/>
              <w:spacing w:after="0" w:line="196"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8"/>
                <w:szCs w:val="18"/>
                <w:b w:val="1"/>
                <w:bCs w:val="1"/>
                <w:color w:val="auto"/>
                <w:vertAlign w:val="superscript"/>
              </w:rPr>
              <w:t>(B)</w:t>
            </w:r>
          </w:p>
        </w:tc>
        <w:tc>
          <w:tcPr>
            <w:tcW w:w="100" w:type="dxa"/>
            <w:vAlign w:val="bottom"/>
          </w:tcPr>
          <w:p>
            <w:pPr>
              <w:spacing w:after="0"/>
              <w:rPr>
                <w:sz w:val="17"/>
                <w:szCs w:val="17"/>
                <w:color w:val="auto"/>
              </w:rPr>
            </w:pPr>
          </w:p>
        </w:tc>
        <w:tc>
          <w:tcPr>
            <w:tcW w:w="1460" w:type="dxa"/>
            <w:vAlign w:val="bottom"/>
            <w:gridSpan w:val="2"/>
          </w:tcPr>
          <w:p>
            <w:pPr>
              <w:ind w:left="360"/>
              <w:spacing w:after="0"/>
              <w:rPr>
                <w:sz w:val="20"/>
                <w:szCs w:val="20"/>
                <w:color w:val="auto"/>
              </w:rPr>
            </w:pPr>
            <w:r>
              <w:rPr>
                <w:rFonts w:ascii="Arial" w:cs="Arial" w:eastAsia="Arial" w:hAnsi="Arial"/>
                <w:sz w:val="14"/>
                <w:szCs w:val="14"/>
                <w:b w:val="1"/>
                <w:bCs w:val="1"/>
                <w:color w:val="auto"/>
              </w:rPr>
              <w:t>Warrants</w:t>
            </w:r>
          </w:p>
        </w:tc>
        <w:tc>
          <w:tcPr>
            <w:tcW w:w="1460" w:type="dxa"/>
            <w:vAlign w:val="bottom"/>
            <w:gridSpan w:val="2"/>
          </w:tcPr>
          <w:p>
            <w:pPr>
              <w:ind w:left="400"/>
              <w:spacing w:after="0"/>
              <w:rPr>
                <w:sz w:val="20"/>
                <w:szCs w:val="20"/>
                <w:color w:val="auto"/>
              </w:rPr>
            </w:pPr>
            <w:r>
              <w:rPr>
                <w:rFonts w:ascii="Arial" w:cs="Arial" w:eastAsia="Arial" w:hAnsi="Arial"/>
                <w:sz w:val="14"/>
                <w:szCs w:val="14"/>
                <w:b w:val="1"/>
                <w:bCs w:val="1"/>
                <w:color w:val="auto"/>
              </w:rPr>
              <w:t>Options</w:t>
            </w:r>
          </w:p>
        </w:tc>
        <w:tc>
          <w:tcPr>
            <w:tcW w:w="1380" w:type="dxa"/>
            <w:vAlign w:val="bottom"/>
          </w:tcPr>
          <w:p>
            <w:pPr>
              <w:jc w:val="right"/>
              <w:ind w:right="453"/>
              <w:spacing w:after="0"/>
              <w:rPr>
                <w:sz w:val="20"/>
                <w:szCs w:val="20"/>
                <w:color w:val="auto"/>
              </w:rPr>
            </w:pPr>
            <w:r>
              <w:rPr>
                <w:rFonts w:ascii="Arial" w:cs="Arial" w:eastAsia="Arial" w:hAnsi="Arial"/>
                <w:sz w:val="14"/>
                <w:szCs w:val="14"/>
                <w:b w:val="1"/>
                <w:bCs w:val="1"/>
                <w:color w:val="auto"/>
              </w:rPr>
              <w:t>RSA</w:t>
            </w:r>
          </w:p>
        </w:tc>
      </w:tr>
      <w:tr>
        <w:trPr>
          <w:trHeight w:val="210"/>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29"/>
        </w:trPr>
        <w:tc>
          <w:tcPr>
            <w:tcW w:w="3740" w:type="dxa"/>
            <w:vAlign w:val="bottom"/>
          </w:tcPr>
          <w:p>
            <w:pPr>
              <w:ind w:left="240"/>
              <w:spacing w:after="0"/>
              <w:rPr>
                <w:sz w:val="20"/>
                <w:szCs w:val="20"/>
                <w:color w:val="auto"/>
              </w:rPr>
            </w:pPr>
            <w:r>
              <w:rPr>
                <w:rFonts w:ascii="Arial" w:cs="Arial" w:eastAsia="Arial" w:hAnsi="Arial"/>
                <w:sz w:val="18"/>
                <w:szCs w:val="18"/>
                <w:color w:val="auto"/>
              </w:rPr>
              <w:t>FTI</w:t>
            </w:r>
          </w:p>
        </w:tc>
        <w:tc>
          <w:tcPr>
            <w:tcW w:w="1500" w:type="dxa"/>
            <w:vAlign w:val="bottom"/>
          </w:tcPr>
          <w:p>
            <w:pPr>
              <w:jc w:val="right"/>
              <w:spacing w:after="0"/>
              <w:rPr>
                <w:sz w:val="20"/>
                <w:szCs w:val="20"/>
                <w:color w:val="auto"/>
              </w:rPr>
            </w:pPr>
            <w:r>
              <w:rPr>
                <w:rFonts w:ascii="Arial" w:cs="Arial" w:eastAsia="Arial" w:hAnsi="Arial"/>
                <w:sz w:val="18"/>
                <w:szCs w:val="18"/>
                <w:color w:val="auto"/>
              </w:rPr>
              <w:t>202,800,000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48,918,728</w:t>
            </w:r>
          </w:p>
        </w:tc>
        <w:tc>
          <w:tcPr>
            <w:tcW w:w="1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29,648,570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44,973,456</w:t>
            </w:r>
          </w:p>
        </w:tc>
      </w:tr>
      <w:tr>
        <w:trPr>
          <w:trHeight w:val="229"/>
        </w:trPr>
        <w:tc>
          <w:tcPr>
            <w:tcW w:w="3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188,540,000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101,071,089</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11,811,451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740" w:type="dxa"/>
            <w:vAlign w:val="bottom"/>
          </w:tcPr>
          <w:p>
            <w:pPr>
              <w:ind w:left="140"/>
              <w:spacing w:after="0"/>
              <w:rPr>
                <w:sz w:val="20"/>
                <w:szCs w:val="20"/>
                <w:color w:val="auto"/>
              </w:rPr>
            </w:pPr>
            <w:r>
              <w:rPr>
                <w:rFonts w:ascii="Arial" w:cs="Arial" w:eastAsia="Arial" w:hAnsi="Arial"/>
                <w:sz w:val="18"/>
                <w:szCs w:val="18"/>
                <w:color w:val="auto"/>
              </w:rPr>
              <w:t>Total Common Stock</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391,340,000</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149,989,817</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41,460,021</w:t>
            </w: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44,973,456</w:t>
            </w: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6"/>
        </w:trPr>
        <w:tc>
          <w:tcPr>
            <w:tcW w:w="3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Convertible Preferred Stock</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0"/>
        </w:trPr>
        <w:tc>
          <w:tcPr>
            <w:tcW w:w="3740" w:type="dxa"/>
            <w:vAlign w:val="bottom"/>
          </w:tcPr>
          <w:p>
            <w:pPr>
              <w:ind w:left="240"/>
              <w:spacing w:after="0"/>
              <w:rPr>
                <w:sz w:val="20"/>
                <w:szCs w:val="20"/>
                <w:color w:val="auto"/>
              </w:rPr>
            </w:pPr>
            <w:r>
              <w:rPr>
                <w:rFonts w:ascii="Arial" w:cs="Arial" w:eastAsia="Arial" w:hAnsi="Arial"/>
                <w:sz w:val="18"/>
                <w:szCs w:val="18"/>
                <w:color w:val="auto"/>
              </w:rPr>
              <w:t>FTI</w:t>
            </w:r>
          </w:p>
        </w:tc>
        <w:tc>
          <w:tcPr>
            <w:tcW w:w="1500" w:type="dxa"/>
            <w:vAlign w:val="bottom"/>
          </w:tcPr>
          <w:p>
            <w:pPr>
              <w:jc w:val="right"/>
              <w:spacing w:after="0"/>
              <w:rPr>
                <w:sz w:val="20"/>
                <w:szCs w:val="20"/>
                <w:color w:val="auto"/>
              </w:rPr>
            </w:pPr>
            <w:r>
              <w:rPr>
                <w:rFonts w:ascii="Arial" w:cs="Arial" w:eastAsia="Arial" w:hAnsi="Arial"/>
                <w:sz w:val="18"/>
                <w:szCs w:val="18"/>
                <w:color w:val="auto"/>
              </w:rPr>
              <w:t>104,575,110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104,575,110</w:t>
            </w:r>
          </w:p>
        </w:tc>
        <w:tc>
          <w:tcPr>
            <w:tcW w:w="1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56,573,362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36,326,136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6,850,717</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740" w:type="dxa"/>
            <w:vAlign w:val="bottom"/>
          </w:tcPr>
          <w:p>
            <w:pPr>
              <w:ind w:left="220"/>
              <w:spacing w:after="0"/>
              <w:rPr>
                <w:sz w:val="20"/>
                <w:szCs w:val="20"/>
                <w:color w:val="auto"/>
              </w:rPr>
            </w:pPr>
            <w:r>
              <w:rPr>
                <w:rFonts w:ascii="Arial" w:cs="Arial" w:eastAsia="Arial" w:hAnsi="Arial"/>
                <w:sz w:val="18"/>
                <w:szCs w:val="18"/>
                <w:color w:val="auto"/>
              </w:rPr>
              <w:t>Total Convertible Preferred Stock</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161,148,472</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140,901,246</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6,850,717</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8" w:lineRule="exact"/>
        <w:rPr>
          <w:sz w:val="20"/>
          <w:szCs w:val="20"/>
          <w:color w:val="auto"/>
        </w:rPr>
      </w:pPr>
    </w:p>
    <w:p>
      <w:pPr>
        <w:ind w:left="340" w:hanging="332"/>
        <w:spacing w:after="0" w:line="220" w:lineRule="auto"/>
        <w:tabs>
          <w:tab w:leader="none" w:pos="332" w:val="left"/>
        </w:tabs>
        <w:numPr>
          <w:ilvl w:val="0"/>
          <w:numId w:val="124"/>
        </w:numPr>
        <w:rPr>
          <w:rFonts w:ascii="Arial" w:cs="Arial" w:eastAsia="Arial" w:hAnsi="Arial"/>
          <w:sz w:val="21"/>
          <w:szCs w:val="21"/>
          <w:color w:val="auto"/>
          <w:vertAlign w:val="superscript"/>
        </w:rPr>
      </w:pPr>
      <w:r>
        <w:rPr>
          <w:rFonts w:ascii="Arial" w:cs="Arial" w:eastAsia="Arial" w:hAnsi="Arial"/>
          <w:sz w:val="16"/>
          <w:szCs w:val="16"/>
          <w:color w:val="auto"/>
        </w:rPr>
        <w:t>Except for common and convertible preferred shares, amounts represent the gross common or convertible preferred shares issuable upon exercise or vesting.</w:t>
      </w:r>
    </w:p>
    <w:p>
      <w:pPr>
        <w:jc w:val="both"/>
        <w:ind w:left="340" w:hanging="332"/>
        <w:spacing w:after="0" w:line="243" w:lineRule="auto"/>
        <w:tabs>
          <w:tab w:leader="none" w:pos="332" w:val="left"/>
        </w:tabs>
        <w:numPr>
          <w:ilvl w:val="0"/>
          <w:numId w:val="124"/>
        </w:numPr>
        <w:rPr>
          <w:rFonts w:ascii="Arial" w:cs="Arial" w:eastAsia="Arial" w:hAnsi="Arial"/>
          <w:sz w:val="21"/>
          <w:szCs w:val="21"/>
          <w:color w:val="auto"/>
          <w:vertAlign w:val="superscript"/>
        </w:rPr>
      </w:pPr>
      <w:r>
        <w:rPr>
          <w:rFonts w:ascii="Arial" w:cs="Arial" w:eastAsia="Arial" w:hAnsi="Arial"/>
          <w:sz w:val="16"/>
          <w:szCs w:val="16"/>
          <w:color w:val="auto"/>
        </w:rPr>
        <w:t>Par value of $0.00001 per share. The holders of each share of common stock are entitled to voting rights equal to one vote for each share of common stock. The holder of each share of preferred stock is entitled to voting rights equal to the number of shares of common stock into which each share of preferred stock converts at the stated conversion rate. Common shareholders of each FTI and Markets may elect five and ten members to the respective entity’s Board of Directors. Except for FTI’s Series C-2 and D convertible preferred stock, each series of convertible preferred stock, as a group, is entitled to elect one member to each respective entity’s Board of Directors (Series C and C-1 elect a single member to FTI’s Board of Director as a group). Any remaining members of the respective entity’s Board of Directors are elected by common and preferred shareholders, on an as-converted basis, as a single group. At March 31, 2025, no common or convertible preferred dividends have been declared by either FTI or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134" w:right="339" w:bottom="1440" w:gutter="0" w:footer="0" w:header="0"/>
        </w:sectPr>
      </w:pPr>
    </w:p>
    <w:bookmarkStart w:id="287" w:name="page288"/>
    <w:bookmarkEnd w:id="287"/>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includes information regarding each series of FTI’s and Markets’ convertible preferred stock at March 31, 2025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740" w:type="dxa"/>
            <w:vAlign w:val="bottom"/>
          </w:tcPr>
          <w:p>
            <w:pPr>
              <w:spacing w:after="0"/>
              <w:rPr>
                <w:sz w:val="14"/>
                <w:szCs w:val="14"/>
                <w:color w:val="auto"/>
              </w:rPr>
            </w:pPr>
          </w:p>
        </w:tc>
        <w:tc>
          <w:tcPr>
            <w:tcW w:w="2860" w:type="dxa"/>
            <w:vAlign w:val="bottom"/>
            <w:tcBorders>
              <w:bottom w:val="single" w:sz="8" w:color="auto"/>
            </w:tcBorders>
            <w:gridSpan w:val="3"/>
          </w:tcPr>
          <w:p>
            <w:pPr>
              <w:jc w:val="right"/>
              <w:ind w:right="489"/>
              <w:spacing w:after="0"/>
              <w:rPr>
                <w:sz w:val="20"/>
                <w:szCs w:val="20"/>
                <w:color w:val="auto"/>
              </w:rPr>
            </w:pPr>
            <w:r>
              <w:rPr>
                <w:rFonts w:ascii="Arial" w:cs="Arial" w:eastAsia="Arial" w:hAnsi="Arial"/>
                <w:sz w:val="12"/>
                <w:szCs w:val="12"/>
                <w:b w:val="1"/>
                <w:bCs w:val="1"/>
                <w:color w:val="auto"/>
              </w:rPr>
              <w:t>Number of Shares Outstanding</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709"/>
              <w:spacing w:after="0"/>
              <w:rPr>
                <w:sz w:val="20"/>
                <w:szCs w:val="20"/>
                <w:color w:val="auto"/>
              </w:rPr>
            </w:pPr>
            <w:r>
              <w:rPr>
                <w:rFonts w:ascii="Arial" w:cs="Arial" w:eastAsia="Arial" w:hAnsi="Arial"/>
                <w:sz w:val="12"/>
                <w:szCs w:val="12"/>
                <w:b w:val="1"/>
                <w:bCs w:val="1"/>
                <w:color w:val="auto"/>
              </w:rPr>
              <w:t>Liquidation Preference</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2"/>
                <w:szCs w:val="12"/>
                <w:b w:val="1"/>
                <w:bCs w:val="1"/>
                <w:color w:val="auto"/>
              </w:rPr>
              <w:t>Per Share</w:t>
            </w:r>
          </w:p>
        </w:tc>
        <w:tc>
          <w:tcPr>
            <w:tcW w:w="4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40" w:type="dxa"/>
            <w:vAlign w:val="bottom"/>
          </w:tcPr>
          <w:p>
            <w:pPr>
              <w:spacing w:after="0"/>
              <w:rPr>
                <w:sz w:val="15"/>
                <w:szCs w:val="15"/>
                <w:color w:val="auto"/>
              </w:rPr>
            </w:pPr>
          </w:p>
        </w:tc>
        <w:tc>
          <w:tcPr>
            <w:tcW w:w="1480" w:type="dxa"/>
            <w:vAlign w:val="bottom"/>
            <w:gridSpan w:val="2"/>
          </w:tcPr>
          <w:p>
            <w:pPr>
              <w:ind w:left="280"/>
              <w:spacing w:after="0"/>
              <w:rPr>
                <w:sz w:val="20"/>
                <w:szCs w:val="20"/>
                <w:color w:val="auto"/>
              </w:rPr>
            </w:pPr>
            <w:r>
              <w:rPr>
                <w:rFonts w:ascii="Arial" w:cs="Arial" w:eastAsia="Arial" w:hAnsi="Arial"/>
                <w:sz w:val="12"/>
                <w:szCs w:val="12"/>
                <w:b w:val="1"/>
                <w:bCs w:val="1"/>
                <w:color w:val="auto"/>
              </w:rPr>
              <w:t>March 31, 2025</w:t>
            </w:r>
          </w:p>
        </w:tc>
        <w:tc>
          <w:tcPr>
            <w:tcW w:w="1480" w:type="dxa"/>
            <w:vAlign w:val="bottom"/>
            <w:gridSpan w:val="2"/>
          </w:tcPr>
          <w:p>
            <w:pPr>
              <w:ind w:left="160"/>
              <w:spacing w:after="0"/>
              <w:rPr>
                <w:sz w:val="20"/>
                <w:szCs w:val="20"/>
                <w:color w:val="auto"/>
              </w:rPr>
            </w:pPr>
            <w:r>
              <w:rPr>
                <w:rFonts w:ascii="Arial" w:cs="Arial" w:eastAsia="Arial" w:hAnsi="Arial"/>
                <w:sz w:val="12"/>
                <w:szCs w:val="12"/>
                <w:b w:val="1"/>
                <w:bCs w:val="1"/>
                <w:color w:val="auto"/>
              </w:rPr>
              <w:t>December 31, 2024</w:t>
            </w:r>
          </w:p>
        </w:tc>
        <w:tc>
          <w:tcPr>
            <w:tcW w:w="18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March 31, 2025</w:t>
            </w:r>
          </w:p>
        </w:tc>
        <w:tc>
          <w:tcPr>
            <w:tcW w:w="120" w:type="dxa"/>
            <w:vAlign w:val="bottom"/>
          </w:tcPr>
          <w:p>
            <w:pPr>
              <w:spacing w:after="0"/>
              <w:rPr>
                <w:sz w:val="15"/>
                <w:szCs w:val="15"/>
                <w:color w:val="auto"/>
              </w:rPr>
            </w:pPr>
          </w:p>
        </w:tc>
        <w:tc>
          <w:tcPr>
            <w:tcW w:w="1240" w:type="dxa"/>
            <w:vAlign w:val="bottom"/>
          </w:tcPr>
          <w:p>
            <w:pPr>
              <w:jc w:val="right"/>
              <w:ind w:right="89"/>
              <w:spacing w:after="0"/>
              <w:rPr>
                <w:sz w:val="20"/>
                <w:szCs w:val="20"/>
                <w:color w:val="auto"/>
              </w:rPr>
            </w:pPr>
            <w:r>
              <w:rPr>
                <w:rFonts w:ascii="Arial" w:cs="Arial" w:eastAsia="Arial" w:hAnsi="Arial"/>
                <w:sz w:val="12"/>
                <w:szCs w:val="12"/>
                <w:b w:val="1"/>
                <w:bCs w:val="1"/>
                <w:color w:val="auto"/>
                <w:w w:val="98"/>
              </w:rPr>
              <w:t>December 31, 2024</w:t>
            </w:r>
          </w:p>
        </w:tc>
        <w:tc>
          <w:tcPr>
            <w:tcW w:w="80" w:type="dxa"/>
            <w:vAlign w:val="bottom"/>
          </w:tcPr>
          <w:p>
            <w:pPr>
              <w:spacing w:after="0"/>
              <w:rPr>
                <w:sz w:val="15"/>
                <w:szCs w:val="15"/>
                <w:color w:val="auto"/>
              </w:rPr>
            </w:pPr>
          </w:p>
        </w:tc>
        <w:tc>
          <w:tcPr>
            <w:tcW w:w="1180" w:type="dxa"/>
            <w:vAlign w:val="bottom"/>
            <w:gridSpan w:val="2"/>
          </w:tcPr>
          <w:p>
            <w:pPr>
              <w:jc w:val="right"/>
              <w:ind w:right="8"/>
              <w:spacing w:after="0"/>
              <w:rPr>
                <w:sz w:val="20"/>
                <w:szCs w:val="20"/>
                <w:color w:val="auto"/>
              </w:rPr>
            </w:pPr>
            <w:r>
              <w:rPr>
                <w:rFonts w:ascii="Arial" w:cs="Arial" w:eastAsia="Arial" w:hAnsi="Arial"/>
                <w:sz w:val="12"/>
                <w:szCs w:val="12"/>
                <w:b w:val="1"/>
                <w:bCs w:val="1"/>
                <w:color w:val="auto"/>
                <w:w w:val="97"/>
              </w:rPr>
              <w:t>Liquidation Price</w:t>
            </w:r>
            <w:r>
              <w:rPr>
                <w:rFonts w:ascii="Arial" w:cs="Arial" w:eastAsia="Arial" w:hAnsi="Arial"/>
                <w:sz w:val="15"/>
                <w:szCs w:val="15"/>
                <w:b w:val="1"/>
                <w:bCs w:val="1"/>
                <w:color w:val="auto"/>
                <w:w w:val="97"/>
                <w:vertAlign w:val="superscript"/>
              </w:rPr>
              <w:t>(A)</w:t>
            </w:r>
          </w:p>
        </w:tc>
        <w:tc>
          <w:tcPr>
            <w:tcW w:w="240" w:type="dxa"/>
            <w:vAlign w:val="bottom"/>
          </w:tcPr>
          <w:p>
            <w:pPr>
              <w:spacing w:after="0"/>
              <w:rPr>
                <w:sz w:val="15"/>
                <w:szCs w:val="15"/>
                <w:color w:val="auto"/>
              </w:rPr>
            </w:pPr>
          </w:p>
        </w:tc>
        <w:tc>
          <w:tcPr>
            <w:tcW w:w="1000" w:type="dxa"/>
            <w:vAlign w:val="bottom"/>
          </w:tcPr>
          <w:p>
            <w:pPr>
              <w:jc w:val="right"/>
              <w:ind w:right="191"/>
              <w:spacing w:after="0"/>
              <w:rPr>
                <w:sz w:val="20"/>
                <w:szCs w:val="20"/>
                <w:color w:val="auto"/>
              </w:rPr>
            </w:pPr>
            <w:r>
              <w:rPr>
                <w:rFonts w:ascii="Arial" w:cs="Arial" w:eastAsia="Arial" w:hAnsi="Arial"/>
                <w:sz w:val="12"/>
                <w:szCs w:val="12"/>
                <w:b w:val="1"/>
                <w:bCs w:val="1"/>
                <w:color w:val="auto"/>
              </w:rPr>
              <w:t>Dividends</w:t>
            </w:r>
            <w:r>
              <w:rPr>
                <w:rFonts w:ascii="Arial" w:cs="Arial" w:eastAsia="Arial" w:hAnsi="Arial"/>
                <w:sz w:val="15"/>
                <w:szCs w:val="15"/>
                <w:b w:val="1"/>
                <w:bCs w:val="1"/>
                <w:color w:val="auto"/>
                <w:vertAlign w:val="superscript"/>
              </w:rPr>
              <w:t>(B)</w:t>
            </w:r>
          </w:p>
        </w:tc>
        <w:tc>
          <w:tcPr>
            <w:tcW w:w="1220" w:type="dxa"/>
            <w:vAlign w:val="bottom"/>
            <w:gridSpan w:val="2"/>
          </w:tcPr>
          <w:p>
            <w:pPr>
              <w:jc w:val="right"/>
              <w:spacing w:after="0"/>
              <w:rPr>
                <w:sz w:val="20"/>
                <w:szCs w:val="20"/>
                <w:color w:val="auto"/>
              </w:rPr>
            </w:pPr>
            <w:r>
              <w:rPr>
                <w:rFonts w:ascii="Arial" w:cs="Arial" w:eastAsia="Arial" w:hAnsi="Arial"/>
                <w:sz w:val="12"/>
                <w:szCs w:val="12"/>
                <w:b w:val="1"/>
                <w:bCs w:val="1"/>
                <w:color w:val="auto"/>
              </w:rPr>
              <w:t>Conversion Rate</w:t>
            </w:r>
            <w:r>
              <w:rPr>
                <w:rFonts w:ascii="Arial" w:cs="Arial" w:eastAsia="Arial" w:hAnsi="Arial"/>
                <w:sz w:val="15"/>
                <w:szCs w:val="15"/>
                <w:b w:val="1"/>
                <w:bCs w:val="1"/>
                <w:color w:val="auto"/>
                <w:vertAlign w:val="superscript"/>
              </w:rPr>
              <w:t>(C)</w:t>
            </w:r>
          </w:p>
        </w:tc>
        <w:tc>
          <w:tcPr>
            <w:tcW w:w="0" w:type="dxa"/>
            <w:vAlign w:val="bottom"/>
          </w:tcPr>
          <w:p>
            <w:pPr>
              <w:spacing w:after="0"/>
              <w:rPr>
                <w:sz w:val="1"/>
                <w:szCs w:val="1"/>
                <w:color w:val="auto"/>
              </w:rPr>
            </w:pPr>
          </w:p>
        </w:tc>
      </w:tr>
      <w:tr>
        <w:trPr>
          <w:trHeight w:val="183"/>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FTI</w:t>
            </w:r>
          </w:p>
        </w:tc>
        <w:tc>
          <w:tcPr>
            <w:tcW w:w="1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740" w:type="dxa"/>
            <w:vAlign w:val="bottom"/>
          </w:tcPr>
          <w:p>
            <w:pPr>
              <w:ind w:left="360"/>
              <w:spacing w:after="0"/>
              <w:rPr>
                <w:sz w:val="20"/>
                <w:szCs w:val="20"/>
                <w:color w:val="auto"/>
              </w:rPr>
            </w:pPr>
            <w:r>
              <w:rPr>
                <w:rFonts w:ascii="Arial" w:cs="Arial" w:eastAsia="Arial" w:hAnsi="Arial"/>
                <w:sz w:val="14"/>
                <w:szCs w:val="14"/>
                <w:color w:val="auto"/>
              </w:rPr>
              <w:t>Series Seed</w:t>
            </w:r>
          </w:p>
        </w:tc>
        <w:tc>
          <w:tcPr>
            <w:tcW w:w="1380" w:type="dxa"/>
            <w:vAlign w:val="bottom"/>
          </w:tcPr>
          <w:p>
            <w:pPr>
              <w:jc w:val="right"/>
              <w:spacing w:after="0"/>
              <w:rPr>
                <w:sz w:val="20"/>
                <w:szCs w:val="20"/>
                <w:color w:val="auto"/>
              </w:rPr>
            </w:pPr>
            <w:r>
              <w:rPr>
                <w:rFonts w:ascii="Arial" w:cs="Arial" w:eastAsia="Arial" w:hAnsi="Arial"/>
                <w:sz w:val="14"/>
                <w:szCs w:val="14"/>
                <w:color w:val="auto"/>
              </w:rPr>
              <w:t>16,100,540</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16,100,540</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
              <w:spacing w:after="0"/>
              <w:rPr>
                <w:sz w:val="20"/>
                <w:szCs w:val="20"/>
                <w:color w:val="auto"/>
              </w:rPr>
            </w:pPr>
            <w:r>
              <w:rPr>
                <w:rFonts w:ascii="Arial" w:cs="Arial" w:eastAsia="Arial" w:hAnsi="Arial"/>
                <w:sz w:val="14"/>
                <w:szCs w:val="14"/>
                <w:color w:val="auto"/>
              </w:rPr>
              <w:t>16,947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9"/>
              <w:spacing w:after="0"/>
              <w:rPr>
                <w:sz w:val="20"/>
                <w:szCs w:val="20"/>
                <w:color w:val="auto"/>
              </w:rPr>
            </w:pPr>
            <w:r>
              <w:rPr>
                <w:rFonts w:ascii="Arial" w:cs="Arial" w:eastAsia="Arial" w:hAnsi="Arial"/>
                <w:sz w:val="14"/>
                <w:szCs w:val="14"/>
                <w:color w:val="auto"/>
              </w:rPr>
              <w:t>16,947</w:t>
            </w:r>
          </w:p>
        </w:tc>
        <w:tc>
          <w:tcPr>
            <w:tcW w:w="500" w:type="dxa"/>
            <w:vAlign w:val="bottom"/>
            <w:gridSpan w:val="2"/>
          </w:tcPr>
          <w:p>
            <w:pPr>
              <w:jc w:val="right"/>
              <w:ind w:right="262"/>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0.08</w:t>
            </w:r>
          </w:p>
        </w:tc>
        <w:tc>
          <w:tcPr>
            <w:tcW w:w="480" w:type="dxa"/>
            <w:vAlign w:val="bottom"/>
          </w:tcPr>
          <w:p>
            <w:pPr>
              <w:jc w:val="right"/>
              <w:ind w:right="235"/>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07"/>
        </w:trPr>
        <w:tc>
          <w:tcPr>
            <w:tcW w:w="1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Series A</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32,860,461</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32,860,461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41,759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41,759</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0.10</w:t>
            </w: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98"/>
        </w:trPr>
        <w:tc>
          <w:tcPr>
            <w:tcW w:w="1740" w:type="dxa"/>
            <w:vAlign w:val="bottom"/>
          </w:tcPr>
          <w:p>
            <w:pPr>
              <w:ind w:left="360"/>
              <w:spacing w:after="0"/>
              <w:rPr>
                <w:sz w:val="20"/>
                <w:szCs w:val="20"/>
                <w:color w:val="auto"/>
              </w:rPr>
            </w:pPr>
            <w:r>
              <w:rPr>
                <w:rFonts w:ascii="Arial" w:cs="Arial" w:eastAsia="Arial" w:hAnsi="Arial"/>
                <w:sz w:val="14"/>
                <w:szCs w:val="14"/>
                <w:color w:val="auto"/>
              </w:rPr>
              <w:t>Series B</w:t>
            </w:r>
          </w:p>
        </w:tc>
        <w:tc>
          <w:tcPr>
            <w:tcW w:w="1380" w:type="dxa"/>
            <w:vAlign w:val="bottom"/>
          </w:tcPr>
          <w:p>
            <w:pPr>
              <w:jc w:val="right"/>
              <w:spacing w:after="0"/>
              <w:rPr>
                <w:sz w:val="20"/>
                <w:szCs w:val="20"/>
                <w:color w:val="auto"/>
              </w:rPr>
            </w:pPr>
            <w:r>
              <w:rPr>
                <w:rFonts w:ascii="Arial" w:cs="Arial" w:eastAsia="Arial" w:hAnsi="Arial"/>
                <w:sz w:val="14"/>
                <w:szCs w:val="14"/>
                <w:color w:val="auto"/>
              </w:rPr>
              <w:t>29,448,787</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29,448,787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0"/>
              <w:spacing w:after="0"/>
              <w:rPr>
                <w:sz w:val="20"/>
                <w:szCs w:val="20"/>
                <w:color w:val="auto"/>
              </w:rPr>
            </w:pPr>
            <w:r>
              <w:rPr>
                <w:rFonts w:ascii="Arial" w:cs="Arial" w:eastAsia="Arial" w:hAnsi="Arial"/>
                <w:sz w:val="14"/>
                <w:szCs w:val="14"/>
                <w:color w:val="auto"/>
              </w:rPr>
              <w:t>73,519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9"/>
              <w:spacing w:after="0"/>
              <w:rPr>
                <w:sz w:val="20"/>
                <w:szCs w:val="20"/>
                <w:color w:val="auto"/>
              </w:rPr>
            </w:pPr>
            <w:r>
              <w:rPr>
                <w:rFonts w:ascii="Arial" w:cs="Arial" w:eastAsia="Arial" w:hAnsi="Arial"/>
                <w:sz w:val="14"/>
                <w:szCs w:val="14"/>
                <w:color w:val="auto"/>
              </w:rPr>
              <w:t>73,519</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240" w:type="dxa"/>
            <w:vAlign w:val="bottom"/>
          </w:tcPr>
          <w:p>
            <w:pPr>
              <w:spacing w:after="0"/>
              <w:rPr>
                <w:sz w:val="17"/>
                <w:szCs w:val="17"/>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0.20</w:t>
            </w:r>
          </w:p>
        </w:tc>
        <w:tc>
          <w:tcPr>
            <w:tcW w:w="4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07"/>
        </w:trPr>
        <w:tc>
          <w:tcPr>
            <w:tcW w:w="1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Series C-1</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504,081</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504,081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3,050</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6.05</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0.48</w:t>
            </w: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198"/>
        </w:trPr>
        <w:tc>
          <w:tcPr>
            <w:tcW w:w="1740" w:type="dxa"/>
            <w:vAlign w:val="bottom"/>
          </w:tcPr>
          <w:p>
            <w:pPr>
              <w:ind w:left="360"/>
              <w:spacing w:after="0"/>
              <w:rPr>
                <w:sz w:val="20"/>
                <w:szCs w:val="20"/>
                <w:color w:val="auto"/>
              </w:rPr>
            </w:pPr>
            <w:r>
              <w:rPr>
                <w:rFonts w:ascii="Arial" w:cs="Arial" w:eastAsia="Arial" w:hAnsi="Arial"/>
                <w:sz w:val="14"/>
                <w:szCs w:val="14"/>
                <w:color w:val="auto"/>
              </w:rPr>
              <w:t>Series C-2</w:t>
            </w:r>
          </w:p>
        </w:tc>
        <w:tc>
          <w:tcPr>
            <w:tcW w:w="1380" w:type="dxa"/>
            <w:vAlign w:val="bottom"/>
          </w:tcPr>
          <w:p>
            <w:pPr>
              <w:jc w:val="right"/>
              <w:spacing w:after="0"/>
              <w:rPr>
                <w:sz w:val="20"/>
                <w:szCs w:val="20"/>
                <w:color w:val="auto"/>
              </w:rPr>
            </w:pPr>
            <w:r>
              <w:rPr>
                <w:rFonts w:ascii="Arial" w:cs="Arial" w:eastAsia="Arial" w:hAnsi="Arial"/>
                <w:sz w:val="14"/>
                <w:szCs w:val="14"/>
                <w:color w:val="auto"/>
              </w:rPr>
              <w:t>1,983,287</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1,983,287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0"/>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9"/>
              <w:spacing w:after="0"/>
              <w:rPr>
                <w:sz w:val="20"/>
                <w:szCs w:val="20"/>
                <w:color w:val="auto"/>
              </w:rPr>
            </w:pPr>
            <w:r>
              <w:rPr>
                <w:rFonts w:ascii="Arial" w:cs="Arial" w:eastAsia="Arial" w:hAnsi="Arial"/>
                <w:sz w:val="14"/>
                <w:szCs w:val="14"/>
                <w:color w:val="auto"/>
              </w:rPr>
              <w:t>15,000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7.56</w:t>
            </w:r>
          </w:p>
        </w:tc>
        <w:tc>
          <w:tcPr>
            <w:tcW w:w="240" w:type="dxa"/>
            <w:vAlign w:val="bottom"/>
          </w:tcPr>
          <w:p>
            <w:pPr>
              <w:spacing w:after="0"/>
              <w:rPr>
                <w:sz w:val="17"/>
                <w:szCs w:val="17"/>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0.61</w:t>
            </w:r>
          </w:p>
        </w:tc>
        <w:tc>
          <w:tcPr>
            <w:tcW w:w="4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7.56</w:t>
            </w:r>
          </w:p>
        </w:tc>
        <w:tc>
          <w:tcPr>
            <w:tcW w:w="0" w:type="dxa"/>
            <w:vAlign w:val="bottom"/>
          </w:tcPr>
          <w:p>
            <w:pPr>
              <w:spacing w:after="0"/>
              <w:rPr>
                <w:sz w:val="1"/>
                <w:szCs w:val="1"/>
                <w:color w:val="auto"/>
              </w:rPr>
            </w:pPr>
          </w:p>
        </w:tc>
      </w:tr>
      <w:tr>
        <w:trPr>
          <w:trHeight w:val="207"/>
        </w:trPr>
        <w:tc>
          <w:tcPr>
            <w:tcW w:w="1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Series C</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11,238,629</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11,238,629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85,000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85,000</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7.56</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0.61</w:t>
            </w: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0" w:type="dxa"/>
            <w:vAlign w:val="bottom"/>
          </w:tcPr>
          <w:p>
            <w:pPr>
              <w:spacing w:after="0"/>
              <w:rPr>
                <w:sz w:val="1"/>
                <w:szCs w:val="1"/>
                <w:color w:val="auto"/>
              </w:rPr>
            </w:pPr>
          </w:p>
        </w:tc>
      </w:tr>
      <w:tr>
        <w:trPr>
          <w:trHeight w:val="198"/>
        </w:trPr>
        <w:tc>
          <w:tcPr>
            <w:tcW w:w="17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Series 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12,439,325</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12,439,325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219,999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219,999</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17.69</w:t>
            </w:r>
          </w:p>
        </w:tc>
        <w:tc>
          <w:tcPr>
            <w:tcW w:w="24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
              <w:spacing w:after="0"/>
              <w:rPr>
                <w:sz w:val="20"/>
                <w:szCs w:val="20"/>
                <w:color w:val="auto"/>
              </w:rPr>
            </w:pPr>
            <w:r>
              <w:rPr>
                <w:rFonts w:ascii="Arial" w:cs="Arial" w:eastAsia="Arial" w:hAnsi="Arial"/>
                <w:sz w:val="14"/>
                <w:szCs w:val="14"/>
                <w:color w:val="auto"/>
              </w:rPr>
              <w:t>1.41</w:t>
            </w:r>
          </w:p>
        </w:tc>
        <w:tc>
          <w:tcPr>
            <w:tcW w:w="48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17.69</w:t>
            </w:r>
          </w:p>
        </w:tc>
        <w:tc>
          <w:tcPr>
            <w:tcW w:w="0" w:type="dxa"/>
            <w:vAlign w:val="bottom"/>
          </w:tcPr>
          <w:p>
            <w:pPr>
              <w:spacing w:after="0"/>
              <w:rPr>
                <w:sz w:val="1"/>
                <w:szCs w:val="1"/>
                <w:color w:val="auto"/>
              </w:rPr>
            </w:pPr>
          </w:p>
        </w:tc>
      </w:tr>
      <w:tr>
        <w:trPr>
          <w:trHeight w:val="225"/>
        </w:trPr>
        <w:tc>
          <w:tcPr>
            <w:tcW w:w="1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104,575,110</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104,575,110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455,274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455,274</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Markets</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Series Seed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36,326,136</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36,326,136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73,292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73,292</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2.02</w:t>
            </w: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0.16</w:t>
            </w:r>
          </w:p>
        </w:tc>
        <w:tc>
          <w:tcPr>
            <w:tcW w:w="4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jc w:val="both"/>
        <w:ind w:left="340" w:hanging="332"/>
        <w:spacing w:after="0" w:line="252" w:lineRule="auto"/>
        <w:tabs>
          <w:tab w:leader="none" w:pos="3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In the event of any liquidation, dissolution, or winding up of the issuing entity, either voluntary or involuntary, the holders of preferred stock are entitled to receive, prior to and in preference over holders of common stock, an amount equal to the original issuance price as adjusted for dividends, stock splits, combinations, recapitalizations, or similar adjustments. If the issuing entity’s legally available assets are insufficient to satisfy the preferred stock liquidation preference, the funds will be distributed ratably among the preferred stock stockholders in proportion to their full liquidation preference. Following the above payments, all remaining legally available assets of the issuing entity, if any, are distributed to the holders of common and preferred stock on an as-converted basis.</w:t>
      </w:r>
    </w:p>
    <w:p>
      <w:pPr>
        <w:spacing w:after="0" w:line="1" w:lineRule="exact"/>
        <w:rPr>
          <w:rFonts w:ascii="Arial" w:cs="Arial" w:eastAsia="Arial" w:hAnsi="Arial"/>
          <w:sz w:val="16"/>
          <w:szCs w:val="16"/>
          <w:color w:val="auto"/>
        </w:rPr>
      </w:pPr>
    </w:p>
    <w:p>
      <w:pPr>
        <w:jc w:val="both"/>
        <w:ind w:left="340" w:right="20" w:hanging="332"/>
        <w:spacing w:after="0" w:line="255" w:lineRule="auto"/>
        <w:tabs>
          <w:tab w:leader="none" w:pos="3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holders of preferred stock are entitled to receive dividends, when and if declared by the issuing entity’s Board of Directors, out of any of the issuing entity’s funds or assets legally available. The holders of preferred stock are entitled to receive dividends prior to, and in preference of, dividends declared on common stock. Dividends are non-cumulative and paid on a pari passu basis, with any additional dividends paid ratably among holders of common stock and preferred stock on an as-converted basis.</w:t>
      </w:r>
    </w:p>
    <w:p>
      <w:pPr>
        <w:spacing w:after="0" w:line="1" w:lineRule="exact"/>
        <w:rPr>
          <w:rFonts w:ascii="Arial" w:cs="Arial" w:eastAsia="Arial" w:hAnsi="Arial"/>
          <w:sz w:val="16"/>
          <w:szCs w:val="16"/>
          <w:color w:val="auto"/>
        </w:rPr>
      </w:pPr>
    </w:p>
    <w:p>
      <w:pPr>
        <w:jc w:val="both"/>
        <w:ind w:left="340" w:hanging="332"/>
        <w:spacing w:after="0" w:line="258" w:lineRule="auto"/>
        <w:tabs>
          <w:tab w:leader="none" w:pos="33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Each share of preferred stock is convertible to common stock, at the option of the holder, at any time after the date of issuance at a specified rate. Each share of preferred stock will automatically convert into shares of common stock, at the then-effective conversion rate, upon the earlier of: (i) a qualifying initial public offering with aggregate gross proceeds exceeding $50.0 million or, (ii) upon the issuing entity’s receipt of written consent by the holders of a majority of the then-outstanding shares of preferred stock, voting as a single class, on an as-converted basis.</w:t>
      </w:r>
    </w:p>
    <w:p>
      <w:pPr>
        <w:spacing w:after="0" w:line="135"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Common Stock</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March 2024, as part of the Reorganization, the Company issued 74,121,957 common shares at a par value of $ 0.0001 per share as part of the formation of Markets, and certain employees were granted the ability to transfer outstanding common stock of FTI to the Company in the total amount of 3,667,229 shares in exchange for an equitable amount of common stock of Markets in the total amount of 25,876,894 shares. The shares received by the Company were returned to the authorized pool of shares available to be issued.</w:t>
      </w:r>
    </w:p>
    <w:p>
      <w:pPr>
        <w:spacing w:after="0" w:line="12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 December 2024, the Company voluntarily redeemed 186,054 common shares at a weighted average price of $5.38 per share and immediately retired the common shares, reducing common shares authorized for issuance by the same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34" w:right="339" w:bottom="1440" w:gutter="0" w:footer="0" w:header="0"/>
        </w:sectPr>
      </w:pPr>
    </w:p>
    <w:bookmarkStart w:id="288" w:name="page289"/>
    <w:bookmarkEnd w:id="288"/>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69"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In 2024, the Company issued 36,326,136 convertible preferred shares of Markets at a price of $2.02 per share for proceeds of $73.3 million, net of issuance costs totaling $1.5 million, of which proceeds of $52.1 million were received during the three months ended March 31, 2024.</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Protection Provisions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long as 12,000,000 and 20,907,534 shares of preferred stock of FTI and Markets, respectively, remain outstanding, a simple majority vote of the aggregate outstanding convertible preferred shares on an as-converted basis are necessary to consummate certain transactions for each respective entity, including but not limited to: creating any senior or pari passu security to the preferred stock; amending any provision of the certificate of incorporation or bylaws that would alter the privileges, preferences, or voting rights granted to preferred stock; declaring or paying any dividend or distribution with respect to preferred stock or common stock; changing the authorized number of members on the Board of Directors; entering into any transaction deemed to be a liquidation or dissolution of the issuing entity; authorizing a new class or series of equity security that have liquidation payment rights that are senior to any series of the preferred stock; or conduct any initial coin offering or token offering in which the issuing entity does not retain a majority of the proceeds or tokens following such offering.</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Warrants</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2024, the Company issued warrants to purchase up to 1,926,762, 1,926,762, and 7,707,069 preferred shares to an existing convertible preferred shareholder in exchange for a software license, one year of software development services, and up to two years of other services, respectively, for a total of 11,560,593 preferred shares issuable. In each case, the convertible preferred warrant holder may exercise at an exercise price of $0.65 per convertible preferred share within a 5-year period after issuance. Warrants for services provided by the convertible preferred shareholder not related to software are granted and immediately vest monthly.</w:t>
      </w:r>
    </w:p>
    <w:p>
      <w:pPr>
        <w:spacing w:after="0" w:line="1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March 2024, the convertible preferred warrant holder delivered the licensed software, and the Company capitalized the licensed software acquired of $3.0 million, representing the fair value of the warrants to purchase 1,926,762 convertible preferred share at that time, and a corresponding increase in additional paid-in capital.</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three months ended March 31, 2025, the Company recognized equity-based compensation expense within “Technology and product development” expense in the Condensed Combined Consolidated Statements of Operations of (a) the remaining $0.6 million of the $3.0 million grant-date fair value of the warrants to purchase up to 4,281,705 preferred shares related to software development services and</w:t>
      </w:r>
    </w:p>
    <w:p>
      <w:pPr>
        <w:spacing w:after="0" w:line="1" w:lineRule="exact"/>
        <w:rPr>
          <w:sz w:val="20"/>
          <w:szCs w:val="20"/>
          <w:color w:val="auto"/>
        </w:rPr>
      </w:pPr>
    </w:p>
    <w:p>
      <w:pPr>
        <w:ind w:firstLine="8"/>
        <w:spacing w:after="0" w:line="266" w:lineRule="auto"/>
        <w:tabs>
          <w:tab w:leader="none" w:pos="28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$2.3 million grant-date fair value of the warrants to purchase up to 1,284,512 preferred shares related to other services provided by the convertible preferred warrant holder.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2025, exercisable warrants have a weighted average exercise period of 2.3 years.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grants equity-based compensation in the form of options and RSAs to its officers, employees, and other service providers under the terms of the applicable equity incentive plans for the purpose of providing incentives and rewards for service or performance that align the interest of grantees with the long-term growth and profitability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134" w:right="339" w:bottom="1440" w:gutter="0" w:footer="0" w:header="0"/>
        </w:sectPr>
      </w:pPr>
    </w:p>
    <w:bookmarkStart w:id="289" w:name="page290"/>
    <w:bookmarkEnd w:id="289"/>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amount of stock-based compensation expense related to equity-based compensation recognized in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Combined Consolidated Statements of Operations:</w:t>
      </w:r>
    </w:p>
    <w:p>
      <w:pPr>
        <w:spacing w:after="0" w:line="203" w:lineRule="exact"/>
        <w:rPr>
          <w:sz w:val="20"/>
          <w:szCs w:val="20"/>
          <w:color w:val="auto"/>
        </w:rPr>
      </w:pPr>
    </w:p>
    <w:p>
      <w:pPr>
        <w:jc w:val="center"/>
        <w:ind w:left="7960"/>
        <w:spacing w:after="0"/>
        <w:rPr>
          <w:sz w:val="20"/>
          <w:szCs w:val="20"/>
          <w:color w:val="auto"/>
        </w:rPr>
      </w:pPr>
      <w:r>
        <w:rPr>
          <w:rFonts w:ascii="Arial" w:cs="Arial" w:eastAsia="Arial" w:hAnsi="Arial"/>
          <w:sz w:val="14"/>
          <w:szCs w:val="14"/>
          <w:b w:val="1"/>
          <w:bCs w:val="1"/>
          <w:color w:val="auto"/>
        </w:rPr>
        <w:t>For the Three Months Ended</w:t>
      </w:r>
    </w:p>
    <w:p>
      <w:pPr>
        <w:spacing w:after="0" w:line="2" w:lineRule="exact"/>
        <w:rPr>
          <w:sz w:val="20"/>
          <w:szCs w:val="20"/>
          <w:color w:val="auto"/>
        </w:rPr>
      </w:pPr>
    </w:p>
    <w:p>
      <w:pPr>
        <w:jc w:val="center"/>
        <w:ind w:left="796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r>
      <w:tr>
        <w:trPr>
          <w:trHeight w:val="22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22,199</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product development</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Operations and processing</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equity-based compensation expense</w:t>
            </w: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Equity Incentive Plans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2018, the Company adopted the 2018 Equity Incentive Plan (“2018 Plan”) that authorized the Company to grant up to 52,346,283 common stock of FTI to FTI’s employees, non-employees, officers, and directors in the form of incentive stock options, non-qualified stock options, and RSAs. At March 31, 2025 and December 31, 2024, the Company had granted awards equivalent to — and 48,861,380 common shares of FTI, respectively, gross of forfeited and delivered awards.</w:t>
      </w:r>
    </w:p>
    <w:p>
      <w:pPr>
        <w:spacing w:after="0" w:line="12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part of the Reorganization, the Company adopted the 2024 Equity Incentive Plan (“2024 Plan”) that authorized the Company to grant up to 22,985,889 common stock of Markets to Markets’ employees, non-employees, officers, and directors in the form of incentive stock options and non-qualified stock options. At March 31, 2025 and December 31, 2024, the Company had granted awards equivalent to — and 14,213,831 common stock of Markets, respectively, gross of forfeited and delivered awards.</w:t>
      </w:r>
    </w:p>
    <w:p>
      <w:pPr>
        <w:spacing w:after="0" w:line="12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i w:val="1"/>
          <w:iCs w:val="1"/>
          <w:color w:val="auto"/>
        </w:rPr>
        <w:t xml:space="preserve">Unrecognized Compensation Expense </w:t>
      </w:r>
      <w:r>
        <w:rPr>
          <w:rFonts w:ascii="Arial" w:cs="Arial" w:eastAsia="Arial" w:hAnsi="Arial"/>
          <w:sz w:val="18"/>
          <w:szCs w:val="18"/>
          <w:color w:val="auto"/>
        </w:rPr>
        <w:t>— At March 31, 2025, the Company has not yet recognized compensation expense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awards: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Unrecognized Compensation Expense</w:t>
            </w:r>
          </w:p>
        </w:tc>
        <w:tc>
          <w:tcPr>
            <w:tcW w:w="0" w:type="dxa"/>
            <w:vAlign w:val="bottom"/>
          </w:tcPr>
          <w:p>
            <w:pPr>
              <w:spacing w:after="0"/>
              <w:rPr>
                <w:sz w:val="1"/>
                <w:szCs w:val="1"/>
                <w:color w:val="auto"/>
              </w:rPr>
            </w:pPr>
          </w:p>
        </w:tc>
      </w:tr>
      <w:tr>
        <w:trPr>
          <w:trHeight w:val="120"/>
        </w:trPr>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2"/>
          </w:tcPr>
          <w:p>
            <w:pPr>
              <w:jc w:val="center"/>
              <w:ind w:right="120"/>
              <w:spacing w:after="0" w:line="115" w:lineRule="exact"/>
              <w:rPr>
                <w:sz w:val="20"/>
                <w:szCs w:val="20"/>
                <w:color w:val="auto"/>
              </w:rPr>
            </w:pPr>
            <w:r>
              <w:rPr>
                <w:rFonts w:ascii="Arial" w:cs="Arial" w:eastAsia="Arial" w:hAnsi="Arial"/>
                <w:sz w:val="13"/>
                <w:szCs w:val="13"/>
                <w:b w:val="1"/>
                <w:bCs w:val="1"/>
                <w:color w:val="auto"/>
              </w:rPr>
              <w:t>Recognition Period</w:t>
            </w:r>
          </w:p>
        </w:tc>
        <w:tc>
          <w:tcPr>
            <w:tcW w:w="1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2"/>
            <w:vMerge w:val="continue"/>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740" w:type="dxa"/>
            <w:vAlign w:val="bottom"/>
            <w:tcBorders>
              <w:bottom w:val="single" w:sz="8" w:color="auto"/>
            </w:tcBorders>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2340" w:type="dxa"/>
            <w:vAlign w:val="bottom"/>
          </w:tcPr>
          <w:p>
            <w:pPr>
              <w:ind w:left="20"/>
              <w:spacing w:after="0"/>
              <w:rPr>
                <w:sz w:val="20"/>
                <w:szCs w:val="20"/>
                <w:color w:val="auto"/>
              </w:rPr>
            </w:pPr>
            <w:r>
              <w:rPr>
                <w:rFonts w:ascii="Arial" w:cs="Arial" w:eastAsia="Arial" w:hAnsi="Arial"/>
                <w:sz w:val="14"/>
                <w:szCs w:val="14"/>
                <w:b w:val="1"/>
                <w:bCs w:val="1"/>
                <w:color w:val="auto"/>
              </w:rPr>
              <w:t>Vesting Condition</w:t>
            </w:r>
          </w:p>
        </w:tc>
        <w:tc>
          <w:tcPr>
            <w:tcW w:w="100" w:type="dxa"/>
            <w:vAlign w:val="bottom"/>
          </w:tcPr>
          <w:p>
            <w:pPr>
              <w:spacing w:after="0"/>
              <w:rPr>
                <w:sz w:val="17"/>
                <w:szCs w:val="17"/>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(Years)</w:t>
            </w:r>
          </w:p>
        </w:tc>
        <w:tc>
          <w:tcPr>
            <w:tcW w:w="1500" w:type="dxa"/>
            <w:vAlign w:val="bottom"/>
            <w:gridSpan w:val="2"/>
          </w:tcPr>
          <w:p>
            <w:pPr>
              <w:ind w:left="420"/>
              <w:spacing w:after="0"/>
              <w:rPr>
                <w:sz w:val="20"/>
                <w:szCs w:val="20"/>
                <w:color w:val="auto"/>
              </w:rPr>
            </w:pPr>
            <w:r>
              <w:rPr>
                <w:rFonts w:ascii="Arial" w:cs="Arial" w:eastAsia="Arial" w:hAnsi="Arial"/>
                <w:sz w:val="14"/>
                <w:szCs w:val="14"/>
                <w:b w:val="1"/>
                <w:bCs w:val="1"/>
                <w:color w:val="auto"/>
              </w:rPr>
              <w:t>Options</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RSAs</w:t>
            </w: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7"/>
                <w:szCs w:val="17"/>
                <w:color w:val="auto"/>
              </w:rPr>
            </w:pPr>
          </w:p>
        </w:tc>
        <w:tc>
          <w:tcPr>
            <w:tcW w:w="1020" w:type="dxa"/>
            <w:vAlign w:val="bottom"/>
          </w:tcPr>
          <w:p>
            <w:pPr>
              <w:jc w:val="right"/>
              <w:ind w:right="375"/>
              <w:spacing w:after="0"/>
              <w:rPr>
                <w:sz w:val="20"/>
                <w:szCs w:val="20"/>
                <w:color w:val="auto"/>
              </w:rPr>
            </w:pPr>
            <w:r>
              <w:rPr>
                <w:rFonts w:ascii="Arial" w:cs="Arial" w:eastAsia="Arial" w:hAnsi="Arial"/>
                <w:sz w:val="14"/>
                <w:szCs w:val="14"/>
                <w:b w:val="1"/>
                <w:bCs w:val="1"/>
                <w:color w:val="auto"/>
              </w:rPr>
              <w:t>RSAs</w:t>
            </w:r>
          </w:p>
        </w:tc>
        <w:tc>
          <w:tcPr>
            <w:tcW w:w="0" w:type="dxa"/>
            <w:vAlign w:val="bottom"/>
          </w:tcPr>
          <w:p>
            <w:pPr>
              <w:spacing w:after="0"/>
              <w:rPr>
                <w:sz w:val="1"/>
                <w:szCs w:val="1"/>
                <w:color w:val="auto"/>
              </w:rPr>
            </w:pPr>
          </w:p>
        </w:tc>
      </w:tr>
      <w:tr>
        <w:trPr>
          <w:trHeight w:val="224"/>
        </w:trPr>
        <w:tc>
          <w:tcPr>
            <w:tcW w:w="234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Time-based</w:t>
            </w:r>
            <w:r>
              <w:rPr>
                <w:rFonts w:ascii="Arial" w:cs="Arial" w:eastAsia="Arial" w:hAnsi="Arial"/>
                <w:sz w:val="23"/>
                <w:szCs w:val="23"/>
                <w:color w:val="auto"/>
                <w:vertAlign w:val="superscript"/>
              </w:rPr>
              <w:t>(A)</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562"/>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15,670</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15,670,035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line="230" w:lineRule="exact"/>
              <w:rPr>
                <w:sz w:val="20"/>
                <w:szCs w:val="20"/>
                <w:color w:val="auto"/>
              </w:rPr>
            </w:pPr>
            <w:r>
              <w:rPr>
                <w:rFonts w:ascii="Arial" w:cs="Arial" w:eastAsia="Arial" w:hAnsi="Arial"/>
                <w:sz w:val="18"/>
                <w:szCs w:val="18"/>
                <w:color w:val="auto"/>
              </w:rPr>
              <w:t>Multiple</w:t>
            </w:r>
            <w:r>
              <w:rPr>
                <w:rFonts w:ascii="Arial" w:cs="Arial" w:eastAsia="Arial" w:hAnsi="Arial"/>
                <w:sz w:val="23"/>
                <w:szCs w:val="23"/>
                <w:color w:val="auto"/>
                <w:vertAlign w:val="superscript"/>
              </w:rPr>
              <w:t>(A)(B)</w:t>
            </w:r>
          </w:p>
        </w:tc>
        <w:tc>
          <w:tcPr>
            <w:tcW w:w="100" w:type="dxa"/>
            <w:vAlign w:val="bottom"/>
          </w:tcPr>
          <w:p>
            <w:pPr>
              <w:spacing w:after="0"/>
              <w:rPr>
                <w:sz w:val="19"/>
                <w:szCs w:val="19"/>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5,875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5,874,850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28,317</w:t>
            </w:r>
          </w:p>
        </w:tc>
        <w:tc>
          <w:tcPr>
            <w:tcW w:w="0" w:type="dxa"/>
            <w:vAlign w:val="bottom"/>
          </w:tcPr>
          <w:p>
            <w:pPr>
              <w:spacing w:after="0"/>
              <w:rPr>
                <w:sz w:val="1"/>
                <w:szCs w:val="1"/>
                <w:color w:val="auto"/>
              </w:rPr>
            </w:pPr>
          </w:p>
        </w:tc>
      </w:tr>
      <w:tr>
        <w:trPr>
          <w:trHeight w:val="248"/>
        </w:trPr>
        <w:tc>
          <w:tcPr>
            <w:tcW w:w="2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21,544,885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28,317</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340" w:hanging="332"/>
        <w:spacing w:after="0"/>
        <w:tabs>
          <w:tab w:leader="none" w:pos="3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All awards vest over a period of two to four years, and most awards have a one year cliff vesting feature.</w:t>
      </w:r>
    </w:p>
    <w:p>
      <w:pPr>
        <w:spacing w:after="0" w:line="8" w:lineRule="exact"/>
        <w:rPr>
          <w:rFonts w:ascii="Arial" w:cs="Arial" w:eastAsia="Arial" w:hAnsi="Arial"/>
          <w:sz w:val="16"/>
          <w:szCs w:val="16"/>
          <w:color w:val="auto"/>
        </w:rPr>
      </w:pPr>
    </w:p>
    <w:p>
      <w:pPr>
        <w:ind w:left="340" w:right="20" w:hanging="332"/>
        <w:spacing w:after="0" w:line="265" w:lineRule="auto"/>
        <w:tabs>
          <w:tab w:leader="none" w:pos="3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Awards include a service period vesting condition, as noted above, and liquidity-based vesting conditions. These awards require a liquidity event, as defined in the award agreement, that has neither occurred nor is reasonably likely to occur at March 31, 2025.</w:t>
      </w:r>
    </w:p>
    <w:p>
      <w:pPr>
        <w:spacing w:after="0" w:line="128"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i w:val="1"/>
          <w:iCs w:val="1"/>
          <w:color w:val="auto"/>
        </w:rPr>
        <w:t>Modifications of Awards Under the 2018 Plan</w:t>
      </w:r>
    </w:p>
    <w:p>
      <w:pPr>
        <w:spacing w:after="0" w:line="16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Company extended the post-termination exercise period of vested options held by certain current and former employees, resulting in $3.6 million of incremental equity-based compensation expense recognized during the three months ended March 31, 2024.</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Noncontrolling Interests in Consolidated Subsidiaries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following amounts relate to equity interests held by the third-party investors in a real estate investment trust subsidiary, Figure REIT, Inc. (“Figure REIT”) and the Figure Markets Offshore Opportunity Investment Fund L.P. (“Offshore Solana Fund”) both of which the Company consolidates, but does not wholly-own.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noncontrolling interests in the net income (loss) is computed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134" w:right="339" w:bottom="1440" w:gutter="0" w:footer="0" w:header="0"/>
        </w:sectPr>
      </w:pPr>
    </w:p>
    <w:bookmarkStart w:id="290" w:name="page291"/>
    <w:bookmarkEnd w:id="290"/>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6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Three Months Ended March 31,</w:t>
            </w:r>
          </w:p>
        </w:tc>
        <w:tc>
          <w:tcPr>
            <w:tcW w:w="1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Noncontrolling</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ind w:right="61"/>
              <w:spacing w:after="0" w:line="147" w:lineRule="exact"/>
              <w:rPr>
                <w:sz w:val="20"/>
                <w:szCs w:val="20"/>
                <w:color w:val="auto"/>
              </w:rPr>
            </w:pPr>
            <w:r>
              <w:rPr>
                <w:rFonts w:ascii="Arial" w:cs="Arial" w:eastAsia="Arial" w:hAnsi="Arial"/>
                <w:sz w:val="14"/>
                <w:szCs w:val="14"/>
                <w:b w:val="1"/>
                <w:bCs w:val="1"/>
                <w:color w:val="auto"/>
              </w:rPr>
              <w:t>Noncontrolling</w:t>
            </w:r>
          </w:p>
        </w:tc>
        <w:tc>
          <w:tcPr>
            <w:tcW w:w="0" w:type="dxa"/>
            <w:vAlign w:val="bottom"/>
          </w:tcPr>
          <w:p>
            <w:pPr>
              <w:spacing w:after="0"/>
              <w:rPr>
                <w:sz w:val="1"/>
                <w:szCs w:val="1"/>
                <w:color w:val="auto"/>
              </w:rPr>
            </w:pPr>
          </w:p>
        </w:tc>
      </w:tr>
      <w:tr>
        <w:trPr>
          <w:trHeight w:val="144"/>
        </w:trPr>
        <w:tc>
          <w:tcPr>
            <w:tcW w:w="1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Interest in Income</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ind w:right="41"/>
              <w:spacing w:after="0" w:line="145" w:lineRule="exact"/>
              <w:rPr>
                <w:sz w:val="20"/>
                <w:szCs w:val="20"/>
                <w:color w:val="auto"/>
              </w:rPr>
            </w:pPr>
            <w:r>
              <w:rPr>
                <w:rFonts w:ascii="Arial" w:cs="Arial" w:eastAsia="Arial" w:hAnsi="Arial"/>
                <w:sz w:val="14"/>
                <w:szCs w:val="14"/>
                <w:b w:val="1"/>
                <w:bCs w:val="1"/>
                <w:color w:val="auto"/>
              </w:rPr>
              <w:t>Interest in Income</w:t>
            </w:r>
          </w:p>
        </w:tc>
        <w:tc>
          <w:tcPr>
            <w:tcW w:w="0" w:type="dxa"/>
            <w:vAlign w:val="bottom"/>
          </w:tcPr>
          <w:p>
            <w:pPr>
              <w:spacing w:after="0"/>
              <w:rPr>
                <w:sz w:val="1"/>
                <w:szCs w:val="1"/>
                <w:color w:val="auto"/>
              </w:rPr>
            </w:pPr>
          </w:p>
        </w:tc>
      </w:tr>
      <w:tr>
        <w:trPr>
          <w:trHeight w:val="139"/>
        </w:trPr>
        <w:tc>
          <w:tcPr>
            <w:tcW w:w="1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Noncontrolling Interest</w:t>
            </w:r>
          </w:p>
        </w:tc>
        <w:tc>
          <w:tcPr>
            <w:tcW w:w="140" w:type="dxa"/>
            <w:vAlign w:val="bottom"/>
          </w:tcPr>
          <w:p>
            <w:pPr>
              <w:spacing w:after="0"/>
              <w:rPr>
                <w:sz w:val="12"/>
                <w:szCs w:val="12"/>
                <w:color w:val="auto"/>
              </w:rPr>
            </w:pPr>
          </w:p>
        </w:tc>
        <w:tc>
          <w:tcPr>
            <w:tcW w:w="150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rPr>
              <w:t>(Loss) of</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Noncontrolling Interest</w:t>
            </w:r>
          </w:p>
        </w:tc>
        <w:tc>
          <w:tcPr>
            <w:tcW w:w="120" w:type="dxa"/>
            <w:vAlign w:val="bottom"/>
          </w:tcPr>
          <w:p>
            <w:pPr>
              <w:spacing w:after="0"/>
              <w:rPr>
                <w:sz w:val="12"/>
                <w:szCs w:val="12"/>
                <w:color w:val="auto"/>
              </w:rPr>
            </w:pPr>
          </w:p>
        </w:tc>
        <w:tc>
          <w:tcPr>
            <w:tcW w:w="1400" w:type="dxa"/>
            <w:vAlign w:val="bottom"/>
          </w:tcPr>
          <w:p>
            <w:pPr>
              <w:jc w:val="center"/>
              <w:ind w:right="41"/>
              <w:spacing w:after="0" w:line="139" w:lineRule="exact"/>
              <w:rPr>
                <w:sz w:val="20"/>
                <w:szCs w:val="20"/>
                <w:color w:val="auto"/>
              </w:rPr>
            </w:pPr>
            <w:r>
              <w:rPr>
                <w:rFonts w:ascii="Arial" w:cs="Arial" w:eastAsia="Arial" w:hAnsi="Arial"/>
                <w:sz w:val="14"/>
                <w:szCs w:val="14"/>
                <w:b w:val="1"/>
                <w:bCs w:val="1"/>
                <w:color w:val="auto"/>
              </w:rPr>
              <w:t>(Loss) of</w:t>
            </w:r>
          </w:p>
        </w:tc>
        <w:tc>
          <w:tcPr>
            <w:tcW w:w="0" w:type="dxa"/>
            <w:vAlign w:val="bottom"/>
          </w:tcPr>
          <w:p>
            <w:pPr>
              <w:spacing w:after="0"/>
              <w:rPr>
                <w:sz w:val="1"/>
                <w:szCs w:val="1"/>
                <w:color w:val="auto"/>
              </w:rPr>
            </w:pPr>
          </w:p>
        </w:tc>
      </w:tr>
      <w:tr>
        <w:trPr>
          <w:trHeight w:val="144"/>
        </w:trPr>
        <w:tc>
          <w:tcPr>
            <w:tcW w:w="1620" w:type="dxa"/>
            <w:vAlign w:val="bottom"/>
          </w:tcPr>
          <w:p>
            <w:pPr>
              <w:spacing w:after="0"/>
              <w:rPr>
                <w:sz w:val="12"/>
                <w:szCs w:val="12"/>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 Income (Loss)</w:t>
            </w:r>
          </w:p>
        </w:tc>
        <w:tc>
          <w:tcPr>
            <w:tcW w:w="1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Consolidated</w:t>
            </w:r>
          </w:p>
        </w:tc>
        <w:tc>
          <w:tcPr>
            <w:tcW w:w="22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Income</w:t>
            </w:r>
          </w:p>
        </w:tc>
        <w:tc>
          <w:tcPr>
            <w:tcW w:w="1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ind w:right="41"/>
              <w:spacing w:after="0" w:line="145" w:lineRule="exact"/>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760" w:type="dxa"/>
            <w:vAlign w:val="bottom"/>
            <w:gridSpan w:val="2"/>
          </w:tcPr>
          <w:p>
            <w:pPr>
              <w:jc w:val="center"/>
              <w:ind w:right="100"/>
              <w:spacing w:after="0" w:line="189" w:lineRule="exact"/>
              <w:rPr>
                <w:sz w:val="20"/>
                <w:szCs w:val="20"/>
                <w:color w:val="auto"/>
              </w:rPr>
            </w:pPr>
            <w:r>
              <w:rPr>
                <w:rFonts w:ascii="Arial" w:cs="Arial" w:eastAsia="Arial" w:hAnsi="Arial"/>
                <w:sz w:val="14"/>
                <w:szCs w:val="14"/>
                <w:b w:val="1"/>
                <w:bCs w:val="1"/>
                <w:color w:val="auto"/>
              </w:rPr>
              <w:t>as a Percent of Total</w:t>
            </w:r>
            <w:r>
              <w:rPr>
                <w:rFonts w:ascii="Arial" w:cs="Arial" w:eastAsia="Arial" w:hAnsi="Arial"/>
                <w:sz w:val="18"/>
                <w:szCs w:val="18"/>
                <w:b w:val="1"/>
                <w:bCs w:val="1"/>
                <w:color w:val="auto"/>
                <w:vertAlign w:val="superscript"/>
              </w:rPr>
              <w:t>(A)</w:t>
            </w: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780" w:type="dxa"/>
            <w:vAlign w:val="bottom"/>
            <w:gridSpan w:val="2"/>
          </w:tcPr>
          <w:p>
            <w:pPr>
              <w:jc w:val="center"/>
              <w:ind w:right="100"/>
              <w:spacing w:after="0" w:line="189" w:lineRule="exact"/>
              <w:rPr>
                <w:sz w:val="20"/>
                <w:szCs w:val="20"/>
                <w:color w:val="auto"/>
              </w:rPr>
            </w:pPr>
            <w:r>
              <w:rPr>
                <w:rFonts w:ascii="Arial" w:cs="Arial" w:eastAsia="Arial" w:hAnsi="Arial"/>
                <w:sz w:val="14"/>
                <w:szCs w:val="14"/>
                <w:b w:val="1"/>
                <w:bCs w:val="1"/>
                <w:color w:val="auto"/>
                <w:w w:val="98"/>
              </w:rPr>
              <w:t>as a Percent of Total</w:t>
            </w:r>
            <w:r>
              <w:rPr>
                <w:rFonts w:ascii="Arial" w:cs="Arial" w:eastAsia="Arial" w:hAnsi="Arial"/>
                <w:sz w:val="18"/>
                <w:szCs w:val="18"/>
                <w:b w:val="1"/>
                <w:bCs w:val="1"/>
                <w:color w:val="auto"/>
                <w:w w:val="98"/>
                <w:vertAlign w:val="superscript"/>
              </w:rPr>
              <w:t>(A)</w:t>
            </w:r>
          </w:p>
        </w:tc>
        <w:tc>
          <w:tcPr>
            <w:tcW w:w="120" w:type="dxa"/>
            <w:vAlign w:val="bottom"/>
          </w:tcPr>
          <w:p>
            <w:pPr>
              <w:spacing w:after="0"/>
              <w:rPr>
                <w:sz w:val="16"/>
                <w:szCs w:val="16"/>
                <w:color w:val="auto"/>
              </w:rPr>
            </w:pPr>
          </w:p>
        </w:tc>
        <w:tc>
          <w:tcPr>
            <w:tcW w:w="1400" w:type="dxa"/>
            <w:vAlign w:val="bottom"/>
          </w:tcPr>
          <w:p>
            <w:pPr>
              <w:jc w:val="center"/>
              <w:ind w:right="61"/>
              <w:spacing w:after="0"/>
              <w:rPr>
                <w:sz w:val="20"/>
                <w:szCs w:val="20"/>
                <w:color w:val="auto"/>
              </w:rPr>
            </w:pPr>
            <w:r>
              <w:rPr>
                <w:rFonts w:ascii="Arial" w:cs="Arial" w:eastAsia="Arial" w:hAnsi="Arial"/>
                <w:sz w:val="14"/>
                <w:szCs w:val="14"/>
                <w:b w:val="1"/>
                <w:bCs w:val="1"/>
                <w:color w:val="auto"/>
              </w:rPr>
              <w:t>Subsidiaries</w:t>
            </w:r>
          </w:p>
        </w:tc>
        <w:tc>
          <w:tcPr>
            <w:tcW w:w="0" w:type="dxa"/>
            <w:vAlign w:val="bottom"/>
          </w:tcPr>
          <w:p>
            <w:pPr>
              <w:spacing w:after="0"/>
              <w:rPr>
                <w:sz w:val="1"/>
                <w:szCs w:val="1"/>
                <w:color w:val="auto"/>
              </w:rPr>
            </w:pPr>
          </w:p>
        </w:tc>
      </w:tr>
      <w:tr>
        <w:trPr>
          <w:trHeight w:val="223"/>
        </w:trPr>
        <w:tc>
          <w:tcPr>
            <w:tcW w:w="1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Figure REIT</w:t>
            </w:r>
          </w:p>
        </w:tc>
        <w:tc>
          <w:tcPr>
            <w:tcW w:w="44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center"/>
              <w:ind w:left="882"/>
              <w:spacing w:after="0"/>
              <w:rPr>
                <w:sz w:val="20"/>
                <w:szCs w:val="20"/>
                <w:color w:val="auto"/>
              </w:rPr>
            </w:pPr>
            <w:r>
              <w:rPr>
                <w:rFonts w:ascii="Arial" w:cs="Arial" w:eastAsia="Arial" w:hAnsi="Arial"/>
                <w:sz w:val="18"/>
                <w:szCs w:val="18"/>
                <w:color w:val="auto"/>
                <w:w w:val="99"/>
              </w:rPr>
              <w:t>390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176"/>
        </w:trPr>
        <w:tc>
          <w:tcPr>
            <w:tcW w:w="1620" w:type="dxa"/>
            <w:vAlign w:val="bottom"/>
          </w:tcPr>
          <w:p>
            <w:pPr>
              <w:ind w:left="20"/>
              <w:spacing w:after="0" w:line="176" w:lineRule="exact"/>
              <w:rPr>
                <w:sz w:val="20"/>
                <w:szCs w:val="20"/>
                <w:color w:val="auto"/>
              </w:rPr>
            </w:pPr>
            <w:r>
              <w:rPr>
                <w:rFonts w:ascii="Arial" w:cs="Arial" w:eastAsia="Arial" w:hAnsi="Arial"/>
                <w:sz w:val="18"/>
                <w:szCs w:val="18"/>
                <w:color w:val="auto"/>
              </w:rPr>
              <w:t>Offshore Solana</w:t>
            </w:r>
          </w:p>
        </w:tc>
        <w:tc>
          <w:tcPr>
            <w:tcW w:w="4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(6,536)</w:t>
            </w:r>
          </w:p>
        </w:tc>
        <w:tc>
          <w:tcPr>
            <w:tcW w:w="100" w:type="dxa"/>
            <w:vAlign w:val="bottom"/>
          </w:tcPr>
          <w:p>
            <w:pPr>
              <w:spacing w:after="0"/>
              <w:rPr>
                <w:sz w:val="15"/>
                <w:szCs w:val="15"/>
                <w:color w:val="auto"/>
              </w:rPr>
            </w:pPr>
          </w:p>
        </w:tc>
        <w:tc>
          <w:tcPr>
            <w:tcW w:w="1660" w:type="dxa"/>
            <w:vAlign w:val="bottom"/>
            <w:vMerge w:val="restart"/>
          </w:tcPr>
          <w:p>
            <w:pPr>
              <w:jc w:val="right"/>
              <w:ind w:right="139"/>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vMerge w:val="restart"/>
          </w:tcPr>
          <w:p>
            <w:pPr>
              <w:jc w:val="center"/>
              <w:ind w:left="842"/>
              <w:spacing w:after="0"/>
              <w:rPr>
                <w:sz w:val="20"/>
                <w:szCs w:val="20"/>
                <w:color w:val="auto"/>
              </w:rPr>
            </w:pPr>
            <w:r>
              <w:rPr>
                <w:rFonts w:ascii="Arial" w:cs="Arial" w:eastAsia="Arial" w:hAnsi="Arial"/>
                <w:sz w:val="18"/>
                <w:szCs w:val="18"/>
                <w:color w:val="auto"/>
                <w:w w:val="99"/>
              </w:rPr>
              <w:t>(183)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00" w:type="dxa"/>
            <w:vAlign w:val="bottom"/>
            <w:vMerge w:val="restart"/>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620" w:type="dxa"/>
            <w:vAlign w:val="bottom"/>
          </w:tcPr>
          <w:p>
            <w:pPr>
              <w:ind w:left="180"/>
              <w:spacing w:after="0"/>
              <w:rPr>
                <w:sz w:val="20"/>
                <w:szCs w:val="20"/>
                <w:color w:val="auto"/>
              </w:rPr>
            </w:pPr>
            <w:r>
              <w:rPr>
                <w:rFonts w:ascii="Arial" w:cs="Arial" w:eastAsia="Arial" w:hAnsi="Arial"/>
                <w:sz w:val="18"/>
                <w:szCs w:val="18"/>
                <w:color w:val="auto"/>
              </w:rPr>
              <w:t>Fund</w:t>
            </w:r>
          </w:p>
        </w:tc>
        <w:tc>
          <w:tcPr>
            <w:tcW w:w="44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78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6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Total / weighted</w:t>
            </w:r>
          </w:p>
        </w:tc>
        <w:tc>
          <w:tcPr>
            <w:tcW w:w="440" w:type="dxa"/>
            <w:vAlign w:val="bottom"/>
            <w:tcBorders>
              <w:top w:val="single" w:sz="8" w:color="auto"/>
            </w:tcBorders>
            <w:vMerge w:val="restart"/>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10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vMerge w:val="restart"/>
            <w:shd w:val="clear" w:color="auto" w:fill="CCEEFF"/>
          </w:tcPr>
          <w:p>
            <w:pPr>
              <w:jc w:val="center"/>
              <w:ind w:left="882"/>
              <w:spacing w:after="0"/>
              <w:rPr>
                <w:sz w:val="20"/>
                <w:szCs w:val="20"/>
                <w:color w:val="auto"/>
              </w:rPr>
            </w:pPr>
            <w:r>
              <w:rPr>
                <w:rFonts w:ascii="Arial" w:cs="Arial" w:eastAsia="Arial" w:hAnsi="Arial"/>
                <w:sz w:val="18"/>
                <w:szCs w:val="18"/>
                <w:color w:val="auto"/>
                <w:w w:val="99"/>
              </w:rPr>
              <w:t>207</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8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44.6 %</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43"/>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w:t>
            </w:r>
          </w:p>
        </w:tc>
        <w:tc>
          <w:tcPr>
            <w:tcW w:w="44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tabs>
          <w:tab w:leader="none" w:pos="3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Represents the weighted average percentage of total noncontrolling shareholders’ net income (loss) in consolidated subsidiaries.</w:t>
      </w:r>
    </w:p>
    <w:p>
      <w:pPr>
        <w:spacing w:after="0" w:line="1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noncontrolling interests in the equity of consolidated subsidiaries is computed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March 31, 2025</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December 31, 2024</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Noncontrolling</w:t>
            </w:r>
          </w:p>
        </w:tc>
        <w:tc>
          <w:tcPr>
            <w:tcW w:w="200" w:type="dxa"/>
            <w:vAlign w:val="bottom"/>
          </w:tcPr>
          <w:p>
            <w:pPr>
              <w:spacing w:after="0"/>
              <w:rPr>
                <w:sz w:val="12"/>
                <w:szCs w:val="12"/>
                <w:color w:val="auto"/>
              </w:rPr>
            </w:pPr>
          </w:p>
        </w:tc>
        <w:tc>
          <w:tcPr>
            <w:tcW w:w="14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Noncontrolling</w:t>
            </w: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2"/>
                <w:szCs w:val="12"/>
                <w:color w:val="auto"/>
              </w:rPr>
            </w:pPr>
          </w:p>
        </w:tc>
        <w:tc>
          <w:tcPr>
            <w:tcW w:w="1340" w:type="dxa"/>
            <w:vAlign w:val="bottom"/>
          </w:tcPr>
          <w:p>
            <w:pPr>
              <w:jc w:val="center"/>
              <w:ind w:right="119"/>
              <w:spacing w:after="0" w:line="147" w:lineRule="exact"/>
              <w:rPr>
                <w:sz w:val="20"/>
                <w:szCs w:val="20"/>
                <w:color w:val="auto"/>
              </w:rPr>
            </w:pPr>
            <w:r>
              <w:rPr>
                <w:rFonts w:ascii="Arial" w:cs="Arial" w:eastAsia="Arial" w:hAnsi="Arial"/>
                <w:sz w:val="14"/>
                <w:szCs w:val="14"/>
                <w:b w:val="1"/>
                <w:bCs w:val="1"/>
                <w:color w:val="auto"/>
              </w:rPr>
              <w:t>Noncontrolling</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5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Total Consolidated</w:t>
            </w:r>
          </w:p>
        </w:tc>
        <w:tc>
          <w:tcPr>
            <w:tcW w:w="1740" w:type="dxa"/>
            <w:vAlign w:val="bottom"/>
            <w:gridSpan w:val="2"/>
            <w:vMerge w:val="continue"/>
          </w:tcPr>
          <w:p>
            <w:pPr>
              <w:spacing w:after="0"/>
              <w:rPr>
                <w:sz w:val="12"/>
                <w:szCs w:val="12"/>
                <w:color w:val="auto"/>
              </w:rPr>
            </w:pPr>
          </w:p>
        </w:tc>
        <w:tc>
          <w:tcPr>
            <w:tcW w:w="16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Interest in Equity of</w:t>
            </w:r>
          </w:p>
        </w:tc>
        <w:tc>
          <w:tcPr>
            <w:tcW w:w="15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Total Consolidated</w:t>
            </w:r>
          </w:p>
        </w:tc>
        <w:tc>
          <w:tcPr>
            <w:tcW w:w="1760" w:type="dxa"/>
            <w:vAlign w:val="bottom"/>
            <w:gridSpan w:val="2"/>
            <w:vMerge w:val="continue"/>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Interest in Equity of</w:t>
            </w:r>
          </w:p>
        </w:tc>
        <w:tc>
          <w:tcPr>
            <w:tcW w:w="0" w:type="dxa"/>
            <w:vAlign w:val="bottom"/>
          </w:tcPr>
          <w:p>
            <w:pPr>
              <w:spacing w:after="0"/>
              <w:rPr>
                <w:sz w:val="1"/>
                <w:szCs w:val="1"/>
                <w:color w:val="auto"/>
              </w:rPr>
            </w:pPr>
          </w:p>
        </w:tc>
      </w:tr>
      <w:tr>
        <w:trPr>
          <w:trHeight w:val="144"/>
        </w:trPr>
        <w:tc>
          <w:tcPr>
            <w:tcW w:w="158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7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rPr>
              <w:t>Ownership Interest as a</w:t>
            </w:r>
          </w:p>
        </w:tc>
        <w:tc>
          <w:tcPr>
            <w:tcW w:w="200" w:type="dxa"/>
            <w:vAlign w:val="bottom"/>
          </w:tcPr>
          <w:p>
            <w:pPr>
              <w:spacing w:after="0"/>
              <w:rPr>
                <w:sz w:val="12"/>
                <w:szCs w:val="12"/>
                <w:color w:val="auto"/>
              </w:rPr>
            </w:pPr>
          </w:p>
        </w:tc>
        <w:tc>
          <w:tcPr>
            <w:tcW w:w="14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Consolidated</w:t>
            </w:r>
          </w:p>
        </w:tc>
        <w:tc>
          <w:tcPr>
            <w:tcW w:w="1500" w:type="dxa"/>
            <w:vAlign w:val="bottom"/>
            <w:gridSpan w:val="3"/>
            <w:vMerge w:val="continue"/>
          </w:tcPr>
          <w:p>
            <w:pPr>
              <w:spacing w:after="0"/>
              <w:rPr>
                <w:sz w:val="12"/>
                <w:szCs w:val="12"/>
                <w:color w:val="auto"/>
              </w:rPr>
            </w:pPr>
          </w:p>
        </w:tc>
        <w:tc>
          <w:tcPr>
            <w:tcW w:w="17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Ownership Interest as a</w:t>
            </w:r>
          </w:p>
        </w:tc>
        <w:tc>
          <w:tcPr>
            <w:tcW w:w="180" w:type="dxa"/>
            <w:vAlign w:val="bottom"/>
          </w:tcPr>
          <w:p>
            <w:pPr>
              <w:spacing w:after="0"/>
              <w:rPr>
                <w:sz w:val="12"/>
                <w:szCs w:val="12"/>
                <w:color w:val="auto"/>
              </w:rPr>
            </w:pPr>
          </w:p>
        </w:tc>
        <w:tc>
          <w:tcPr>
            <w:tcW w:w="1340" w:type="dxa"/>
            <w:vAlign w:val="bottom"/>
          </w:tcPr>
          <w:p>
            <w:pPr>
              <w:jc w:val="center"/>
              <w:ind w:right="99"/>
              <w:spacing w:after="0" w:line="145" w:lineRule="exact"/>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Equity</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Percent of Total</w:t>
            </w:r>
          </w:p>
        </w:tc>
        <w:tc>
          <w:tcPr>
            <w:tcW w:w="20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Equity</w:t>
            </w: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Percent of Total</w:t>
            </w:r>
          </w:p>
        </w:tc>
        <w:tc>
          <w:tcPr>
            <w:tcW w:w="180" w:type="dxa"/>
            <w:vAlign w:val="bottom"/>
          </w:tcPr>
          <w:p>
            <w:pPr>
              <w:spacing w:after="0"/>
              <w:rPr>
                <w:sz w:val="16"/>
                <w:szCs w:val="16"/>
                <w:color w:val="auto"/>
              </w:rPr>
            </w:pPr>
          </w:p>
        </w:tc>
        <w:tc>
          <w:tcPr>
            <w:tcW w:w="1340" w:type="dxa"/>
            <w:vAlign w:val="bottom"/>
          </w:tcPr>
          <w:p>
            <w:pPr>
              <w:jc w:val="center"/>
              <w:ind w:right="119"/>
              <w:spacing w:after="0"/>
              <w:rPr>
                <w:sz w:val="20"/>
                <w:szCs w:val="20"/>
                <w:color w:val="auto"/>
              </w:rPr>
            </w:pPr>
            <w:r>
              <w:rPr>
                <w:rFonts w:ascii="Arial" w:cs="Arial" w:eastAsia="Arial" w:hAnsi="Arial"/>
                <w:sz w:val="14"/>
                <w:szCs w:val="14"/>
                <w:b w:val="1"/>
                <w:bCs w:val="1"/>
                <w:color w:val="auto"/>
              </w:rPr>
              <w:t>Subsidiaries</w:t>
            </w:r>
          </w:p>
        </w:tc>
        <w:tc>
          <w:tcPr>
            <w:tcW w:w="0" w:type="dxa"/>
            <w:vAlign w:val="bottom"/>
          </w:tcPr>
          <w:p>
            <w:pPr>
              <w:spacing w:after="0"/>
              <w:rPr>
                <w:sz w:val="1"/>
                <w:szCs w:val="1"/>
                <w:color w:val="auto"/>
              </w:rPr>
            </w:pPr>
          </w:p>
        </w:tc>
      </w:tr>
      <w:tr>
        <w:trPr>
          <w:trHeight w:val="223"/>
        </w:trPr>
        <w:tc>
          <w:tcPr>
            <w:tcW w:w="1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Figure REIT</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17,554</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44.6  %</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18,261</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7,769</w:t>
            </w:r>
          </w:p>
        </w:tc>
        <w:tc>
          <w:tcPr>
            <w:tcW w:w="0" w:type="dxa"/>
            <w:vAlign w:val="bottom"/>
          </w:tcPr>
          <w:p>
            <w:pPr>
              <w:spacing w:after="0"/>
              <w:rPr>
                <w:sz w:val="1"/>
                <w:szCs w:val="1"/>
                <w:color w:val="auto"/>
              </w:rPr>
            </w:pPr>
          </w:p>
        </w:tc>
      </w:tr>
      <w:tr>
        <w:trPr>
          <w:trHeight w:val="184"/>
        </w:trPr>
        <w:tc>
          <w:tcPr>
            <w:tcW w:w="1580" w:type="dxa"/>
            <w:vAlign w:val="bottom"/>
          </w:tcPr>
          <w:p>
            <w:pPr>
              <w:ind w:left="20"/>
              <w:spacing w:after="0" w:line="183" w:lineRule="exact"/>
              <w:rPr>
                <w:sz w:val="20"/>
                <w:szCs w:val="20"/>
                <w:color w:val="auto"/>
              </w:rPr>
            </w:pPr>
            <w:r>
              <w:rPr>
                <w:rFonts w:ascii="Arial" w:cs="Arial" w:eastAsia="Arial" w:hAnsi="Arial"/>
                <w:sz w:val="18"/>
                <w:szCs w:val="18"/>
                <w:color w:val="auto"/>
              </w:rPr>
              <w:t>Offshore Solana</w:t>
            </w:r>
          </w:p>
        </w:tc>
        <w:tc>
          <w:tcPr>
            <w:tcW w:w="3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8,441</w:t>
            </w:r>
          </w:p>
        </w:tc>
        <w:tc>
          <w:tcPr>
            <w:tcW w:w="100" w:type="dxa"/>
            <w:vAlign w:val="bottom"/>
          </w:tcPr>
          <w:p>
            <w:pPr>
              <w:spacing w:after="0"/>
              <w:rPr>
                <w:sz w:val="15"/>
                <w:szCs w:val="15"/>
                <w:color w:val="auto"/>
              </w:rPr>
            </w:pPr>
          </w:p>
        </w:tc>
        <w:tc>
          <w:tcPr>
            <w:tcW w:w="1660" w:type="dxa"/>
            <w:vAlign w:val="bottom"/>
            <w:vMerge w:val="restart"/>
          </w:tcPr>
          <w:p>
            <w:pPr>
              <w:jc w:val="right"/>
              <w:ind w:right="16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17,807</w:t>
            </w:r>
          </w:p>
        </w:tc>
        <w:tc>
          <w:tcPr>
            <w:tcW w:w="100" w:type="dxa"/>
            <w:vAlign w:val="bottom"/>
          </w:tcPr>
          <w:p>
            <w:pPr>
              <w:spacing w:after="0"/>
              <w:rPr>
                <w:sz w:val="15"/>
                <w:szCs w:val="15"/>
                <w:color w:val="auto"/>
              </w:rPr>
            </w:pPr>
          </w:p>
        </w:tc>
        <w:tc>
          <w:tcPr>
            <w:tcW w:w="1660" w:type="dxa"/>
            <w:vAlign w:val="bottom"/>
            <w:vMerge w:val="restart"/>
          </w:tcPr>
          <w:p>
            <w:pPr>
              <w:jc w:val="right"/>
              <w:ind w:right="16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35"/>
        </w:trPr>
        <w:tc>
          <w:tcPr>
            <w:tcW w:w="1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Fund</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1580" w:type="dxa"/>
            <w:vAlign w:val="bottom"/>
            <w:shd w:val="clear" w:color="auto" w:fill="CCEEFF"/>
          </w:tcPr>
          <w:p>
            <w:pPr>
              <w:ind w:left="20"/>
              <w:spacing w:after="0" w:line="164" w:lineRule="exact"/>
              <w:rPr>
                <w:sz w:val="20"/>
                <w:szCs w:val="20"/>
                <w:color w:val="auto"/>
              </w:rPr>
            </w:pPr>
            <w:r>
              <w:rPr>
                <w:rFonts w:ascii="Arial" w:cs="Arial" w:eastAsia="Arial" w:hAnsi="Arial"/>
                <w:sz w:val="18"/>
                <w:szCs w:val="18"/>
                <w:color w:val="auto"/>
              </w:rPr>
              <w:t>Total / weighted</w:t>
            </w:r>
          </w:p>
        </w:tc>
        <w:tc>
          <w:tcPr>
            <w:tcW w:w="30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25,995</w:t>
            </w:r>
          </w:p>
        </w:tc>
        <w:tc>
          <w:tcPr>
            <w:tcW w:w="10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31.0 %</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8,403</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36,068</w:t>
            </w:r>
          </w:p>
        </w:tc>
        <w:tc>
          <w:tcPr>
            <w:tcW w:w="10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8,277</w:t>
            </w:r>
          </w:p>
        </w:tc>
        <w:tc>
          <w:tcPr>
            <w:tcW w:w="0" w:type="dxa"/>
            <w:vAlign w:val="bottom"/>
          </w:tcPr>
          <w:p>
            <w:pPr>
              <w:spacing w:after="0"/>
              <w:rPr>
                <w:sz w:val="1"/>
                <w:szCs w:val="1"/>
                <w:color w:val="auto"/>
              </w:rPr>
            </w:pPr>
          </w:p>
        </w:tc>
      </w:tr>
      <w:tr>
        <w:trPr>
          <w:trHeight w:val="235"/>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w:t>
            </w:r>
          </w:p>
        </w:tc>
        <w:tc>
          <w:tcPr>
            <w:tcW w:w="30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VARIABLE INTEREST ENTITIES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VIEs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Company’s consolidated VIEs at March 31, 2025 included a fund limited partnership and a real estate investment trust (“REIT”) in which the Company has investments and is deemed to have both the power to direct the most significant activities of the entities and the right to receive benefits, or the obligation to absorb losses, that could potentially be significant to these entities.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table below presents the carrying value and classification of the assets and liabilities of VIEs consolidated within the Condensed Combined Consolidated Balance Sheets, after elimination of intercompany balances: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March 31, 2025</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rPr>
              <w:t>December 31, 2024</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264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Offshore Solana Fund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Figure REIT</w:t>
            </w:r>
          </w:p>
        </w:tc>
        <w:tc>
          <w:tcPr>
            <w:tcW w:w="28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740" w:type="dxa"/>
            <w:vAlign w:val="bottom"/>
            <w:gridSpan w:val="3"/>
          </w:tcPr>
          <w:p>
            <w:pPr>
              <w:ind w:left="80"/>
              <w:spacing w:after="0"/>
              <w:rPr>
                <w:sz w:val="20"/>
                <w:szCs w:val="20"/>
                <w:color w:val="auto"/>
              </w:rPr>
            </w:pPr>
            <w:r>
              <w:rPr>
                <w:rFonts w:ascii="Arial" w:cs="Arial" w:eastAsia="Arial" w:hAnsi="Arial"/>
                <w:sz w:val="14"/>
                <w:szCs w:val="14"/>
                <w:b w:val="1"/>
                <w:bCs w:val="1"/>
                <w:color w:val="auto"/>
              </w:rPr>
              <w:t>Offshore Solana Fund</w:t>
            </w:r>
          </w:p>
        </w:tc>
        <w:tc>
          <w:tcPr>
            <w:tcW w:w="16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Figure REIT</w:t>
            </w:r>
          </w:p>
        </w:tc>
        <w:tc>
          <w:tcPr>
            <w:tcW w:w="280" w:type="dxa"/>
            <w:vAlign w:val="bottom"/>
          </w:tcPr>
          <w:p>
            <w:pPr>
              <w:spacing w:after="0"/>
              <w:rPr>
                <w:sz w:val="17"/>
                <w:szCs w:val="17"/>
                <w:color w:val="auto"/>
              </w:rPr>
            </w:pPr>
          </w:p>
        </w:tc>
        <w:tc>
          <w:tcPr>
            <w:tcW w:w="940" w:type="dxa"/>
            <w:vAlign w:val="bottom"/>
          </w:tcPr>
          <w:p>
            <w:pPr>
              <w:jc w:val="right"/>
              <w:ind w:right="356"/>
              <w:spacing w:after="0"/>
              <w:rPr>
                <w:sz w:val="20"/>
                <w:szCs w:val="20"/>
                <w:color w:val="auto"/>
              </w:rPr>
            </w:pPr>
            <w:r>
              <w:rPr>
                <w:rFonts w:ascii="Arial" w:cs="Arial" w:eastAsia="Arial" w:hAnsi="Arial"/>
                <w:sz w:val="14"/>
                <w:szCs w:val="14"/>
                <w:b w:val="1"/>
                <w:bCs w:val="1"/>
                <w:color w:val="auto"/>
              </w:rPr>
              <w:t>Total</w:t>
            </w:r>
          </w:p>
        </w:tc>
      </w:tr>
      <w:tr>
        <w:trPr>
          <w:trHeight w:val="224"/>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62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74,773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83,217</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121,817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139,628</w:t>
            </w:r>
          </w:p>
        </w:tc>
      </w:tr>
      <w:tr>
        <w:trPr>
          <w:trHeight w:val="239"/>
        </w:trPr>
        <w:tc>
          <w:tcPr>
            <w:tcW w:w="26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56,397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56,400</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103,556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103,560</w:t>
            </w:r>
          </w:p>
        </w:tc>
      </w:tr>
    </w:tbl>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Offshore Solana Fund</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Offshore Solana Fund was initially a wholly-owned subsidiary of the Company. In July 2024, the Company sold 2.8% of the Offshore Solana Fund limited partnership interests to unrelated third parties. As of March 31, 2025, the Company holds a 97.2% interest in the Offshore Solana Fund. Through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34" w:right="339" w:bottom="1440" w:gutter="0" w:footer="0" w:header="0"/>
        </w:sectPr>
      </w:pPr>
    </w:p>
    <w:bookmarkStart w:id="291" w:name="page292"/>
    <w:bookmarkEnd w:id="291"/>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ownership of the general partner, the Company has the power to direct the activities that most significantly impact the economic performance of the Offshore Solana Fund and the Company has an obligation to absorb losses or receive returns of the Offshore Solana Fund. Third-party limited partners in the Offshore Solana Fund hold a ratable interest in the fair value of the Offshore Solana Fund’s net assets, and the Company presents such noncontrolling interests at fair value in the Condensed Combined Consolidated Balance Sheets and reflects changes thereon in the Condensed Combined Consolidated Statements of Operations.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Figure REIT</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holds all voting rights in Figure REIT, Inc. (“Figure REIT”), and it directs the activities that most significantly impact the economic performance of Figure REIT through an advisor. However, third parties own 44.6% of the non-voting equity in Figure REIT in the Company at March 31, 2025. While the Company has economic exposure through its direct and indirect interest in Figure REIT, there is no recourse to the Company for Figure REIT’s liabilities.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7 for further discussion of the noncontrolling interests in the entities above.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Non-Consolidated VIEs</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While the Company continues to be involved with securitizations considered VIEs in its role as the sponsor and the servicer of securitization transactions, the Company has determined that it is not the primary beneficiary of these entities and therefore does not consolidate these securitizations. These entities are established as grantor trusts for various securitization transactions. The activities that most significantly impact the economic performance of the VIE include servicing activities with respect to delinquent and defaulted loans, determined by a third-party special servicer that the Company may not remove without cause. Assets transferred into each securitization trust are legally isolated from the creditors of the Company, not available to satisfy obligations of the Company, and can only be used to settle obligations of the underlying trust in exchange for debt securities and beneficial interests sold.</w:t>
      </w:r>
    </w:p>
    <w:p>
      <w:pPr>
        <w:spacing w:after="0" w:line="1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following table summarizes the aggregate risk characteristics of the unconsolidated VIEs and the Company’s maximum exposure to loss at March 31, 2025 and December 31, 2024: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2025</w:t>
            </w:r>
          </w:p>
        </w:tc>
        <w:tc>
          <w:tcPr>
            <w:tcW w:w="180" w:type="dxa"/>
            <w:vAlign w:val="bottom"/>
          </w:tcPr>
          <w:p>
            <w:pPr>
              <w:spacing w:after="0"/>
              <w:rPr>
                <w:sz w:val="17"/>
                <w:szCs w:val="17"/>
                <w:color w:val="auto"/>
              </w:rPr>
            </w:pPr>
          </w:p>
        </w:tc>
        <w:tc>
          <w:tcPr>
            <w:tcW w:w="1640" w:type="dxa"/>
            <w:vAlign w:val="bottom"/>
          </w:tcPr>
          <w:p>
            <w:pPr>
              <w:jc w:val="right"/>
              <w:ind w:right="174"/>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50"/>
        </w:trPr>
        <w:tc>
          <w:tcPr>
            <w:tcW w:w="7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UPB of securitization collateral</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3,226,216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2,785,341</w:t>
            </w:r>
          </w:p>
        </w:tc>
        <w:tc>
          <w:tcPr>
            <w:tcW w:w="0" w:type="dxa"/>
            <w:vAlign w:val="bottom"/>
          </w:tcPr>
          <w:p>
            <w:pPr>
              <w:spacing w:after="0"/>
              <w:rPr>
                <w:sz w:val="1"/>
                <w:szCs w:val="1"/>
                <w:color w:val="auto"/>
              </w:rPr>
            </w:pPr>
          </w:p>
        </w:tc>
      </w:tr>
      <w:tr>
        <w:trPr>
          <w:trHeight w:val="424"/>
        </w:trPr>
        <w:tc>
          <w:tcPr>
            <w:tcW w:w="7500" w:type="dxa"/>
            <w:vAlign w:val="bottom"/>
          </w:tcPr>
          <w:p>
            <w:pPr>
              <w:ind w:left="20"/>
              <w:spacing w:after="0"/>
              <w:rPr>
                <w:sz w:val="20"/>
                <w:szCs w:val="20"/>
                <w:color w:val="auto"/>
              </w:rPr>
            </w:pPr>
            <w:r>
              <w:rPr>
                <w:rFonts w:ascii="Arial" w:cs="Arial" w:eastAsia="Arial" w:hAnsi="Arial"/>
                <w:sz w:val="18"/>
                <w:szCs w:val="18"/>
                <w:color w:val="auto"/>
              </w:rPr>
              <w:t>Weighted average delinquency</w:t>
            </w:r>
            <w:r>
              <w:rPr>
                <w:rFonts w:ascii="Arial" w:cs="Arial" w:eastAsia="Arial" w:hAnsi="Arial"/>
                <w:sz w:val="23"/>
                <w:szCs w:val="23"/>
                <w:color w:val="auto"/>
                <w:vertAlign w:val="superscript"/>
              </w:rPr>
              <w:t>(A)</w:t>
            </w:r>
          </w:p>
        </w:tc>
        <w:tc>
          <w:tcPr>
            <w:tcW w:w="260" w:type="dxa"/>
            <w:vAlign w:val="bottom"/>
          </w:tcPr>
          <w:p>
            <w:pPr>
              <w:spacing w:after="0"/>
              <w:rPr>
                <w:sz w:val="24"/>
                <w:szCs w:val="24"/>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93"/>
        </w:trPr>
        <w:tc>
          <w:tcPr>
            <w:tcW w:w="7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7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Face amount of debt held by third parties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3,045,612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2,586,297</w:t>
            </w:r>
          </w:p>
        </w:tc>
        <w:tc>
          <w:tcPr>
            <w:tcW w:w="0" w:type="dxa"/>
            <w:vAlign w:val="bottom"/>
          </w:tcPr>
          <w:p>
            <w:pPr>
              <w:spacing w:after="0"/>
              <w:rPr>
                <w:sz w:val="1"/>
                <w:szCs w:val="1"/>
                <w:color w:val="auto"/>
              </w:rPr>
            </w:pPr>
          </w:p>
        </w:tc>
      </w:tr>
      <w:tr>
        <w:trPr>
          <w:trHeight w:val="424"/>
        </w:trPr>
        <w:tc>
          <w:tcPr>
            <w:tcW w:w="7500" w:type="dxa"/>
            <w:vAlign w:val="bottom"/>
          </w:tcPr>
          <w:p>
            <w:pPr>
              <w:ind w:left="20"/>
              <w:spacing w:after="0"/>
              <w:rPr>
                <w:sz w:val="20"/>
                <w:szCs w:val="20"/>
                <w:color w:val="auto"/>
              </w:rPr>
            </w:pPr>
            <w:r>
              <w:rPr>
                <w:rFonts w:ascii="Arial" w:cs="Arial" w:eastAsia="Arial" w:hAnsi="Arial"/>
                <w:sz w:val="18"/>
                <w:szCs w:val="18"/>
                <w:color w:val="auto"/>
              </w:rPr>
              <w:t>Maximum exposure</w:t>
            </w:r>
            <w:r>
              <w:rPr>
                <w:rFonts w:ascii="Arial" w:cs="Arial" w:eastAsia="Arial" w:hAnsi="Arial"/>
                <w:sz w:val="23"/>
                <w:szCs w:val="23"/>
                <w:color w:val="auto"/>
                <w:vertAlign w:val="superscript"/>
              </w:rPr>
              <w:t>(B)</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vMerge w:val="restart"/>
          </w:tcPr>
          <w:p>
            <w:pPr>
              <w:jc w:val="right"/>
              <w:ind w:right="154"/>
              <w:spacing w:after="0"/>
              <w:rPr>
                <w:sz w:val="20"/>
                <w:szCs w:val="20"/>
                <w:color w:val="auto"/>
              </w:rPr>
            </w:pPr>
            <w:r>
              <w:rPr>
                <w:rFonts w:ascii="Arial" w:cs="Arial" w:eastAsia="Arial" w:hAnsi="Arial"/>
                <w:sz w:val="18"/>
                <w:szCs w:val="18"/>
                <w:color w:val="auto"/>
              </w:rPr>
              <w:t>240,894</w:t>
            </w:r>
          </w:p>
        </w:tc>
        <w:tc>
          <w:tcPr>
            <w:tcW w:w="100" w:type="dxa"/>
            <w:vAlign w:val="bottom"/>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vMerge w:val="restart"/>
          </w:tcPr>
          <w:p>
            <w:pPr>
              <w:jc w:val="right"/>
              <w:ind w:right="154"/>
              <w:spacing w:after="0"/>
              <w:rPr>
                <w:sz w:val="20"/>
                <w:szCs w:val="20"/>
                <w:color w:val="auto"/>
              </w:rPr>
            </w:pPr>
            <w:r>
              <w:rPr>
                <w:rFonts w:ascii="Arial" w:cs="Arial" w:eastAsia="Arial" w:hAnsi="Arial"/>
                <w:sz w:val="18"/>
                <w:szCs w:val="18"/>
                <w:color w:val="auto"/>
              </w:rPr>
              <w:t>201,512</w:t>
            </w:r>
          </w:p>
        </w:tc>
        <w:tc>
          <w:tcPr>
            <w:tcW w:w="0" w:type="dxa"/>
            <w:vAlign w:val="bottom"/>
          </w:tcPr>
          <w:p>
            <w:pPr>
              <w:spacing w:after="0"/>
              <w:rPr>
                <w:sz w:val="1"/>
                <w:szCs w:val="1"/>
                <w:color w:val="auto"/>
              </w:rPr>
            </w:pPr>
          </w:p>
        </w:tc>
      </w:tr>
      <w:tr>
        <w:trPr>
          <w:trHeight w:val="93"/>
        </w:trPr>
        <w:tc>
          <w:tcPr>
            <w:tcW w:w="750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tabs>
          <w:tab w:leader="none" w:pos="3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Represents the percentage of the UPB that is 60+ days delinquent.</w:t>
      </w:r>
    </w:p>
    <w:p>
      <w:pPr>
        <w:spacing w:after="0" w:line="5"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Primarily represents the aggregate fair value of the Company’s investments in marketable securities and the servicing assets associated with underlying collateral of the securitizations. In certain cases, the Company is obligated to fund securitization reserve accounts. See Note 9 for further discussion regarding the Company’s reserve account funding obligations.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auto"/>
        </w:rPr>
        <w:t xml:space="preserve">Litigation </w:t>
      </w:r>
      <w:r>
        <w:rPr>
          <w:rFonts w:ascii="Arial" w:cs="Arial" w:eastAsia="Arial" w:hAnsi="Arial"/>
          <w:sz w:val="18"/>
          <w:szCs w:val="18"/>
          <w:color w:val="auto"/>
        </w:rPr>
        <w:t>— The Company is or may become, from time to time, involved in various disputes, litigation, arbitration, and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inquiry and investigation matters that arise in the ordinary course of business. Given the inherent unpredictability of matters the Company has been and currently is involved in, the outcome of these proceedings cannot be determined at this time, and it is possible that future adverse outcomes could have a material adverse effect on its business, financial position or results of operations. The Company is not aware of any unasserted claims that it believes are material and probable of assertion where the risk of loss is expected to be reasonably possible, but the Company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134" w:right="339" w:bottom="1440" w:gutter="0" w:footer="0" w:header="0"/>
        </w:sectPr>
      </w:pPr>
    </w:p>
    <w:bookmarkStart w:id="292" w:name="page293"/>
    <w:bookmarkEnd w:id="292"/>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3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become involved in additional litigation in the ordinary course of our business in the future, including litigation that could be material to its business.</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reviews the need for any loss contingency reserves and establishes reserves when, in the opinion of management, it is probable that a matter would result in a liability and the amount of loss, if any, can be reasonably estimated. Management, after consultation with legal counsel, believes that there are no known actions or threats that would result in a material adverse effect on the Company’s financial condition, results of operations, or cash flows.</w:t>
      </w:r>
    </w:p>
    <w:p>
      <w:pPr>
        <w:spacing w:after="0" w:line="12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Company is, from time to time, subject to inquiries by government entities, though the Company currently does not believe any of these inquiries would result in a material adverse effect on the Company’s business.</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 xml:space="preserve">Indemnifications </w:t>
      </w:r>
      <w:r>
        <w:rPr>
          <w:rFonts w:ascii="Arial" w:cs="Arial" w:eastAsia="Arial" w:hAnsi="Arial"/>
          <w:sz w:val="18"/>
          <w:szCs w:val="18"/>
          <w:color w:val="auto"/>
        </w:rPr>
        <w:t>— In the normal course of business, the Company and its subsidiaries entered into contracts that contain</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warranties that provide general indemnifications in regards to legal proceedings. The Company’s maximum exposure under these arrangements is unknown as this would involve future legal claims that may be made against the Company that have not yet occurred. However, based on its experience, the Company expects the risk of material loss to be remote.</w:t>
      </w:r>
    </w:p>
    <w:p>
      <w:pPr>
        <w:spacing w:after="0" w:line="12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color w:val="auto"/>
        </w:rPr>
        <w:t xml:space="preserve">Debt Covenants </w:t>
      </w:r>
      <w:r>
        <w:rPr>
          <w:rFonts w:ascii="Arial" w:cs="Arial" w:eastAsia="Arial" w:hAnsi="Arial"/>
          <w:sz w:val="18"/>
          <w:szCs w:val="18"/>
          <w:color w:val="auto"/>
        </w:rPr>
        <w:t>— Certain of the Company’s debt obligations are subject to loan covenants and event of default provisions. See Note 6</w:t>
      </w:r>
      <w:r>
        <w:rPr>
          <w:rFonts w:ascii="Arial" w:cs="Arial" w:eastAsia="Arial" w:hAnsi="Arial"/>
          <w:sz w:val="18"/>
          <w:szCs w:val="18"/>
          <w:b w:val="1"/>
          <w:bCs w:val="1"/>
          <w:color w:val="auto"/>
        </w:rPr>
        <w:t xml:space="preserve"> </w:t>
      </w:r>
      <w:r>
        <w:rPr>
          <w:rFonts w:ascii="Arial" w:cs="Arial" w:eastAsia="Arial" w:hAnsi="Arial"/>
          <w:sz w:val="18"/>
          <w:szCs w:val="18"/>
          <w:color w:val="auto"/>
        </w:rPr>
        <w:t>for further discussion of the Company’s debt obligations.</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 xml:space="preserve">Loan Purchase and Servicing Commitments </w:t>
      </w:r>
      <w:r>
        <w:rPr>
          <w:rFonts w:ascii="Arial" w:cs="Arial" w:eastAsia="Arial" w:hAnsi="Arial"/>
          <w:sz w:val="18"/>
          <w:szCs w:val="18"/>
          <w:color w:val="auto"/>
        </w:rPr>
        <w:t>— The Company enters into agreements with various loan origination partners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and service the loans they originate through the Technology Offering. At March 31, 2025 and December 31, 2024, purchase commitments totaled $279.6 million and $142.2 million to loan origination partners, respectively. The Company does not record an asset or liability for purchase or servicing commitments since it expects such commitments to benefit the Company, and the Company has not yet taken control of the underlying loans.</w:t>
      </w:r>
    </w:p>
    <w:p>
      <w:pPr>
        <w:spacing w:after="0" w:line="1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 xml:space="preserve">Loan Funding Obligations </w:t>
      </w:r>
      <w:r>
        <w:rPr>
          <w:rFonts w:ascii="Arial" w:cs="Arial" w:eastAsia="Arial" w:hAnsi="Arial"/>
          <w:sz w:val="18"/>
          <w:szCs w:val="18"/>
          <w:color w:val="auto"/>
        </w:rPr>
        <w:t>— The HELOC loans that the Company originates or purchases include terms that permit borrowers to draw</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or redraw previously repaid amounts, during a 5-year period after the original origination date. At March 31, 2025 and December 31, 2024, borrowers were able to borrow up to $35.9 million and $29.1 million on undrawn HELOC loans that the Company has committed to fund.</w:t>
      </w:r>
    </w:p>
    <w:p>
      <w:pPr>
        <w:spacing w:after="0" w:line="12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 xml:space="preserve">Loan Repurchase Obligations </w:t>
      </w:r>
      <w:r>
        <w:rPr>
          <w:rFonts w:ascii="Arial" w:cs="Arial" w:eastAsia="Arial" w:hAnsi="Arial"/>
          <w:sz w:val="18"/>
          <w:szCs w:val="18"/>
          <w:color w:val="auto"/>
        </w:rPr>
        <w:t>— The Company has contractual agreements with certain loan buyers to repurchase or substitute loans</w:t>
      </w:r>
      <w:r>
        <w:rPr>
          <w:rFonts w:ascii="Arial" w:cs="Arial" w:eastAsia="Arial" w:hAnsi="Arial"/>
          <w:sz w:val="18"/>
          <w:szCs w:val="18"/>
          <w:b w:val="1"/>
          <w:bCs w:val="1"/>
          <w:color w:val="auto"/>
        </w:rPr>
        <w:t xml:space="preserve"> </w:t>
      </w:r>
      <w:r>
        <w:rPr>
          <w:rFonts w:ascii="Arial" w:cs="Arial" w:eastAsia="Arial" w:hAnsi="Arial"/>
          <w:sz w:val="18"/>
          <w:szCs w:val="18"/>
          <w:color w:val="auto"/>
        </w:rPr>
        <w:t>where a borrower misses a payment within 30 to 90 days since the loan’s origination, though the Company indemnifies the loan buyer against future losses on such loans in certain cases. When repurchasing loans, the repurchase price is equal to the original sale price paid by the loan purchaser and the Company recognizes a loss to the extent the contractual repurchase price of the loan exceeds the estimated fair value on the repurchase date, further adjusted upon resale of the loan, if applicable. The Company generally continues to service the defaulting loan through a third-party subservicer. For the three months ended March 31, 2025 and 2024, the Company repurchased loans for which it recognized losses of $1.6 million and $1.4 million within “Other expense” in the Condensed Combined Consolidated Statements of Operations, respectively. At March 31, 2025, the Company has contingent commitments to repurchase loans with an aggregate UPB of up to $479.6 million for which the Company recorded repurchase obligations totaling $15.2 million within “Payables to third-party loan owners” in the Condensed Combined Consolidated Balance Sheets. The Company recorded a reserve of $6.8 million within “Other current liabilities” in the Condensed Combined Consolidated Balance Sheets, based on the Company’s estimate of expected future losses at March 31, 2025.</w:t>
      </w:r>
    </w:p>
    <w:p>
      <w:pPr>
        <w:spacing w:after="0" w:line="12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 xml:space="preserve">Securitization Reserve Account Funding Obligations </w:t>
      </w:r>
      <w:r>
        <w:rPr>
          <w:rFonts w:ascii="Arial" w:cs="Arial" w:eastAsia="Arial" w:hAnsi="Arial"/>
          <w:sz w:val="18"/>
          <w:szCs w:val="18"/>
          <w:color w:val="auto"/>
        </w:rPr>
        <w:t>— The Company, in its capacity as servicer of certain securitizations, has</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committed to fund and replenish customary reserve accounts held by the securitization trust that the Company initially funds at the time of securitization in an amount based upon expected prepayments, delinquencies, defaults, and draws from borrowers for loans in the securitization.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134" w:right="339" w:bottom="1440" w:gutter="0" w:footer="0" w:header="0"/>
        </w:sectPr>
      </w:pPr>
    </w:p>
    <w:bookmarkStart w:id="293" w:name="page294"/>
    <w:bookmarkEnd w:id="293"/>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While the Company’s obligation to fund reserve amounts is not limited, and the Company cannot reliably estimate the long-term macroeconomic environment that may impact its maximum exposure for such obligations over the contractual life of the securitization, the Company does not expect to fund material amounts to its securitizations in excess of current balances at March 31, 2025.</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 xml:space="preserve">Capital Commitments </w:t>
      </w:r>
      <w:r>
        <w:rPr>
          <w:rFonts w:ascii="Arial" w:cs="Arial" w:eastAsia="Arial" w:hAnsi="Arial"/>
          <w:sz w:val="18"/>
          <w:szCs w:val="18"/>
          <w:color w:val="auto"/>
        </w:rPr>
        <w:t>— In February 2025, the Company entered into a joint venture agreement with a third party to finance loans</w:t>
      </w:r>
      <w:r>
        <w:rPr>
          <w:rFonts w:ascii="Arial" w:cs="Arial" w:eastAsia="Arial" w:hAnsi="Arial"/>
          <w:sz w:val="18"/>
          <w:szCs w:val="18"/>
          <w:b w:val="1"/>
          <w:bCs w:val="1"/>
          <w:color w:val="auto"/>
        </w:rPr>
        <w:t xml:space="preserve"> </w:t>
      </w:r>
      <w:r>
        <w:rPr>
          <w:rFonts w:ascii="Arial" w:cs="Arial" w:eastAsia="Arial" w:hAnsi="Arial"/>
          <w:sz w:val="18"/>
          <w:szCs w:val="18"/>
          <w:color w:val="auto"/>
        </w:rPr>
        <w:t>originated or purchased by the Company. As part of that agreement, the Company committed to invest up to $10.5 million in exchange for a 5.0% interest in the joint venture. At March 31, 2025, the Company had not contributed capital into the joint venture.</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 The Company has non-cancellable leases on office spaces expiring through 2026 that it does not sublease. Rent expense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three months ended March 31, 2025 and 2024 totaled $0.7 million and $0.8 million, respectively. The Company has leases that include renewal options, leasehold improvement incentives, and escalation clauses. At March 31, 2025, the Company has not considered such renewal provisions in the determination of the lease term, as it is not reasonably certain these options will be exercised. The terms of the leases do not impose any financial restrictions or covenants. Operating lease ROU assets of $2.1 million are presented in Other non-current assets, and lease liabilities of $ 2.1 million are presented in Other current liabilities and Lease liability, non current, in the Condensed Combined Consolidated Balance Sheets.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undiscounted, minimum lease payments for the Company’s non-cancellable operating leases at March 31, 2025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320" w:type="dxa"/>
            <w:vAlign w:val="bottom"/>
          </w:tcPr>
          <w:p>
            <w:pPr>
              <w:spacing w:after="0"/>
              <w:rPr>
                <w:sz w:val="17"/>
                <w:szCs w:val="17"/>
                <w:color w:val="auto"/>
              </w:rPr>
            </w:pPr>
          </w:p>
        </w:tc>
        <w:tc>
          <w:tcPr>
            <w:tcW w:w="1260" w:type="dxa"/>
            <w:vAlign w:val="bottom"/>
          </w:tcPr>
          <w:p>
            <w:pPr>
              <w:jc w:val="right"/>
              <w:ind w:right="433"/>
              <w:spacing w:after="0"/>
              <w:rPr>
                <w:sz w:val="20"/>
                <w:szCs w:val="20"/>
                <w:color w:val="auto"/>
              </w:rPr>
            </w:pPr>
            <w:r>
              <w:rPr>
                <w:rFonts w:ascii="Arial" w:cs="Arial" w:eastAsia="Arial" w:hAnsi="Arial"/>
                <w:sz w:val="14"/>
                <w:szCs w:val="14"/>
                <w:b w:val="1"/>
                <w:bCs w:val="1"/>
                <w:color w:val="auto"/>
              </w:rPr>
              <w:t>Amount</w:t>
            </w:r>
          </w:p>
        </w:tc>
      </w:tr>
      <w:tr>
        <w:trPr>
          <w:trHeight w:val="224"/>
        </w:trPr>
        <w:tc>
          <w:tcPr>
            <w:tcW w:w="9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2025 (remainder)</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r>
      <w:tr>
        <w:trPr>
          <w:trHeight w:val="229"/>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r>
      <w:tr>
        <w:trPr>
          <w:trHeight w:val="223"/>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r>
      <w:tr>
        <w:trPr>
          <w:trHeight w:val="229"/>
        </w:trPr>
        <w:tc>
          <w:tcPr>
            <w:tcW w:w="9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r>
      <w:tr>
        <w:trPr>
          <w:trHeight w:val="248"/>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At March 31, 2025 and December 31, 2024, the weighted average remaining lease term for operating leases was 1.0 years and 1.2 years, respectively, and the weighted average discount rate was 2.1% and 2.0%, respectively. The Company paid $0.7 million and $0.7 million in cash included in the measurement of lease liabilities for the three months ended March 31, 2025 and 2024, respectively.</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San Francisco Office Space</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January 2025, the Company amended its expiring lease agreement for office space located in San Francisco, California. The lease amendment relocated the leased premises, extended the lease term until August 2028, reduced monthly lease payments, and includes both a rent abatement period and tenant improvement allowances. The modification of the existing premise lease was treated as a lease modification that was not material. The relocated premises will be accounted for as a new lease that has not yet commenced as of March 31, 2025.</w:t>
      </w:r>
    </w:p>
    <w:p>
      <w:pPr>
        <w:spacing w:after="0" w:line="125" w:lineRule="exact"/>
        <w:rPr>
          <w:sz w:val="20"/>
          <w:szCs w:val="20"/>
          <w:color w:val="auto"/>
        </w:rPr>
      </w:pPr>
    </w:p>
    <w:p>
      <w:pPr>
        <w:jc w:val="center"/>
        <w:ind w:right="7320"/>
        <w:spacing w:after="0"/>
        <w:rPr>
          <w:sz w:val="20"/>
          <w:szCs w:val="20"/>
          <w:color w:val="auto"/>
        </w:rPr>
      </w:pPr>
      <w:r>
        <w:rPr>
          <w:rFonts w:ascii="Arial" w:cs="Arial" w:eastAsia="Arial" w:hAnsi="Arial"/>
          <w:sz w:val="17"/>
          <w:szCs w:val="17"/>
          <w:b w:val="1"/>
          <w:bCs w:val="1"/>
          <w:color w:val="auto"/>
        </w:rPr>
        <w:t>NOTE 10 – RELATED PARTY TRANSACTIONS</w:t>
      </w:r>
    </w:p>
    <w:p>
      <w:pPr>
        <w:spacing w:after="0" w:line="185" w:lineRule="exact"/>
        <w:rPr>
          <w:sz w:val="20"/>
          <w:szCs w:val="20"/>
          <w:color w:val="auto"/>
        </w:rPr>
      </w:pPr>
    </w:p>
    <w:p>
      <w:pPr>
        <w:jc w:val="center"/>
        <w:ind w:right="7300"/>
        <w:spacing w:after="0"/>
        <w:rPr>
          <w:sz w:val="20"/>
          <w:szCs w:val="20"/>
          <w:color w:val="auto"/>
        </w:rPr>
      </w:pPr>
      <w:r>
        <w:rPr>
          <w:rFonts w:ascii="Arial" w:cs="Arial" w:eastAsia="Arial" w:hAnsi="Arial"/>
          <w:sz w:val="18"/>
          <w:szCs w:val="18"/>
          <w:b w:val="1"/>
          <w:bCs w:val="1"/>
          <w:i w:val="1"/>
          <w:iCs w:val="1"/>
          <w:color w:val="auto"/>
        </w:rPr>
        <w:t>Transactions with Controlled Affiliates</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Company entered into arrangements with entities also controlled, or significantly influenced, by the Controlling Party or other affiliates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134" w:right="339" w:bottom="1440" w:gutter="0" w:footer="0" w:header="0"/>
        </w:sectPr>
      </w:pPr>
    </w:p>
    <w:bookmarkStart w:id="294" w:name="page295"/>
    <w:bookmarkEnd w:id="294"/>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Provenance Foundation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 Note</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July 2022, FT entered into an interest bearing term note with the Provenance Foundation (“Provenance”), pursuant to which FT provided Provenance with a $5.0 million loan. On June 12, 2023, the term note was amended, pursuant to which the total principal amount of the loan was increased to $9.1 million. The term note is held by Markets and is eligible to be settled in cash or an equivalent value of Hash at maturity. At March 31, 2025 and December 31, 2024 the outstanding principal of the loan, including interest paid in-kind, was recorded at $10.3 million and $9.4 million, respectively as “Loan to related parties” in the Condensed Combined Consolidated Balance Sheets. Interest accrued on the note for the three months ended March 31, 2025 and 2024 is $0.9 million and $0.2 million, respectively, recorded as “Interest income” in the Condensed Combined Consolidated Statements of Operations.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Gas Fee Service Provider</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February 2025, FCC entered into a services agreement with Provenance whereby Provenance pays, on behalf of FCC, Hash to cover fees to network validators for processing and validating operations on the blockchain incurred in connection with the purchase or sale of the face-amount certificates issued by FCC and transacted on Provenance’s blockchain (“Provenance Blockchain”). FCC reimburses Provenance in cash in an amount equal to the then-current market value of Hash paid by Provenance. The Company recognized $— million incurred under the services agreement for the three months ended March 31, 2025 recorded as expense in “Operations and processing” on the Condensed Combined Consolidated Statements of Operations. At March 31, 2025, the Company owed $— to Provenance recorded in “Accounts payable and accrued liabilities” in the Condensed Combined Consolidated Balance Sheets.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Expense Reimbursement Agreement</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an expense reimbursement agreement with Provenance whereby Provenance reimburses Markets for certain Markets’ employees that provide technology development services to Provenance, the Company offset $0.1 million of compensation expense recorded in “Technology and product development” expenses in the Condensed Combined Consolidated Statements of Operations it incurred under the expense reimbursement agreement for the three months ended March 31, 2025. At March 31, 2025, Provenance owed $— million to the Company recorded in “Accounts receivable, net” in the Condensed Combined Consolidated Balance Sheets.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Transactions with Equity-Method Investees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Reflow</w:t>
      </w:r>
    </w:p>
    <w:p>
      <w:pPr>
        <w:spacing w:after="0" w:line="17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7"/>
          <w:szCs w:val="17"/>
          <w:color w:val="auto"/>
        </w:rPr>
        <w:t>The Controlling Party contributed a 17.3% interest in Reflow to the Company. During the three months ended March 31, 2025 and 2024, the Company received distributed profits of $— million and $— million, respectively, recorded in “Other revenue” in the Condensed Combined Consolidated Statements of Operations. The Company recorded receivables of $— million and $— million at March 31, 2025 and December 31, 2024, respectively, as “Accounts receivable, net” in the Condensed Combined Consolidated Balance Sheets for such services.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3 for detail on the Company’s investment in Reflow.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Domestic Solana Fund</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At March 31, 2025, the Domestic Solana Fund acquired its investments in SOL primarily through auctions held through the FTX Trading Ltd. (“FTX”) bankruptcy proceedings through a purchase and sale agreement with Alameda Research and Maclaurin Investments. During the three months ended March 31, 2025 and 2024, the Company contributed $0.1 million and $— million to the Domestic Solana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134" w:right="339" w:bottom="1440" w:gutter="0" w:footer="0" w:header="0"/>
        </w:sectPr>
      </w:pPr>
    </w:p>
    <w:bookmarkStart w:id="295" w:name="page296"/>
    <w:bookmarkEnd w:id="295"/>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3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gross of $1.2 million and $— million distribution, respectively, recorded in “Other non-current assets” in the Condensed Combined Consolidated Balance Sheets.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3 for detail on the Company’s investment in Domestic Solana Fund.</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Transactions with the Controlling Party</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During the three months ended March 31, 2025 and 2024, the Company incurred $0.2 million and $0.3 million in costs to arrange travel for the Controlling Party and other affiliates, respectively recorded as “General and administrative” expense in the Condensed Combined Consolidated Statements of Operations.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Transactions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Investments in Loan Securitizations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retains beneficial interests in loan securitization trusts that it sponsors. See Notes 3 and 8 for additional detail.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Assets and Liabilities Recorded at Fair Value on a Recurring Basis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the assets and liabilities that are measured at fair value on a recurring basis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31, 2025 and 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March 31, 2025</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Carrying Value</w:t>
            </w:r>
          </w:p>
        </w:tc>
        <w:tc>
          <w:tcPr>
            <w:tcW w:w="300" w:type="dxa"/>
            <w:vAlign w:val="bottom"/>
          </w:tcPr>
          <w:p>
            <w:pPr>
              <w:spacing w:after="0"/>
              <w:rPr>
                <w:sz w:val="17"/>
                <w:szCs w:val="17"/>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7"/>
                <w:szCs w:val="17"/>
                <w:color w:val="auto"/>
              </w:rPr>
            </w:pPr>
          </w:p>
        </w:tc>
        <w:tc>
          <w:tcPr>
            <w:tcW w:w="1200" w:type="dxa"/>
            <w:vAlign w:val="bottom"/>
            <w:gridSpan w:val="2"/>
          </w:tcPr>
          <w:p>
            <w:pPr>
              <w:ind w:left="80"/>
              <w:spacing w:after="0" w:line="198" w:lineRule="exact"/>
              <w:rPr>
                <w:sz w:val="20"/>
                <w:szCs w:val="20"/>
                <w:color w:val="auto"/>
              </w:rPr>
            </w:pPr>
            <w:r>
              <w:rPr>
                <w:rFonts w:ascii="Arial" w:cs="Arial" w:eastAsia="Arial" w:hAnsi="Arial"/>
                <w:sz w:val="14"/>
                <w:szCs w:val="14"/>
                <w:b w:val="1"/>
                <w:bCs w:val="1"/>
                <w:color w:val="auto"/>
              </w:rPr>
              <w:t>Level 3</w:t>
            </w:r>
            <w:r>
              <w:rPr>
                <w:rFonts w:ascii="Arial" w:cs="Arial" w:eastAsia="Arial" w:hAnsi="Arial"/>
                <w:sz w:val="18"/>
                <w:szCs w:val="18"/>
                <w:b w:val="1"/>
                <w:bCs w:val="1"/>
                <w:color w:val="auto"/>
                <w:vertAlign w:val="superscript"/>
              </w:rPr>
              <w:t>(A)</w:t>
            </w:r>
          </w:p>
        </w:tc>
        <w:tc>
          <w:tcPr>
            <w:tcW w:w="340" w:type="dxa"/>
            <w:vAlign w:val="bottom"/>
          </w:tcPr>
          <w:p>
            <w:pPr>
              <w:spacing w:after="0"/>
              <w:rPr>
                <w:sz w:val="17"/>
                <w:szCs w:val="17"/>
                <w:color w:val="auto"/>
              </w:rPr>
            </w:pP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332,024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332,024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332,024</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52,511</w:t>
            </w:r>
          </w:p>
        </w:tc>
        <w:tc>
          <w:tcPr>
            <w:tcW w:w="0" w:type="dxa"/>
            <w:vAlign w:val="bottom"/>
          </w:tcPr>
          <w:p>
            <w:pPr>
              <w:spacing w:after="0"/>
              <w:rPr>
                <w:sz w:val="1"/>
                <w:szCs w:val="1"/>
                <w:color w:val="auto"/>
              </w:rPr>
            </w:pPr>
          </w:p>
        </w:tc>
      </w:tr>
      <w:tr>
        <w:trPr>
          <w:trHeight w:val="230"/>
        </w:trPr>
        <w:tc>
          <w:tcPr>
            <w:tcW w:w="3640" w:type="dxa"/>
            <w:vAlign w:val="bottom"/>
          </w:tcPr>
          <w:p>
            <w:pPr>
              <w:ind w:left="240"/>
              <w:spacing w:after="0" w:line="230" w:lineRule="exact"/>
              <w:rPr>
                <w:sz w:val="20"/>
                <w:szCs w:val="20"/>
                <w:color w:val="auto"/>
              </w:rPr>
            </w:pPr>
            <w:r>
              <w:rPr>
                <w:rFonts w:ascii="Arial" w:cs="Arial" w:eastAsia="Arial" w:hAnsi="Arial"/>
                <w:sz w:val="18"/>
                <w:szCs w:val="18"/>
                <w:color w:val="auto"/>
              </w:rPr>
              <w:t>Digital assets</w:t>
            </w:r>
            <w:r>
              <w:rPr>
                <w:rFonts w:ascii="Arial" w:cs="Arial" w:eastAsia="Arial" w:hAnsi="Arial"/>
                <w:sz w:val="23"/>
                <w:szCs w:val="23"/>
                <w:color w:val="auto"/>
                <w:vertAlign w:val="superscript"/>
              </w:rPr>
              <w:t>(B)</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76,356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76,356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76,356</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Distressed asset claims</w:t>
            </w:r>
            <w:r>
              <w:rPr>
                <w:rFonts w:ascii="Arial" w:cs="Arial" w:eastAsia="Arial" w:hAnsi="Arial"/>
                <w:sz w:val="23"/>
                <w:szCs w:val="23"/>
                <w:color w:val="auto"/>
                <w:vertAlign w:val="superscript"/>
              </w:rPr>
              <w:t>(C)</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0" w:type="dxa"/>
            <w:vAlign w:val="bottom"/>
          </w:tcPr>
          <w:p>
            <w:pPr>
              <w:spacing w:after="0"/>
              <w:rPr>
                <w:sz w:val="1"/>
                <w:szCs w:val="1"/>
                <w:color w:val="auto"/>
              </w:rPr>
            </w:pPr>
          </w:p>
        </w:tc>
      </w:tr>
      <w:tr>
        <w:trPr>
          <w:trHeight w:val="230"/>
        </w:trPr>
        <w:tc>
          <w:tcPr>
            <w:tcW w:w="3640" w:type="dxa"/>
            <w:vAlign w:val="bottom"/>
          </w:tcPr>
          <w:p>
            <w:pPr>
              <w:ind w:left="220"/>
              <w:spacing w:after="0" w:line="230" w:lineRule="exact"/>
              <w:rPr>
                <w:sz w:val="20"/>
                <w:szCs w:val="20"/>
                <w:color w:val="auto"/>
              </w:rPr>
            </w:pPr>
            <w:r>
              <w:rPr>
                <w:rFonts w:ascii="Arial" w:cs="Arial" w:eastAsia="Arial" w:hAnsi="Arial"/>
                <w:sz w:val="18"/>
                <w:szCs w:val="18"/>
                <w:color w:val="auto"/>
              </w:rPr>
              <w:t>Marketable securities, at fair value</w:t>
            </w:r>
            <w:r>
              <w:rPr>
                <w:rFonts w:ascii="Arial" w:cs="Arial" w:eastAsia="Arial" w:hAnsi="Arial"/>
                <w:sz w:val="23"/>
                <w:szCs w:val="23"/>
                <w:color w:val="auto"/>
                <w:vertAlign w:val="superscript"/>
              </w:rPr>
              <w:t>(D)</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187,807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153,249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187,807</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held for sale, at fair value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530,525</w:t>
            </w:r>
          </w:p>
        </w:tc>
        <w:tc>
          <w:tcPr>
            <w:tcW w:w="0" w:type="dxa"/>
            <w:vAlign w:val="bottom"/>
          </w:tcPr>
          <w:p>
            <w:pPr>
              <w:spacing w:after="0"/>
              <w:rPr>
                <w:sz w:val="1"/>
                <w:szCs w:val="1"/>
                <w:color w:val="auto"/>
              </w:rPr>
            </w:pPr>
          </w:p>
        </w:tc>
      </w:tr>
      <w:tr>
        <w:trPr>
          <w:trHeight w:val="230"/>
        </w:trPr>
        <w:tc>
          <w:tcPr>
            <w:tcW w:w="3640" w:type="dxa"/>
            <w:vAlign w:val="bottom"/>
          </w:tcPr>
          <w:p>
            <w:pPr>
              <w:ind w:left="220"/>
              <w:spacing w:after="0"/>
              <w:rPr>
                <w:sz w:val="20"/>
                <w:szCs w:val="20"/>
                <w:color w:val="auto"/>
              </w:rPr>
            </w:pPr>
            <w:r>
              <w:rPr>
                <w:rFonts w:ascii="Arial" w:cs="Arial" w:eastAsia="Arial" w:hAnsi="Arial"/>
                <w:sz w:val="18"/>
                <w:szCs w:val="18"/>
                <w:color w:val="auto"/>
              </w:rPr>
              <w:t>Loan servicing assets, at fair value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88,823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88,823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88,823</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1,274,371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460,891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153,249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660,231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1,274,371</w:t>
            </w:r>
          </w:p>
        </w:tc>
        <w:tc>
          <w:tcPr>
            <w:tcW w:w="0" w:type="dxa"/>
            <w:vAlign w:val="bottom"/>
          </w:tcPr>
          <w:p>
            <w:pPr>
              <w:spacing w:after="0"/>
              <w:rPr>
                <w:sz w:val="1"/>
                <w:szCs w:val="1"/>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Digital asset collateral repayment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59,850</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59,850</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59,850</w:t>
            </w: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440"/>
              <w:spacing w:after="0" w:line="243" w:lineRule="exact"/>
              <w:rPr>
                <w:sz w:val="20"/>
                <w:szCs w:val="20"/>
                <w:color w:val="auto"/>
              </w:rPr>
            </w:pPr>
            <w:r>
              <w:rPr>
                <w:rFonts w:ascii="Arial" w:cs="Arial" w:eastAsia="Arial" w:hAnsi="Arial"/>
                <w:sz w:val="18"/>
                <w:szCs w:val="18"/>
                <w:color w:val="auto"/>
              </w:rPr>
              <w:t>obligation</w:t>
            </w:r>
            <w:r>
              <w:rPr>
                <w:rFonts w:ascii="Arial" w:cs="Arial" w:eastAsia="Arial" w:hAnsi="Arial"/>
                <w:sz w:val="23"/>
                <w:szCs w:val="23"/>
                <w:color w:val="auto"/>
                <w:vertAlign w:val="superscript"/>
              </w:rPr>
              <w:t>(E)</w:t>
            </w:r>
          </w:p>
        </w:tc>
        <w:tc>
          <w:tcPr>
            <w:tcW w:w="16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340" w:type="dxa"/>
            <w:vAlign w:val="bottom"/>
            <w:vMerge w:val="continue"/>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34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20"/>
              <w:spacing w:after="0" w:line="230" w:lineRule="exact"/>
              <w:rPr>
                <w:sz w:val="20"/>
                <w:szCs w:val="20"/>
                <w:color w:val="auto"/>
              </w:rPr>
            </w:pPr>
            <w:r>
              <w:rPr>
                <w:rFonts w:ascii="Arial" w:cs="Arial" w:eastAsia="Arial" w:hAnsi="Arial"/>
                <w:sz w:val="18"/>
                <w:szCs w:val="18"/>
                <w:color w:val="auto"/>
              </w:rPr>
              <w:t>Certificate repayment obligation</w:t>
            </w:r>
            <w:r>
              <w:rPr>
                <w:rFonts w:ascii="Arial" w:cs="Arial" w:eastAsia="Arial" w:hAnsi="Arial"/>
                <w:sz w:val="23"/>
                <w:szCs w:val="23"/>
                <w:color w:val="auto"/>
                <w:vertAlign w:val="superscript"/>
              </w:rPr>
              <w:t>(E)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60,051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59,850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320" w:top="134" w:right="339" w:bottom="1440" w:gutter="0" w:footer="0" w:header="0"/>
        </w:sectPr>
      </w:pPr>
    </w:p>
    <w:bookmarkStart w:id="296" w:name="page297"/>
    <w:bookmarkEnd w:id="296"/>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December 31, 2024</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Carrying Value</w:t>
            </w:r>
          </w:p>
        </w:tc>
        <w:tc>
          <w:tcPr>
            <w:tcW w:w="300" w:type="dxa"/>
            <w:vAlign w:val="bottom"/>
          </w:tcPr>
          <w:p>
            <w:pPr>
              <w:spacing w:after="0"/>
              <w:rPr>
                <w:sz w:val="17"/>
                <w:szCs w:val="17"/>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7"/>
                <w:szCs w:val="17"/>
                <w:color w:val="auto"/>
              </w:rPr>
            </w:pPr>
          </w:p>
        </w:tc>
        <w:tc>
          <w:tcPr>
            <w:tcW w:w="1200" w:type="dxa"/>
            <w:vAlign w:val="bottom"/>
            <w:gridSpan w:val="2"/>
          </w:tcPr>
          <w:p>
            <w:pPr>
              <w:ind w:left="80"/>
              <w:spacing w:after="0" w:line="198" w:lineRule="exact"/>
              <w:rPr>
                <w:sz w:val="20"/>
                <w:szCs w:val="20"/>
                <w:color w:val="auto"/>
              </w:rPr>
            </w:pPr>
            <w:r>
              <w:rPr>
                <w:rFonts w:ascii="Arial" w:cs="Arial" w:eastAsia="Arial" w:hAnsi="Arial"/>
                <w:sz w:val="14"/>
                <w:szCs w:val="14"/>
                <w:b w:val="1"/>
                <w:bCs w:val="1"/>
                <w:color w:val="auto"/>
              </w:rPr>
              <w:t>Level 3</w:t>
            </w:r>
            <w:r>
              <w:rPr>
                <w:rFonts w:ascii="Arial" w:cs="Arial" w:eastAsia="Arial" w:hAnsi="Arial"/>
                <w:sz w:val="18"/>
                <w:szCs w:val="18"/>
                <w:b w:val="1"/>
                <w:bCs w:val="1"/>
                <w:color w:val="auto"/>
                <w:vertAlign w:val="superscript"/>
              </w:rPr>
              <w:t>(A)</w:t>
            </w:r>
          </w:p>
        </w:tc>
        <w:tc>
          <w:tcPr>
            <w:tcW w:w="340" w:type="dxa"/>
            <w:vAlign w:val="bottom"/>
          </w:tcPr>
          <w:p>
            <w:pPr>
              <w:spacing w:after="0"/>
              <w:rPr>
                <w:sz w:val="17"/>
                <w:szCs w:val="17"/>
                <w:color w:val="auto"/>
              </w:rPr>
            </w:pP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287,256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287,256</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287,256</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57,777</w:t>
            </w:r>
          </w:p>
        </w:tc>
        <w:tc>
          <w:tcPr>
            <w:tcW w:w="0" w:type="dxa"/>
            <w:vAlign w:val="bottom"/>
          </w:tcPr>
          <w:p>
            <w:pPr>
              <w:spacing w:after="0"/>
              <w:rPr>
                <w:sz w:val="1"/>
                <w:szCs w:val="1"/>
                <w:color w:val="auto"/>
              </w:rPr>
            </w:pPr>
          </w:p>
        </w:tc>
      </w:tr>
      <w:tr>
        <w:trPr>
          <w:trHeight w:val="229"/>
        </w:trPr>
        <w:tc>
          <w:tcPr>
            <w:tcW w:w="3640" w:type="dxa"/>
            <w:vAlign w:val="bottom"/>
          </w:tcPr>
          <w:p>
            <w:pPr>
              <w:ind w:left="240"/>
              <w:spacing w:after="0"/>
              <w:rPr>
                <w:sz w:val="20"/>
                <w:szCs w:val="20"/>
                <w:color w:val="auto"/>
              </w:rPr>
            </w:pPr>
            <w:r>
              <w:rPr>
                <w:rFonts w:ascii="Arial" w:cs="Arial" w:eastAsia="Arial" w:hAnsi="Arial"/>
                <w:sz w:val="18"/>
                <w:szCs w:val="18"/>
                <w:color w:val="auto"/>
              </w:rPr>
              <w:t>Digital assets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86,036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86,036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86,036</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Distressed asset claims</w:t>
            </w:r>
            <w:r>
              <w:rPr>
                <w:rFonts w:ascii="Arial" w:cs="Arial" w:eastAsia="Arial" w:hAnsi="Arial"/>
                <w:sz w:val="23"/>
                <w:szCs w:val="23"/>
                <w:color w:val="auto"/>
                <w:vertAlign w:val="superscript"/>
              </w:rPr>
              <w:t>(C)</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0" w:type="dxa"/>
            <w:vAlign w:val="bottom"/>
          </w:tcPr>
          <w:p>
            <w:pPr>
              <w:spacing w:after="0"/>
              <w:rPr>
                <w:sz w:val="1"/>
                <w:szCs w:val="1"/>
                <w:color w:val="auto"/>
              </w:rPr>
            </w:pPr>
          </w:p>
        </w:tc>
      </w:tr>
      <w:tr>
        <w:trPr>
          <w:trHeight w:val="229"/>
        </w:trPr>
        <w:tc>
          <w:tcPr>
            <w:tcW w:w="3640" w:type="dxa"/>
            <w:vAlign w:val="bottom"/>
          </w:tcPr>
          <w:p>
            <w:pPr>
              <w:ind w:left="220"/>
              <w:spacing w:after="0" w:line="230" w:lineRule="exact"/>
              <w:rPr>
                <w:sz w:val="20"/>
                <w:szCs w:val="20"/>
                <w:color w:val="auto"/>
              </w:rPr>
            </w:pPr>
            <w:r>
              <w:rPr>
                <w:rFonts w:ascii="Arial" w:cs="Arial" w:eastAsia="Arial" w:hAnsi="Arial"/>
                <w:sz w:val="18"/>
                <w:szCs w:val="18"/>
                <w:color w:val="auto"/>
              </w:rPr>
              <w:t>Marketable securities, at fair value</w:t>
            </w:r>
            <w:r>
              <w:rPr>
                <w:rFonts w:ascii="Arial" w:cs="Arial" w:eastAsia="Arial" w:hAnsi="Arial"/>
                <w:sz w:val="23"/>
                <w:szCs w:val="23"/>
                <w:color w:val="auto"/>
                <w:vertAlign w:val="superscript"/>
              </w:rPr>
              <w:t>(D)</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163,489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128,983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163,489</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held for sale, at fair value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395,922</w:t>
            </w:r>
          </w:p>
        </w:tc>
        <w:tc>
          <w:tcPr>
            <w:tcW w:w="0" w:type="dxa"/>
            <w:vAlign w:val="bottom"/>
          </w:tcPr>
          <w:p>
            <w:pPr>
              <w:spacing w:after="0"/>
              <w:rPr>
                <w:sz w:val="1"/>
                <w:szCs w:val="1"/>
                <w:color w:val="auto"/>
              </w:rPr>
            </w:pPr>
          </w:p>
        </w:tc>
      </w:tr>
      <w:tr>
        <w:trPr>
          <w:trHeight w:val="230"/>
        </w:trPr>
        <w:tc>
          <w:tcPr>
            <w:tcW w:w="3640" w:type="dxa"/>
            <w:vAlign w:val="bottom"/>
          </w:tcPr>
          <w:p>
            <w:pPr>
              <w:ind w:left="220"/>
              <w:spacing w:after="0"/>
              <w:rPr>
                <w:sz w:val="20"/>
                <w:szCs w:val="20"/>
                <w:color w:val="auto"/>
              </w:rPr>
            </w:pPr>
            <w:r>
              <w:rPr>
                <w:rFonts w:ascii="Arial" w:cs="Arial" w:eastAsia="Arial" w:hAnsi="Arial"/>
                <w:sz w:val="18"/>
                <w:szCs w:val="18"/>
                <w:color w:val="auto"/>
              </w:rPr>
              <w:t>Loan servicing assets, at fair value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88,497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88,497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88,497</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1,086,566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431,069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128,983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526,514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1,086,566</w:t>
            </w:r>
          </w:p>
        </w:tc>
        <w:tc>
          <w:tcPr>
            <w:tcW w:w="0" w:type="dxa"/>
            <w:vAlign w:val="bottom"/>
          </w:tcPr>
          <w:p>
            <w:pPr>
              <w:spacing w:after="0"/>
              <w:rPr>
                <w:sz w:val="1"/>
                <w:szCs w:val="1"/>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Digital asset collateral repayment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64,447</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64,447</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64,447</w:t>
            </w: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440"/>
              <w:spacing w:after="0" w:line="243" w:lineRule="exact"/>
              <w:rPr>
                <w:sz w:val="20"/>
                <w:szCs w:val="20"/>
                <w:color w:val="auto"/>
              </w:rPr>
            </w:pPr>
            <w:r>
              <w:rPr>
                <w:rFonts w:ascii="Arial" w:cs="Arial" w:eastAsia="Arial" w:hAnsi="Arial"/>
                <w:sz w:val="18"/>
                <w:szCs w:val="18"/>
                <w:color w:val="auto"/>
              </w:rPr>
              <w:t>obligation</w:t>
            </w:r>
            <w:r>
              <w:rPr>
                <w:rFonts w:ascii="Arial" w:cs="Arial" w:eastAsia="Arial" w:hAnsi="Arial"/>
                <w:sz w:val="23"/>
                <w:szCs w:val="23"/>
                <w:color w:val="auto"/>
                <w:vertAlign w:val="superscript"/>
              </w:rPr>
              <w:t>(E)</w:t>
            </w:r>
          </w:p>
        </w:tc>
        <w:tc>
          <w:tcPr>
            <w:tcW w:w="16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1240" w:type="dxa"/>
            <w:vAlign w:val="bottom"/>
            <w:gridSpan w:val="2"/>
            <w:vMerge w:val="continue"/>
            <w:shd w:val="clear" w:color="auto" w:fill="CCEEFF"/>
          </w:tcPr>
          <w:p>
            <w:pPr>
              <w:spacing w:after="0"/>
              <w:rPr>
                <w:sz w:val="21"/>
                <w:szCs w:val="21"/>
                <w:color w:val="auto"/>
              </w:rPr>
            </w:pPr>
          </w:p>
        </w:tc>
        <w:tc>
          <w:tcPr>
            <w:tcW w:w="340" w:type="dxa"/>
            <w:vAlign w:val="bottom"/>
            <w:vMerge w:val="continue"/>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34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64,447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64,447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64,447</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right="20" w:hanging="332"/>
        <w:spacing w:after="0" w:line="252" w:lineRule="auto"/>
        <w:tabs>
          <w:tab w:leader="none" w:pos="3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See Notes 4 and 5 regarding changes in the carrying values of servicing assets and loans, respectively. There were no transfers of Level 3 instruments to, or from, other fair value levels during the periods presented.</w:t>
      </w:r>
    </w:p>
    <w:p>
      <w:pPr>
        <w:spacing w:after="0" w:line="1" w:lineRule="exact"/>
        <w:rPr>
          <w:rFonts w:ascii="Arial" w:cs="Arial" w:eastAsia="Arial" w:hAnsi="Arial"/>
          <w:sz w:val="16"/>
          <w:szCs w:val="16"/>
          <w:color w:val="auto"/>
        </w:rPr>
      </w:pPr>
    </w:p>
    <w:p>
      <w:pPr>
        <w:ind w:left="340" w:hanging="332"/>
        <w:spacing w:after="0" w:line="255" w:lineRule="auto"/>
        <w:tabs>
          <w:tab w:leader="none" w:pos="3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Included in “Digital assets” in the Condensed Combined Consolidated Balance Sheets and represents digital assets held for sale at fair value, and excludes digital assets held at cost that are considered intangible assets.</w:t>
      </w:r>
    </w:p>
    <w:p>
      <w:pPr>
        <w:ind w:left="320" w:hanging="312"/>
        <w:spacing w:after="0"/>
        <w:tabs>
          <w:tab w:leader="none" w:pos="3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Included in “Other current assets” in the Condensed Combined Consolidated Balance Sheets.</w:t>
      </w:r>
    </w:p>
    <w:p>
      <w:pPr>
        <w:spacing w:after="0" w:line="8" w:lineRule="exact"/>
        <w:rPr>
          <w:rFonts w:ascii="Arial" w:cs="Arial" w:eastAsia="Arial" w:hAnsi="Arial"/>
          <w:sz w:val="16"/>
          <w:szCs w:val="16"/>
          <w:color w:val="auto"/>
        </w:rPr>
      </w:pPr>
    </w:p>
    <w:p>
      <w:pPr>
        <w:ind w:left="340" w:right="20" w:hanging="332"/>
        <w:spacing w:after="0" w:line="252" w:lineRule="auto"/>
        <w:tabs>
          <w:tab w:leader="none" w:pos="33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Residual interest securities and non-rated securities in securitization not considered debt securities are included within Level 3 of the fair value hierarchy.</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Included in “Other current liabilities” in the Condensed Combined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320" w:top="134" w:right="339" w:bottom="1440" w:gutter="0" w:footer="0" w:header="0"/>
        </w:sectPr>
      </w:pPr>
    </w:p>
    <w:bookmarkStart w:id="297" w:name="page298"/>
    <w:bookmarkEnd w:id="297"/>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Significant Valuation Inputs</w:t>
      </w:r>
    </w:p>
    <w:p>
      <w:pPr>
        <w:spacing w:after="0" w:line="171"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The Company used the following unobservable inputs that it considers significant to value the financial assets and liabilities carried at fair value and classified within Level 3 of the fair value hierarchy: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b w:val="1"/>
                <w:bCs w:val="1"/>
                <w:color w:val="auto"/>
              </w:rPr>
              <w:t>March 31, 2025</w:t>
            </w:r>
          </w:p>
        </w:tc>
        <w:tc>
          <w:tcPr>
            <w:tcW w:w="10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Discount</w:t>
            </w:r>
          </w:p>
        </w:tc>
        <w:tc>
          <w:tcPr>
            <w:tcW w:w="15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CPR</w:t>
            </w:r>
            <w:r>
              <w:rPr>
                <w:rFonts w:ascii="Arial" w:cs="Arial" w:eastAsia="Arial" w:hAnsi="Arial"/>
                <w:sz w:val="18"/>
                <w:szCs w:val="18"/>
                <w:b w:val="1"/>
                <w:bCs w:val="1"/>
                <w:color w:val="auto"/>
                <w:vertAlign w:val="superscript"/>
              </w:rPr>
              <w:t>(B)</w:t>
            </w:r>
            <w:r>
              <w:rPr>
                <w:rFonts w:ascii="Arial" w:cs="Arial" w:eastAsia="Arial" w:hAnsi="Arial"/>
                <w:sz w:val="14"/>
                <w:szCs w:val="14"/>
                <w:b w:val="1"/>
                <w:bCs w:val="1"/>
                <w:color w:val="auto"/>
              </w:rPr>
              <w:t xml:space="preserve"> (%)</w:t>
            </w:r>
          </w:p>
        </w:tc>
        <w:tc>
          <w:tcPr>
            <w:tcW w:w="15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CDR</w:t>
            </w:r>
            <w:r>
              <w:rPr>
                <w:rFonts w:ascii="Arial" w:cs="Arial" w:eastAsia="Arial" w:hAnsi="Arial"/>
                <w:sz w:val="18"/>
                <w:szCs w:val="18"/>
                <w:b w:val="1"/>
                <w:bCs w:val="1"/>
                <w:color w:val="auto"/>
                <w:vertAlign w:val="superscript"/>
              </w:rPr>
              <w:t>(C)</w:t>
            </w:r>
            <w:r>
              <w:rPr>
                <w:rFonts w:ascii="Arial" w:cs="Arial" w:eastAsia="Arial" w:hAnsi="Arial"/>
                <w:sz w:val="14"/>
                <w:szCs w:val="14"/>
                <w:b w:val="1"/>
                <w:bCs w:val="1"/>
                <w:color w:val="auto"/>
              </w:rPr>
              <w:t xml:space="preserve"> (%)</w:t>
            </w:r>
          </w:p>
        </w:tc>
        <w:tc>
          <w:tcPr>
            <w:tcW w:w="116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rPr>
              <w:t>Servicing</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Loss Severity</w:t>
            </w:r>
            <w:r>
              <w:rPr>
                <w:rFonts w:ascii="Arial" w:cs="Arial" w:eastAsia="Arial" w:hAnsi="Arial"/>
                <w:sz w:val="18"/>
                <w:szCs w:val="18"/>
                <w:b w:val="1"/>
                <w:bCs w:val="1"/>
                <w:color w:val="auto"/>
                <w:w w:val="98"/>
                <w:vertAlign w:val="superscript"/>
              </w:rPr>
              <w:t>(E)</w:t>
            </w:r>
          </w:p>
        </w:tc>
        <w:tc>
          <w:tcPr>
            <w:tcW w:w="0" w:type="dxa"/>
            <w:vAlign w:val="bottom"/>
          </w:tcPr>
          <w:p>
            <w:pPr>
              <w:spacing w:after="0"/>
              <w:rPr>
                <w:sz w:val="1"/>
                <w:szCs w:val="1"/>
                <w:color w:val="auto"/>
              </w:rPr>
            </w:pPr>
          </w:p>
        </w:tc>
      </w:tr>
      <w:tr>
        <w:trPr>
          <w:trHeight w:val="201"/>
        </w:trPr>
        <w:tc>
          <w:tcPr>
            <w:tcW w:w="2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100"/>
              <w:spacing w:after="0" w:line="201" w:lineRule="exact"/>
              <w:rPr>
                <w:sz w:val="20"/>
                <w:szCs w:val="20"/>
                <w:color w:val="auto"/>
              </w:rPr>
            </w:pPr>
            <w:r>
              <w:rPr>
                <w:rFonts w:ascii="Arial" w:cs="Arial" w:eastAsia="Arial" w:hAnsi="Arial"/>
                <w:sz w:val="14"/>
                <w:szCs w:val="14"/>
                <w:b w:val="1"/>
                <w:bCs w:val="1"/>
                <w:color w:val="auto"/>
                <w:w w:val="96"/>
              </w:rPr>
              <w:t>Rate</w:t>
            </w:r>
            <w:r>
              <w:rPr>
                <w:rFonts w:ascii="Arial" w:cs="Arial" w:eastAsia="Arial" w:hAnsi="Arial"/>
                <w:sz w:val="18"/>
                <w:szCs w:val="18"/>
                <w:b w:val="1"/>
                <w:bCs w:val="1"/>
                <w:color w:val="auto"/>
                <w:w w:val="96"/>
                <w:vertAlign w:val="superscript"/>
              </w:rPr>
              <w:t>(A)</w:t>
            </w:r>
            <w:r>
              <w:rPr>
                <w:rFonts w:ascii="Arial" w:cs="Arial" w:eastAsia="Arial" w:hAnsi="Arial"/>
                <w:sz w:val="14"/>
                <w:szCs w:val="14"/>
                <w:b w:val="1"/>
                <w:bCs w:val="1"/>
                <w:color w:val="auto"/>
                <w:w w:val="96"/>
              </w:rPr>
              <w:t xml:space="preserve"> (%)</w:t>
            </w:r>
          </w:p>
        </w:tc>
        <w:tc>
          <w:tcPr>
            <w:tcW w:w="150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160" w:type="dxa"/>
            <w:vAlign w:val="bottom"/>
            <w:gridSpan w:val="2"/>
          </w:tcPr>
          <w:p>
            <w:pPr>
              <w:jc w:val="center"/>
              <w:ind w:right="100"/>
              <w:spacing w:after="0" w:line="201" w:lineRule="exact"/>
              <w:rPr>
                <w:sz w:val="20"/>
                <w:szCs w:val="20"/>
                <w:color w:val="auto"/>
              </w:rPr>
            </w:pPr>
            <w:r>
              <w:rPr>
                <w:rFonts w:ascii="Arial" w:cs="Arial" w:eastAsia="Arial" w:hAnsi="Arial"/>
                <w:sz w:val="14"/>
                <w:szCs w:val="14"/>
                <w:b w:val="1"/>
                <w:bCs w:val="1"/>
                <w:color w:val="auto"/>
                <w:w w:val="96"/>
              </w:rPr>
              <w:t>Rate</w:t>
            </w:r>
            <w:r>
              <w:rPr>
                <w:rFonts w:ascii="Arial" w:cs="Arial" w:eastAsia="Arial" w:hAnsi="Arial"/>
                <w:sz w:val="18"/>
                <w:szCs w:val="18"/>
                <w:b w:val="1"/>
                <w:bCs w:val="1"/>
                <w:color w:val="auto"/>
                <w:w w:val="96"/>
                <w:vertAlign w:val="superscript"/>
              </w:rPr>
              <w:t>(D)</w:t>
            </w:r>
            <w:r>
              <w:rPr>
                <w:rFonts w:ascii="Arial" w:cs="Arial" w:eastAsia="Arial" w:hAnsi="Arial"/>
                <w:sz w:val="14"/>
                <w:szCs w:val="14"/>
                <w:b w:val="1"/>
                <w:bCs w:val="1"/>
                <w:color w:val="auto"/>
                <w:w w:val="96"/>
              </w:rPr>
              <w:t xml:space="preserve"> (%)</w:t>
            </w: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Marketable Securities</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820" w:type="dxa"/>
            <w:vAlign w:val="bottom"/>
            <w:vMerge w:val="restart"/>
          </w:tcPr>
          <w:p>
            <w:pPr>
              <w:ind w:left="460"/>
              <w:spacing w:after="0"/>
              <w:rPr>
                <w:sz w:val="20"/>
                <w:szCs w:val="20"/>
                <w:color w:val="auto"/>
              </w:rPr>
            </w:pPr>
            <w:r>
              <w:rPr>
                <w:rFonts w:ascii="Arial" w:cs="Arial" w:eastAsia="Arial" w:hAnsi="Arial"/>
                <w:sz w:val="18"/>
                <w:szCs w:val="18"/>
                <w:color w:val="auto"/>
              </w:rPr>
              <w:t>Residual interest securities</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34,558</w:t>
            </w:r>
          </w:p>
        </w:tc>
        <w:tc>
          <w:tcPr>
            <w:tcW w:w="1480" w:type="dxa"/>
            <w:vAlign w:val="bottom"/>
            <w:gridSpan w:val="2"/>
          </w:tcPr>
          <w:p>
            <w:pPr>
              <w:jc w:val="center"/>
              <w:ind w:left="10"/>
              <w:spacing w:after="0" w:line="176" w:lineRule="exact"/>
              <w:rPr>
                <w:sz w:val="20"/>
                <w:szCs w:val="20"/>
                <w:color w:val="auto"/>
              </w:rPr>
            </w:pPr>
            <w:r>
              <w:rPr>
                <w:rFonts w:ascii="Arial" w:cs="Arial" w:eastAsia="Arial" w:hAnsi="Arial"/>
                <w:sz w:val="18"/>
                <w:szCs w:val="18"/>
                <w:color w:val="auto"/>
                <w:w w:val="99"/>
              </w:rPr>
              <w:t>13.5% - 25.3%</w:t>
            </w:r>
          </w:p>
        </w:tc>
        <w:tc>
          <w:tcPr>
            <w:tcW w:w="100" w:type="dxa"/>
            <w:vAlign w:val="bottom"/>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Arial" w:cs="Arial" w:eastAsia="Arial" w:hAnsi="Arial"/>
                <w:sz w:val="18"/>
                <w:szCs w:val="18"/>
                <w:color w:val="auto"/>
                <w:w w:val="99"/>
              </w:rPr>
              <w:t>16.5% - 25.3%</w:t>
            </w:r>
          </w:p>
        </w:tc>
        <w:tc>
          <w:tcPr>
            <w:tcW w:w="10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8"/>
                <w:szCs w:val="18"/>
                <w:color w:val="auto"/>
                <w:w w:val="99"/>
              </w:rPr>
              <w:t>1.5% - 1.7%</w:t>
            </w:r>
          </w:p>
        </w:tc>
        <w:tc>
          <w:tcPr>
            <w:tcW w:w="100" w:type="dxa"/>
            <w:vAlign w:val="bottom"/>
          </w:tcPr>
          <w:p>
            <w:pPr>
              <w:spacing w:after="0"/>
              <w:rPr>
                <w:sz w:val="15"/>
                <w:szCs w:val="15"/>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rPr>
              <w:t>n.a</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43"/>
        </w:trPr>
        <w:tc>
          <w:tcPr>
            <w:tcW w:w="2820" w:type="dxa"/>
            <w:vAlign w:val="bottom"/>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20.9%</w:t>
            </w:r>
          </w:p>
        </w:tc>
        <w:tc>
          <w:tcPr>
            <w:tcW w:w="10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Servicing Assets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20" w:type="dxa"/>
            <w:vAlign w:val="bottom"/>
            <w:vMerge w:val="restart"/>
          </w:tcPr>
          <w:p>
            <w:pPr>
              <w:ind w:left="440"/>
              <w:spacing w:after="0"/>
              <w:rPr>
                <w:sz w:val="20"/>
                <w:szCs w:val="20"/>
                <w:color w:val="auto"/>
              </w:rPr>
            </w:pPr>
            <w:r>
              <w:rPr>
                <w:rFonts w:ascii="Arial" w:cs="Arial" w:eastAsia="Arial" w:hAnsi="Arial"/>
                <w:sz w:val="18"/>
                <w:szCs w:val="18"/>
                <w:color w:val="auto"/>
              </w:rPr>
              <w:t>HELOC loans</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86,839</w:t>
            </w:r>
          </w:p>
        </w:tc>
        <w:tc>
          <w:tcPr>
            <w:tcW w:w="1480" w:type="dxa"/>
            <w:vAlign w:val="bottom"/>
            <w:gridSpan w:val="2"/>
          </w:tcPr>
          <w:p>
            <w:pPr>
              <w:jc w:val="center"/>
              <w:ind w:left="10"/>
              <w:spacing w:after="0" w:line="176" w:lineRule="exact"/>
              <w:rPr>
                <w:sz w:val="20"/>
                <w:szCs w:val="20"/>
                <w:color w:val="auto"/>
              </w:rPr>
            </w:pPr>
            <w:r>
              <w:rPr>
                <w:rFonts w:ascii="Arial" w:cs="Arial" w:eastAsia="Arial" w:hAnsi="Arial"/>
                <w:sz w:val="18"/>
                <w:szCs w:val="18"/>
                <w:color w:val="auto"/>
                <w:w w:val="99"/>
              </w:rPr>
              <w:t>13.0% - 13.0%</w:t>
            </w:r>
          </w:p>
        </w:tc>
        <w:tc>
          <w:tcPr>
            <w:tcW w:w="100" w:type="dxa"/>
            <w:vAlign w:val="bottom"/>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Arial" w:cs="Arial" w:eastAsia="Arial" w:hAnsi="Arial"/>
                <w:sz w:val="18"/>
                <w:szCs w:val="18"/>
                <w:color w:val="auto"/>
                <w:w w:val="99"/>
              </w:rPr>
              <w:t>0.9% - 33.2%</w:t>
            </w:r>
          </w:p>
        </w:tc>
        <w:tc>
          <w:tcPr>
            <w:tcW w:w="100" w:type="dxa"/>
            <w:vAlign w:val="bottom"/>
          </w:tcPr>
          <w:p>
            <w:pPr>
              <w:spacing w:after="0"/>
              <w:rPr>
                <w:sz w:val="15"/>
                <w:szCs w:val="15"/>
                <w:color w:val="auto"/>
              </w:rPr>
            </w:pPr>
          </w:p>
        </w:tc>
        <w:tc>
          <w:tcPr>
            <w:tcW w:w="15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8"/>
              </w:rPr>
              <w:t>—% - 4.9%</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5"/>
                <w:szCs w:val="15"/>
                <w:color w:val="auto"/>
              </w:rPr>
            </w:pP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43"/>
        </w:trPr>
        <w:tc>
          <w:tcPr>
            <w:tcW w:w="2820" w:type="dxa"/>
            <w:vAlign w:val="bottom"/>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13.0%</w:t>
            </w:r>
          </w:p>
        </w:tc>
        <w:tc>
          <w:tcPr>
            <w:tcW w:w="10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82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rPr>
              <w:t>Mortgage loans</w:t>
            </w:r>
          </w:p>
        </w:tc>
        <w:tc>
          <w:tcPr>
            <w:tcW w:w="2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1480" w:type="dxa"/>
            <w:vAlign w:val="bottom"/>
            <w:gridSpan w:val="2"/>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99"/>
              </w:rPr>
              <w:t>10.0% - 11.0%</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3.8% - 8.1%</w:t>
            </w:r>
          </w:p>
        </w:tc>
        <w:tc>
          <w:tcPr>
            <w:tcW w:w="1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8"/>
              </w:rPr>
              <w:t>—% - 1.0%</w:t>
            </w:r>
          </w:p>
        </w:tc>
        <w:tc>
          <w:tcPr>
            <w:tcW w:w="11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4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43"/>
        </w:trPr>
        <w:tc>
          <w:tcPr>
            <w:tcW w:w="2820" w:type="dxa"/>
            <w:vAlign w:val="bottom"/>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1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10.8%</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5.6%</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14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20" w:type="dxa"/>
            <w:vAlign w:val="bottom"/>
          </w:tcPr>
          <w:p>
            <w:pPr>
              <w:ind w:left="240"/>
              <w:spacing w:after="0" w:line="223" w:lineRule="exact"/>
              <w:rPr>
                <w:sz w:val="20"/>
                <w:szCs w:val="20"/>
                <w:color w:val="auto"/>
              </w:rPr>
            </w:pPr>
            <w:r>
              <w:rPr>
                <w:rFonts w:ascii="Arial" w:cs="Arial" w:eastAsia="Arial" w:hAnsi="Arial"/>
                <w:sz w:val="18"/>
                <w:szCs w:val="18"/>
                <w:color w:val="auto"/>
              </w:rPr>
              <w:t>Total / Weighted average</w:t>
            </w:r>
            <w:r>
              <w:rPr>
                <w:rFonts w:ascii="Arial" w:cs="Arial" w:eastAsia="Arial" w:hAnsi="Arial"/>
                <w:sz w:val="23"/>
                <w:szCs w:val="23"/>
                <w:color w:val="auto"/>
                <w:vertAlign w:val="superscript"/>
              </w:rPr>
              <w:t>(F)</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88,824</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13.0%</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20" w:type="dxa"/>
            <w:vAlign w:val="bottom"/>
            <w:shd w:val="clear" w:color="auto" w:fill="CCEEFF"/>
          </w:tcPr>
          <w:p>
            <w:pPr>
              <w:ind w:left="20"/>
              <w:spacing w:after="0" w:line="197" w:lineRule="exact"/>
              <w:rPr>
                <w:sz w:val="20"/>
                <w:szCs w:val="20"/>
                <w:color w:val="auto"/>
              </w:rPr>
            </w:pPr>
            <w:r>
              <w:rPr>
                <w:rFonts w:ascii="Arial" w:cs="Arial" w:eastAsia="Arial" w:hAnsi="Arial"/>
                <w:sz w:val="17"/>
                <w:szCs w:val="17"/>
                <w:b w:val="1"/>
                <w:bCs w:val="1"/>
                <w:color w:val="auto"/>
              </w:rPr>
              <w:t>Loans Held for Sale</w:t>
            </w:r>
            <w:r>
              <w:rPr>
                <w:rFonts w:ascii="Arial" w:cs="Arial" w:eastAsia="Arial" w:hAnsi="Arial"/>
                <w:sz w:val="22"/>
                <w:szCs w:val="22"/>
                <w:b w:val="1"/>
                <w:bCs w:val="1"/>
                <w:color w:val="auto"/>
                <w:vertAlign w:val="superscript"/>
              </w:rPr>
              <w:t>(G)</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20" w:type="dxa"/>
            <w:vAlign w:val="bottom"/>
            <w:vMerge w:val="restart"/>
          </w:tcPr>
          <w:p>
            <w:pPr>
              <w:ind w:left="460"/>
              <w:spacing w:after="0"/>
              <w:rPr>
                <w:sz w:val="20"/>
                <w:szCs w:val="20"/>
                <w:color w:val="auto"/>
              </w:rPr>
            </w:pPr>
            <w:r>
              <w:rPr>
                <w:rFonts w:ascii="Arial" w:cs="Arial" w:eastAsia="Arial" w:hAnsi="Arial"/>
                <w:sz w:val="18"/>
                <w:szCs w:val="18"/>
                <w:color w:val="auto"/>
              </w:rPr>
              <w:t>HELOC loans</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498,352</w:t>
            </w:r>
          </w:p>
        </w:tc>
        <w:tc>
          <w:tcPr>
            <w:tcW w:w="148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9"/>
              </w:rPr>
              <w:t>6.3% - 10.5%</w:t>
            </w:r>
          </w:p>
        </w:tc>
        <w:tc>
          <w:tcPr>
            <w:tcW w:w="100" w:type="dxa"/>
            <w:vAlign w:val="bottom"/>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Arial" w:cs="Arial" w:eastAsia="Arial" w:hAnsi="Arial"/>
                <w:sz w:val="18"/>
                <w:szCs w:val="18"/>
                <w:color w:val="auto"/>
                <w:w w:val="99"/>
              </w:rPr>
              <w:t>1.6% - 32.2%</w:t>
            </w:r>
          </w:p>
        </w:tc>
        <w:tc>
          <w:tcPr>
            <w:tcW w:w="10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8"/>
                <w:szCs w:val="18"/>
                <w:color w:val="auto"/>
                <w:w w:val="99"/>
              </w:rPr>
              <w:t>0.9% - 28.3%</w:t>
            </w:r>
          </w:p>
        </w:tc>
        <w:tc>
          <w:tcPr>
            <w:tcW w:w="100" w:type="dxa"/>
            <w:vAlign w:val="bottom"/>
          </w:tcPr>
          <w:p>
            <w:pPr>
              <w:spacing w:after="0"/>
              <w:rPr>
                <w:sz w:val="15"/>
                <w:szCs w:val="15"/>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rPr>
              <w:t>n.a</w:t>
            </w: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rPr>
              <w:t>10% - 56.5%</w:t>
            </w:r>
          </w:p>
        </w:tc>
        <w:tc>
          <w:tcPr>
            <w:tcW w:w="0" w:type="dxa"/>
            <w:vAlign w:val="bottom"/>
          </w:tcPr>
          <w:p>
            <w:pPr>
              <w:spacing w:after="0"/>
              <w:rPr>
                <w:sz w:val="1"/>
                <w:szCs w:val="1"/>
                <w:color w:val="auto"/>
              </w:rPr>
            </w:pPr>
          </w:p>
        </w:tc>
      </w:tr>
      <w:tr>
        <w:trPr>
          <w:trHeight w:val="243"/>
        </w:trPr>
        <w:tc>
          <w:tcPr>
            <w:tcW w:w="2820" w:type="dxa"/>
            <w:vAlign w:val="bottom"/>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176"/>
        </w:trPr>
        <w:tc>
          <w:tcPr>
            <w:tcW w:w="282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480" w:type="dxa"/>
            <w:vAlign w:val="bottom"/>
            <w:gridSpan w:val="2"/>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99"/>
              </w:rPr>
              <w:t>5.7% - 9.2%</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18.0% - 51.3%</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2.0% - 9.8%</w:t>
            </w:r>
          </w:p>
        </w:tc>
        <w:tc>
          <w:tcPr>
            <w:tcW w:w="10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14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88.0% - 92.0%</w:t>
            </w:r>
          </w:p>
        </w:tc>
        <w:tc>
          <w:tcPr>
            <w:tcW w:w="0" w:type="dxa"/>
            <w:vAlign w:val="bottom"/>
          </w:tcPr>
          <w:p>
            <w:pPr>
              <w:spacing w:after="0"/>
              <w:rPr>
                <w:sz w:val="1"/>
                <w:szCs w:val="1"/>
                <w:color w:val="auto"/>
              </w:rPr>
            </w:pPr>
          </w:p>
        </w:tc>
      </w:tr>
      <w:tr>
        <w:trPr>
          <w:trHeight w:val="243"/>
        </w:trPr>
        <w:tc>
          <w:tcPr>
            <w:tcW w:w="2820" w:type="dxa"/>
            <w:vAlign w:val="bottom"/>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1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3"/>
        </w:trPr>
        <w:tc>
          <w:tcPr>
            <w:tcW w:w="2820" w:type="dxa"/>
            <w:vAlign w:val="bottom"/>
          </w:tcPr>
          <w:p>
            <w:pPr>
              <w:ind w:left="240"/>
              <w:spacing w:after="0" w:line="223" w:lineRule="exact"/>
              <w:rPr>
                <w:sz w:val="20"/>
                <w:szCs w:val="20"/>
                <w:color w:val="auto"/>
              </w:rPr>
            </w:pPr>
            <w:r>
              <w:rPr>
                <w:rFonts w:ascii="Arial" w:cs="Arial" w:eastAsia="Arial" w:hAnsi="Arial"/>
                <w:sz w:val="18"/>
                <w:szCs w:val="18"/>
                <w:color w:val="auto"/>
              </w:rPr>
              <w:t>Total / Weighted average</w:t>
            </w:r>
            <w:r>
              <w:rPr>
                <w:rFonts w:ascii="Arial" w:cs="Arial" w:eastAsia="Arial" w:hAnsi="Arial"/>
                <w:sz w:val="23"/>
                <w:szCs w:val="23"/>
                <w:color w:val="auto"/>
                <w:vertAlign w:val="superscript"/>
              </w:rPr>
              <w:t>(F)</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501,225</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320" w:top="134" w:right="339" w:bottom="1440" w:gutter="0" w:footer="0" w:header="0"/>
        </w:sectPr>
      </w:pPr>
    </w:p>
    <w:bookmarkStart w:id="298" w:name="page299"/>
    <w:bookmarkEnd w:id="298"/>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December 31, 2024</w:t>
            </w:r>
          </w:p>
        </w:tc>
        <w:tc>
          <w:tcPr>
            <w:tcW w:w="10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Discount Rate</w:t>
            </w:r>
            <w:r>
              <w:rPr>
                <w:rFonts w:ascii="Arial" w:cs="Arial" w:eastAsia="Arial" w:hAnsi="Arial"/>
                <w:sz w:val="18"/>
                <w:szCs w:val="18"/>
                <w:b w:val="1"/>
                <w:bCs w:val="1"/>
                <w:color w:val="auto"/>
                <w:vertAlign w:val="superscript"/>
              </w:rPr>
              <w:t>(A)</w:t>
            </w:r>
            <w:r>
              <w:rPr>
                <w:rFonts w:ascii="Arial" w:cs="Arial" w:eastAsia="Arial" w:hAnsi="Arial"/>
                <w:sz w:val="14"/>
                <w:szCs w:val="14"/>
                <w:b w:val="1"/>
                <w:bCs w:val="1"/>
                <w:color w:val="auto"/>
              </w:rPr>
              <w:t xml:space="preserve"> (%)</w:t>
            </w:r>
          </w:p>
        </w:tc>
        <w:tc>
          <w:tcPr>
            <w:tcW w:w="15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CPR</w:t>
            </w:r>
            <w:r>
              <w:rPr>
                <w:rFonts w:ascii="Arial" w:cs="Arial" w:eastAsia="Arial" w:hAnsi="Arial"/>
                <w:sz w:val="18"/>
                <w:szCs w:val="18"/>
                <w:b w:val="1"/>
                <w:bCs w:val="1"/>
                <w:color w:val="auto"/>
                <w:vertAlign w:val="superscript"/>
              </w:rPr>
              <w:t>(B)</w:t>
            </w:r>
            <w:r>
              <w:rPr>
                <w:rFonts w:ascii="Arial" w:cs="Arial" w:eastAsia="Arial" w:hAnsi="Arial"/>
                <w:sz w:val="14"/>
                <w:szCs w:val="14"/>
                <w:b w:val="1"/>
                <w:bCs w:val="1"/>
                <w:color w:val="auto"/>
              </w:rPr>
              <w:t xml:space="preserve"> (%)</w:t>
            </w:r>
          </w:p>
        </w:tc>
        <w:tc>
          <w:tcPr>
            <w:tcW w:w="14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CDR</w:t>
            </w:r>
            <w:r>
              <w:rPr>
                <w:rFonts w:ascii="Arial" w:cs="Arial" w:eastAsia="Arial" w:hAnsi="Arial"/>
                <w:sz w:val="18"/>
                <w:szCs w:val="18"/>
                <w:b w:val="1"/>
                <w:bCs w:val="1"/>
                <w:color w:val="auto"/>
                <w:vertAlign w:val="superscript"/>
              </w:rPr>
              <w:t>(C)</w:t>
            </w:r>
            <w:r>
              <w:rPr>
                <w:rFonts w:ascii="Arial" w:cs="Arial" w:eastAsia="Arial" w:hAnsi="Arial"/>
                <w:sz w:val="14"/>
                <w:szCs w:val="14"/>
                <w:b w:val="1"/>
                <w:bCs w:val="1"/>
                <w:color w:val="auto"/>
              </w:rPr>
              <w:t xml:space="preserve"> (%)</w:t>
            </w:r>
          </w:p>
        </w:tc>
        <w:tc>
          <w:tcPr>
            <w:tcW w:w="116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rPr>
              <w:t>Servicing</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Loss Severity</w:t>
            </w:r>
            <w:r>
              <w:rPr>
                <w:rFonts w:ascii="Arial" w:cs="Arial" w:eastAsia="Arial" w:hAnsi="Arial"/>
                <w:sz w:val="18"/>
                <w:szCs w:val="18"/>
                <w:b w:val="1"/>
                <w:bCs w:val="1"/>
                <w:color w:val="auto"/>
                <w:w w:val="98"/>
                <w:vertAlign w:val="superscript"/>
              </w:rPr>
              <w:t>(E)</w:t>
            </w:r>
          </w:p>
        </w:tc>
        <w:tc>
          <w:tcPr>
            <w:tcW w:w="0" w:type="dxa"/>
            <w:vAlign w:val="bottom"/>
          </w:tcPr>
          <w:p>
            <w:pPr>
              <w:spacing w:after="0"/>
              <w:rPr>
                <w:sz w:val="1"/>
                <w:szCs w:val="1"/>
                <w:color w:val="auto"/>
              </w:rPr>
            </w:pPr>
          </w:p>
        </w:tc>
      </w:tr>
      <w:tr>
        <w:trPr>
          <w:trHeight w:val="201"/>
        </w:trPr>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160" w:type="dxa"/>
            <w:vAlign w:val="bottom"/>
            <w:gridSpan w:val="2"/>
          </w:tcPr>
          <w:p>
            <w:pPr>
              <w:jc w:val="center"/>
              <w:ind w:right="100"/>
              <w:spacing w:after="0" w:line="201" w:lineRule="exact"/>
              <w:rPr>
                <w:sz w:val="20"/>
                <w:szCs w:val="20"/>
                <w:color w:val="auto"/>
              </w:rPr>
            </w:pPr>
            <w:r>
              <w:rPr>
                <w:rFonts w:ascii="Arial" w:cs="Arial" w:eastAsia="Arial" w:hAnsi="Arial"/>
                <w:sz w:val="14"/>
                <w:szCs w:val="14"/>
                <w:b w:val="1"/>
                <w:bCs w:val="1"/>
                <w:color w:val="auto"/>
                <w:w w:val="96"/>
              </w:rPr>
              <w:t>Rate</w:t>
            </w:r>
            <w:r>
              <w:rPr>
                <w:rFonts w:ascii="Arial" w:cs="Arial" w:eastAsia="Arial" w:hAnsi="Arial"/>
                <w:sz w:val="18"/>
                <w:szCs w:val="18"/>
                <w:b w:val="1"/>
                <w:bCs w:val="1"/>
                <w:color w:val="auto"/>
                <w:w w:val="96"/>
                <w:vertAlign w:val="superscript"/>
              </w:rPr>
              <w:t>(D)</w:t>
            </w:r>
            <w:r>
              <w:rPr>
                <w:rFonts w:ascii="Arial" w:cs="Arial" w:eastAsia="Arial" w:hAnsi="Arial"/>
                <w:sz w:val="14"/>
                <w:szCs w:val="14"/>
                <w:b w:val="1"/>
                <w:bCs w:val="1"/>
                <w:color w:val="auto"/>
                <w:w w:val="96"/>
              </w:rPr>
              <w:t xml:space="preserve"> (%)</w:t>
            </w: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Marketable Securities</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820" w:type="dxa"/>
            <w:vAlign w:val="bottom"/>
            <w:vMerge w:val="restart"/>
          </w:tcPr>
          <w:p>
            <w:pPr>
              <w:ind w:left="240"/>
              <w:spacing w:after="0"/>
              <w:rPr>
                <w:sz w:val="20"/>
                <w:szCs w:val="20"/>
                <w:color w:val="auto"/>
              </w:rPr>
            </w:pPr>
            <w:r>
              <w:rPr>
                <w:rFonts w:ascii="Arial" w:cs="Arial" w:eastAsia="Arial" w:hAnsi="Arial"/>
                <w:sz w:val="18"/>
                <w:szCs w:val="18"/>
                <w:color w:val="auto"/>
              </w:rPr>
              <w:t>Residual interest securities</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34,506</w:t>
            </w:r>
          </w:p>
        </w:tc>
        <w:tc>
          <w:tcPr>
            <w:tcW w:w="4460" w:type="dxa"/>
            <w:vAlign w:val="bottom"/>
            <w:gridSpan w:val="6"/>
          </w:tcPr>
          <w:p>
            <w:pPr>
              <w:jc w:val="right"/>
              <w:ind w:right="72"/>
              <w:spacing w:after="0" w:line="176" w:lineRule="exact"/>
              <w:rPr>
                <w:sz w:val="20"/>
                <w:szCs w:val="20"/>
                <w:color w:val="auto"/>
              </w:rPr>
            </w:pPr>
            <w:r>
              <w:rPr>
                <w:rFonts w:ascii="Arial" w:cs="Arial" w:eastAsia="Arial" w:hAnsi="Arial"/>
                <w:sz w:val="18"/>
                <w:szCs w:val="18"/>
                <w:color w:val="auto"/>
                <w:w w:val="99"/>
              </w:rPr>
              <w:t>14.5% - 24.0%15.2% - 20.1%1.5% - 1.7%</w:t>
            </w:r>
          </w:p>
        </w:tc>
        <w:tc>
          <w:tcPr>
            <w:tcW w:w="100" w:type="dxa"/>
            <w:vAlign w:val="bottom"/>
          </w:tcPr>
          <w:p>
            <w:pPr>
              <w:spacing w:after="0"/>
              <w:rPr>
                <w:sz w:val="15"/>
                <w:szCs w:val="15"/>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rPr>
              <w:t>n.a</w:t>
            </w: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43"/>
        </w:trPr>
        <w:tc>
          <w:tcPr>
            <w:tcW w:w="282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1540" w:type="dxa"/>
            <w:vAlign w:val="bottom"/>
            <w:gridSpan w:val="2"/>
          </w:tcPr>
          <w:p>
            <w:pPr>
              <w:jc w:val="center"/>
              <w:ind w:left="1"/>
              <w:spacing w:after="0"/>
              <w:rPr>
                <w:sz w:val="20"/>
                <w:szCs w:val="20"/>
                <w:color w:val="auto"/>
              </w:rPr>
            </w:pPr>
            <w:r>
              <w:rPr>
                <w:rFonts w:ascii="Arial" w:cs="Arial" w:eastAsia="Arial" w:hAnsi="Arial"/>
                <w:sz w:val="18"/>
                <w:szCs w:val="18"/>
                <w:color w:val="auto"/>
                <w:w w:val="97"/>
              </w:rPr>
              <w:t>19.7%</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7"/>
              </w:rPr>
              <w:t>17.7%</w:t>
            </w:r>
          </w:p>
        </w:tc>
        <w:tc>
          <w:tcPr>
            <w:tcW w:w="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7"/>
              </w:rPr>
              <w:t>1.6%</w:t>
            </w:r>
          </w:p>
        </w:tc>
        <w:tc>
          <w:tcPr>
            <w:tcW w:w="10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Servicing Assets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20" w:type="dxa"/>
            <w:vAlign w:val="bottom"/>
            <w:vMerge w:val="restart"/>
          </w:tcPr>
          <w:p>
            <w:pPr>
              <w:ind w:left="240"/>
              <w:spacing w:after="0"/>
              <w:rPr>
                <w:sz w:val="20"/>
                <w:szCs w:val="20"/>
                <w:color w:val="auto"/>
              </w:rPr>
            </w:pPr>
            <w:r>
              <w:rPr>
                <w:rFonts w:ascii="Arial" w:cs="Arial" w:eastAsia="Arial" w:hAnsi="Arial"/>
                <w:sz w:val="18"/>
                <w:szCs w:val="18"/>
                <w:color w:val="auto"/>
              </w:rPr>
              <w:t>HELOC loans</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86,465</w:t>
            </w:r>
          </w:p>
        </w:tc>
        <w:tc>
          <w:tcPr>
            <w:tcW w:w="1540" w:type="dxa"/>
            <w:vAlign w:val="bottom"/>
            <w:gridSpan w:val="2"/>
          </w:tcPr>
          <w:p>
            <w:pPr>
              <w:jc w:val="center"/>
              <w:ind w:left="1"/>
              <w:spacing w:after="0" w:line="176" w:lineRule="exact"/>
              <w:rPr>
                <w:sz w:val="20"/>
                <w:szCs w:val="20"/>
                <w:color w:val="auto"/>
              </w:rPr>
            </w:pPr>
            <w:r>
              <w:rPr>
                <w:rFonts w:ascii="Arial" w:cs="Arial" w:eastAsia="Arial" w:hAnsi="Arial"/>
                <w:sz w:val="18"/>
                <w:szCs w:val="18"/>
                <w:color w:val="auto"/>
                <w:w w:val="99"/>
              </w:rPr>
              <w:t>13.0% - 13.0%</w:t>
            </w:r>
          </w:p>
        </w:tc>
        <w:tc>
          <w:tcPr>
            <w:tcW w:w="10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8"/>
                <w:szCs w:val="18"/>
                <w:color w:val="auto"/>
                <w:w w:val="99"/>
              </w:rPr>
              <w:t>1.0% - 33.0%</w:t>
            </w:r>
          </w:p>
        </w:tc>
        <w:tc>
          <w:tcPr>
            <w:tcW w:w="80" w:type="dxa"/>
            <w:vAlign w:val="bottom"/>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rPr>
              <w:t>—% - 4.4%</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5"/>
                <w:szCs w:val="15"/>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43"/>
        </w:trPr>
        <w:tc>
          <w:tcPr>
            <w:tcW w:w="282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1540" w:type="dxa"/>
            <w:vAlign w:val="bottom"/>
            <w:gridSpan w:val="2"/>
          </w:tcPr>
          <w:p>
            <w:pPr>
              <w:jc w:val="center"/>
              <w:ind w:left="1"/>
              <w:spacing w:after="0"/>
              <w:rPr>
                <w:sz w:val="20"/>
                <w:szCs w:val="20"/>
                <w:color w:val="auto"/>
              </w:rPr>
            </w:pPr>
            <w:r>
              <w:rPr>
                <w:rFonts w:ascii="Arial" w:cs="Arial" w:eastAsia="Arial" w:hAnsi="Arial"/>
                <w:sz w:val="18"/>
                <w:szCs w:val="18"/>
                <w:color w:val="auto"/>
                <w:w w:val="97"/>
              </w:rPr>
              <w:t>13.0%</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7"/>
              </w:rPr>
              <w:t>14.4%</w:t>
            </w:r>
          </w:p>
        </w:tc>
        <w:tc>
          <w:tcPr>
            <w:tcW w:w="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7"/>
              </w:rPr>
              <w:t>0.7%</w:t>
            </w:r>
          </w:p>
        </w:tc>
        <w:tc>
          <w:tcPr>
            <w:tcW w:w="10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82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Mortgage loans</w:t>
            </w:r>
          </w:p>
        </w:tc>
        <w:tc>
          <w:tcPr>
            <w:tcW w:w="1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540" w:type="dxa"/>
            <w:vAlign w:val="bottom"/>
            <w:gridSpan w:val="2"/>
            <w:shd w:val="clear" w:color="auto" w:fill="CCEEFF"/>
          </w:tcPr>
          <w:p>
            <w:pPr>
              <w:jc w:val="center"/>
              <w:ind w:left="21"/>
              <w:spacing w:after="0" w:line="176" w:lineRule="exact"/>
              <w:rPr>
                <w:sz w:val="20"/>
                <w:szCs w:val="20"/>
                <w:color w:val="auto"/>
              </w:rPr>
            </w:pPr>
            <w:r>
              <w:rPr>
                <w:rFonts w:ascii="Arial" w:cs="Arial" w:eastAsia="Arial" w:hAnsi="Arial"/>
                <w:sz w:val="18"/>
                <w:szCs w:val="18"/>
                <w:color w:val="auto"/>
                <w:w w:val="98"/>
              </w:rPr>
              <w:t>10.0% - 11.0%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3.9% - 8.2%</w:t>
            </w:r>
          </w:p>
        </w:tc>
        <w:tc>
          <w:tcPr>
            <w:tcW w:w="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rPr>
              <w:t>—% - 1.0%</w:t>
            </w:r>
          </w:p>
        </w:tc>
        <w:tc>
          <w:tcPr>
            <w:tcW w:w="11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43"/>
        </w:trPr>
        <w:tc>
          <w:tcPr>
            <w:tcW w:w="2820" w:type="dxa"/>
            <w:vAlign w:val="bottom"/>
            <w:vMerge w:val="continue"/>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1540" w:type="dxa"/>
            <w:vAlign w:val="bottom"/>
            <w:gridSpan w:val="2"/>
            <w:shd w:val="clear" w:color="auto" w:fill="CCEEFF"/>
          </w:tcPr>
          <w:p>
            <w:pPr>
              <w:jc w:val="center"/>
              <w:ind w:left="1"/>
              <w:spacing w:after="0"/>
              <w:rPr>
                <w:sz w:val="20"/>
                <w:szCs w:val="20"/>
                <w:color w:val="auto"/>
              </w:rPr>
            </w:pPr>
            <w:r>
              <w:rPr>
                <w:rFonts w:ascii="Arial" w:cs="Arial" w:eastAsia="Arial" w:hAnsi="Arial"/>
                <w:sz w:val="18"/>
                <w:szCs w:val="18"/>
                <w:color w:val="auto"/>
                <w:w w:val="97"/>
              </w:rPr>
              <w:t>10.8%</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0.2%</w:t>
            </w:r>
          </w:p>
        </w:tc>
        <w:tc>
          <w:tcPr>
            <w:tcW w:w="10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20" w:type="dxa"/>
            <w:vAlign w:val="bottom"/>
          </w:tcPr>
          <w:p>
            <w:pPr>
              <w:ind w:left="240"/>
              <w:spacing w:after="0" w:line="223" w:lineRule="exact"/>
              <w:rPr>
                <w:sz w:val="20"/>
                <w:szCs w:val="20"/>
                <w:color w:val="auto"/>
              </w:rPr>
            </w:pPr>
            <w:r>
              <w:rPr>
                <w:rFonts w:ascii="Arial" w:cs="Arial" w:eastAsia="Arial" w:hAnsi="Arial"/>
                <w:sz w:val="18"/>
                <w:szCs w:val="18"/>
                <w:color w:val="auto"/>
              </w:rPr>
              <w:t>Total / Weighted average</w:t>
            </w:r>
            <w:r>
              <w:rPr>
                <w:rFonts w:ascii="Arial" w:cs="Arial" w:eastAsia="Arial" w:hAnsi="Arial"/>
                <w:sz w:val="23"/>
                <w:szCs w:val="23"/>
                <w:color w:val="auto"/>
                <w:vertAlign w:val="superscript"/>
              </w:rPr>
              <w:t>(F)</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88,497</w:t>
            </w:r>
          </w:p>
        </w:tc>
        <w:tc>
          <w:tcPr>
            <w:tcW w:w="1540" w:type="dxa"/>
            <w:vAlign w:val="bottom"/>
            <w:gridSpan w:val="2"/>
          </w:tcPr>
          <w:p>
            <w:pPr>
              <w:jc w:val="center"/>
              <w:ind w:left="1"/>
              <w:spacing w:after="0"/>
              <w:rPr>
                <w:sz w:val="20"/>
                <w:szCs w:val="20"/>
                <w:color w:val="auto"/>
              </w:rPr>
            </w:pPr>
            <w:r>
              <w:rPr>
                <w:rFonts w:ascii="Arial" w:cs="Arial" w:eastAsia="Arial" w:hAnsi="Arial"/>
                <w:sz w:val="18"/>
                <w:szCs w:val="18"/>
                <w:color w:val="auto"/>
                <w:w w:val="97"/>
              </w:rPr>
              <w:t>12.9%</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7"/>
              </w:rPr>
              <w:t>14.2%</w:t>
            </w:r>
          </w:p>
        </w:tc>
        <w:tc>
          <w:tcPr>
            <w:tcW w:w="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7"/>
              </w:rPr>
              <w:t>0.7%</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20" w:type="dxa"/>
            <w:vAlign w:val="bottom"/>
            <w:shd w:val="clear" w:color="auto" w:fill="CCEEFF"/>
          </w:tcPr>
          <w:p>
            <w:pPr>
              <w:ind w:left="20"/>
              <w:spacing w:after="0" w:line="197" w:lineRule="exact"/>
              <w:rPr>
                <w:sz w:val="20"/>
                <w:szCs w:val="20"/>
                <w:color w:val="auto"/>
              </w:rPr>
            </w:pPr>
            <w:r>
              <w:rPr>
                <w:rFonts w:ascii="Arial" w:cs="Arial" w:eastAsia="Arial" w:hAnsi="Arial"/>
                <w:sz w:val="17"/>
                <w:szCs w:val="17"/>
                <w:b w:val="1"/>
                <w:bCs w:val="1"/>
                <w:color w:val="auto"/>
              </w:rPr>
              <w:t>Loans Held for Sale</w:t>
            </w:r>
            <w:r>
              <w:rPr>
                <w:rFonts w:ascii="Arial" w:cs="Arial" w:eastAsia="Arial" w:hAnsi="Arial"/>
                <w:sz w:val="22"/>
                <w:szCs w:val="22"/>
                <w:b w:val="1"/>
                <w:bCs w:val="1"/>
                <w:color w:val="auto"/>
                <w:vertAlign w:val="superscript"/>
              </w:rPr>
              <w:t>(G)</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20" w:type="dxa"/>
            <w:vAlign w:val="bottom"/>
            <w:vMerge w:val="restart"/>
          </w:tcPr>
          <w:p>
            <w:pPr>
              <w:ind w:left="240"/>
              <w:spacing w:after="0"/>
              <w:rPr>
                <w:sz w:val="20"/>
                <w:szCs w:val="20"/>
                <w:color w:val="auto"/>
              </w:rPr>
            </w:pPr>
            <w:r>
              <w:rPr>
                <w:rFonts w:ascii="Arial" w:cs="Arial" w:eastAsia="Arial" w:hAnsi="Arial"/>
                <w:sz w:val="18"/>
                <w:szCs w:val="18"/>
                <w:color w:val="auto"/>
              </w:rPr>
              <w:t>HELOC loans</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366,154</w:t>
            </w:r>
          </w:p>
        </w:tc>
        <w:tc>
          <w:tcPr>
            <w:tcW w:w="1540" w:type="dxa"/>
            <w:vAlign w:val="bottom"/>
            <w:gridSpan w:val="2"/>
          </w:tcPr>
          <w:p>
            <w:pPr>
              <w:jc w:val="center"/>
              <w:ind w:left="21"/>
              <w:spacing w:after="0" w:line="176" w:lineRule="exact"/>
              <w:rPr>
                <w:sz w:val="20"/>
                <w:szCs w:val="20"/>
                <w:color w:val="auto"/>
              </w:rPr>
            </w:pPr>
            <w:r>
              <w:rPr>
                <w:rFonts w:ascii="Arial" w:cs="Arial" w:eastAsia="Arial" w:hAnsi="Arial"/>
                <w:sz w:val="18"/>
                <w:szCs w:val="18"/>
                <w:color w:val="auto"/>
                <w:w w:val="99"/>
              </w:rPr>
              <w:t>6.4% - 10.1%</w:t>
            </w:r>
          </w:p>
        </w:tc>
        <w:tc>
          <w:tcPr>
            <w:tcW w:w="10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8"/>
                <w:szCs w:val="18"/>
                <w:color w:val="auto"/>
                <w:w w:val="99"/>
              </w:rPr>
              <w:t>1.3% - 32.4%</w:t>
            </w:r>
          </w:p>
        </w:tc>
        <w:tc>
          <w:tcPr>
            <w:tcW w:w="80" w:type="dxa"/>
            <w:vAlign w:val="bottom"/>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Arial" w:cs="Arial" w:eastAsia="Arial" w:hAnsi="Arial"/>
                <w:sz w:val="18"/>
                <w:szCs w:val="18"/>
                <w:color w:val="auto"/>
                <w:w w:val="99"/>
              </w:rPr>
              <w:t>1.5% - 1.7%</w:t>
            </w:r>
          </w:p>
        </w:tc>
        <w:tc>
          <w:tcPr>
            <w:tcW w:w="100" w:type="dxa"/>
            <w:vAlign w:val="bottom"/>
          </w:tcPr>
          <w:p>
            <w:pPr>
              <w:spacing w:after="0"/>
              <w:rPr>
                <w:sz w:val="15"/>
                <w:szCs w:val="15"/>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rPr>
              <w:t>n.a</w:t>
            </w:r>
          </w:p>
        </w:tc>
        <w:tc>
          <w:tcPr>
            <w:tcW w:w="1480" w:type="dxa"/>
            <w:vAlign w:val="bottom"/>
          </w:tcPr>
          <w:p>
            <w:pPr>
              <w:jc w:val="center"/>
              <w:spacing w:after="0" w:line="176" w:lineRule="exact"/>
              <w:rPr>
                <w:sz w:val="20"/>
                <w:szCs w:val="20"/>
                <w:color w:val="auto"/>
              </w:rPr>
            </w:pPr>
            <w:r>
              <w:rPr>
                <w:rFonts w:ascii="Arial" w:cs="Arial" w:eastAsia="Arial" w:hAnsi="Arial"/>
                <w:sz w:val="18"/>
                <w:szCs w:val="18"/>
                <w:color w:val="auto"/>
                <w:w w:val="99"/>
              </w:rPr>
              <w:t>16.6% - 44.2%</w:t>
            </w:r>
          </w:p>
        </w:tc>
        <w:tc>
          <w:tcPr>
            <w:tcW w:w="0" w:type="dxa"/>
            <w:vAlign w:val="bottom"/>
          </w:tcPr>
          <w:p>
            <w:pPr>
              <w:spacing w:after="0"/>
              <w:rPr>
                <w:sz w:val="1"/>
                <w:szCs w:val="1"/>
                <w:color w:val="auto"/>
              </w:rPr>
            </w:pPr>
          </w:p>
        </w:tc>
      </w:tr>
      <w:tr>
        <w:trPr>
          <w:trHeight w:val="243"/>
        </w:trPr>
        <w:tc>
          <w:tcPr>
            <w:tcW w:w="282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1540" w:type="dxa"/>
            <w:vAlign w:val="bottom"/>
            <w:gridSpan w:val="2"/>
          </w:tcPr>
          <w:p>
            <w:pPr>
              <w:jc w:val="center"/>
              <w:ind w:left="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7"/>
              </w:rPr>
              <w:t>13.6%</w:t>
            </w:r>
          </w:p>
        </w:tc>
        <w:tc>
          <w:tcPr>
            <w:tcW w:w="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7"/>
              </w:rPr>
              <w:t>1.6%</w:t>
            </w:r>
          </w:p>
        </w:tc>
        <w:tc>
          <w:tcPr>
            <w:tcW w:w="10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176"/>
        </w:trPr>
        <w:tc>
          <w:tcPr>
            <w:tcW w:w="282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1540" w:type="dxa"/>
            <w:vAlign w:val="bottom"/>
            <w:gridSpan w:val="2"/>
            <w:shd w:val="clear" w:color="auto" w:fill="CCEEFF"/>
          </w:tcPr>
          <w:p>
            <w:pPr>
              <w:jc w:val="center"/>
              <w:ind w:left="1"/>
              <w:spacing w:after="0" w:line="176" w:lineRule="exact"/>
              <w:rPr>
                <w:sz w:val="20"/>
                <w:szCs w:val="20"/>
                <w:color w:val="auto"/>
              </w:rPr>
            </w:pPr>
            <w:r>
              <w:rPr>
                <w:rFonts w:ascii="Arial" w:cs="Arial" w:eastAsia="Arial" w:hAnsi="Arial"/>
                <w:sz w:val="18"/>
                <w:szCs w:val="18"/>
                <w:color w:val="auto"/>
                <w:w w:val="99"/>
              </w:rPr>
              <w:t>5.1% - 8.7%</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17.9% - 99.7%</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0.4% - 10.2%</w:t>
            </w:r>
          </w:p>
        </w:tc>
        <w:tc>
          <w:tcPr>
            <w:tcW w:w="10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14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88.0% - 92.0%</w:t>
            </w:r>
          </w:p>
        </w:tc>
        <w:tc>
          <w:tcPr>
            <w:tcW w:w="0" w:type="dxa"/>
            <w:vAlign w:val="bottom"/>
          </w:tcPr>
          <w:p>
            <w:pPr>
              <w:spacing w:after="0"/>
              <w:rPr>
                <w:sz w:val="1"/>
                <w:szCs w:val="1"/>
                <w:color w:val="auto"/>
              </w:rPr>
            </w:pPr>
          </w:p>
        </w:tc>
      </w:tr>
      <w:tr>
        <w:trPr>
          <w:trHeight w:val="243"/>
        </w:trPr>
        <w:tc>
          <w:tcPr>
            <w:tcW w:w="2820" w:type="dxa"/>
            <w:vAlign w:val="bottom"/>
            <w:vMerge w:val="continue"/>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1540" w:type="dxa"/>
            <w:vAlign w:val="bottom"/>
            <w:gridSpan w:val="2"/>
            <w:shd w:val="clear" w:color="auto" w:fill="CCEEFF"/>
          </w:tcPr>
          <w:p>
            <w:pPr>
              <w:jc w:val="center"/>
              <w:ind w:left="1"/>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25.6%</w:t>
            </w: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7.7%</w:t>
            </w:r>
          </w:p>
        </w:tc>
        <w:tc>
          <w:tcPr>
            <w:tcW w:w="10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3"/>
        </w:trPr>
        <w:tc>
          <w:tcPr>
            <w:tcW w:w="2820" w:type="dxa"/>
            <w:vAlign w:val="bottom"/>
          </w:tcPr>
          <w:p>
            <w:pPr>
              <w:ind w:left="240"/>
              <w:spacing w:after="0" w:line="223" w:lineRule="exact"/>
              <w:rPr>
                <w:sz w:val="20"/>
                <w:szCs w:val="20"/>
                <w:color w:val="auto"/>
              </w:rPr>
            </w:pPr>
            <w:r>
              <w:rPr>
                <w:rFonts w:ascii="Arial" w:cs="Arial" w:eastAsia="Arial" w:hAnsi="Arial"/>
                <w:sz w:val="18"/>
                <w:szCs w:val="18"/>
                <w:color w:val="auto"/>
              </w:rPr>
              <w:t>Total / Weighted average</w:t>
            </w:r>
            <w:r>
              <w:rPr>
                <w:rFonts w:ascii="Arial" w:cs="Arial" w:eastAsia="Arial" w:hAnsi="Arial"/>
                <w:sz w:val="23"/>
                <w:szCs w:val="23"/>
                <w:color w:val="auto"/>
                <w:vertAlign w:val="superscript"/>
              </w:rPr>
              <w:t>(F)</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369,983</w:t>
            </w:r>
          </w:p>
        </w:tc>
        <w:tc>
          <w:tcPr>
            <w:tcW w:w="1540" w:type="dxa"/>
            <w:vAlign w:val="bottom"/>
            <w:gridSpan w:val="2"/>
          </w:tcPr>
          <w:p>
            <w:pPr>
              <w:jc w:val="center"/>
              <w:ind w:left="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7"/>
              </w:rPr>
              <w:t>13.7%</w:t>
            </w:r>
          </w:p>
        </w:tc>
        <w:tc>
          <w:tcPr>
            <w:tcW w:w="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7"/>
              </w:rPr>
              <w:t>1.7%</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tabs>
          <w:tab w:leader="none" w:pos="3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Significant increases (decreases) in the discount rate, in isolation, would result in a significantly lower (higher) fair value measurement.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Significant increases (decreases) in the CPR, in isolation, would result in a significantly lower (higher) fair value measurement</w:t>
      </w:r>
    </w:p>
    <w:p>
      <w:pPr>
        <w:spacing w:after="0" w:line="14" w:lineRule="exact"/>
        <w:rPr>
          <w:rFonts w:ascii="Arial" w:cs="Arial" w:eastAsia="Arial" w:hAnsi="Arial"/>
          <w:sz w:val="16"/>
          <w:szCs w:val="16"/>
          <w:color w:val="auto"/>
        </w:rPr>
      </w:pPr>
    </w:p>
    <w:p>
      <w:pPr>
        <w:ind w:left="320" w:hanging="312"/>
        <w:spacing w:after="0"/>
        <w:tabs>
          <w:tab w:leader="none" w:pos="3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Significant increases (decreases) in the CDR, in isolation, would result in a significantly lower (higher) fair value measurement.</w:t>
      </w:r>
    </w:p>
    <w:p>
      <w:pPr>
        <w:spacing w:after="0" w:line="8" w:lineRule="exact"/>
        <w:rPr>
          <w:rFonts w:ascii="Arial" w:cs="Arial" w:eastAsia="Arial" w:hAnsi="Arial"/>
          <w:sz w:val="16"/>
          <w:szCs w:val="16"/>
          <w:color w:val="auto"/>
        </w:rPr>
      </w:pPr>
    </w:p>
    <w:p>
      <w:pPr>
        <w:ind w:left="340" w:hanging="332"/>
        <w:spacing w:after="0" w:line="255" w:lineRule="auto"/>
        <w:tabs>
          <w:tab w:leader="none" w:pos="33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Significant increases (decreases) in the servicing rate in excess of servicing costs, in isolation, would result in a significantly higher (lower) fair value measurement. Values represent the weighted average total mortgage servicing amount, net of subservicing costs.</w:t>
      </w:r>
    </w:p>
    <w:p>
      <w:pPr>
        <w:ind w:left="340" w:hanging="332"/>
        <w:spacing w:after="0"/>
        <w:tabs>
          <w:tab w:leader="none" w:pos="3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Significant increases (decreases) in the severity, in isolation, would result in a significantly lower (higher) fair value measurement.</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Unobservable inputs were weighted by respective fair value of each class.</w:t>
      </w:r>
    </w:p>
    <w:p>
      <w:pPr>
        <w:spacing w:after="0" w:line="14" w:lineRule="exact"/>
        <w:rPr>
          <w:rFonts w:ascii="Arial" w:cs="Arial" w:eastAsia="Arial" w:hAnsi="Arial"/>
          <w:sz w:val="16"/>
          <w:szCs w:val="16"/>
          <w:color w:val="auto"/>
        </w:rPr>
      </w:pPr>
    </w:p>
    <w:p>
      <w:pPr>
        <w:jc w:val="both"/>
        <w:ind w:left="340" w:hanging="332"/>
        <w:spacing w:after="0" w:line="260" w:lineRule="auto"/>
        <w:tabs>
          <w:tab w:leader="none" w:pos="331" w:val="left"/>
        </w:tabs>
        <w:numPr>
          <w:ilvl w:val="0"/>
          <w:numId w:val="131"/>
        </w:numPr>
        <w:rPr>
          <w:rFonts w:ascii="Arial" w:cs="Arial" w:eastAsia="Arial" w:hAnsi="Arial"/>
          <w:sz w:val="16"/>
          <w:szCs w:val="16"/>
          <w:color w:val="auto"/>
        </w:rPr>
      </w:pPr>
      <w:r>
        <w:rPr>
          <w:rFonts w:ascii="Arial" w:cs="Arial" w:eastAsia="Arial" w:hAnsi="Arial"/>
          <w:sz w:val="16"/>
          <w:szCs w:val="16"/>
          <w:color w:val="auto"/>
        </w:rPr>
        <w:t>HELOC loans are measured at estimated fair value using a discounted cash flow valuation methodology, more specifically a residential mortgage cash flow model. Personal loans included in “Other” are measured at estimated fair value using a discounted cash flow valuation methodology, more specifically a loan cash flow model. The Company uses an estimated recovery from collections and recent sales to fair value personal loans that are 30 days past due; the fair value of such loans at March 31, 2025 and December 31, 2024 were not material.</w:t>
      </w:r>
    </w:p>
    <w:p>
      <w:pPr>
        <w:spacing w:after="0" w:line="63"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u w:val="single" w:color="auto"/>
          <w:color w:val="auto"/>
        </w:rPr>
        <w:t>Significant Valuation Input Sensitivity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tables summarize the estimated change in fair value of assets carried at fair value and classified within Level 3 of the fair value hierarchy for the unobservable inputs in “—Significant Valuation Inputs” at March 31, 2025. Each of the following sensitivity analyses is hypothetical and is provided for illustrative purposes only. There are certain limitations inherent in the sensitivity analyses presented. In particular, the results are calculated by stressing a particular economic assumption independent of changes in any other assumption; in practice, changes in one factor may result in changes in another, which might counteract or amplify the sensitivities. Also, changes in the fair value based on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320" w:top="134" w:right="339" w:bottom="1440" w:gutter="0" w:footer="0" w:header="0"/>
        </w:sectPr>
      </w:pPr>
    </w:p>
    <w:bookmarkStart w:id="299" w:name="page300"/>
    <w:bookmarkEnd w:id="299"/>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3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variations in an assumption generally may not be extrapolated because the relationship of the change in the assumption to the change in fair value may not be linear.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-1%</w:t>
            </w:r>
          </w:p>
        </w:tc>
        <w:tc>
          <w:tcPr>
            <w:tcW w:w="7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+1%</w:t>
            </w:r>
          </w:p>
        </w:tc>
        <w:tc>
          <w:tcPr>
            <w:tcW w:w="7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1"/>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Discount Rate</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360" w:type="dxa"/>
            <w:vAlign w:val="bottom"/>
            <w:gridSpan w:val="2"/>
          </w:tcPr>
          <w:p>
            <w:pPr>
              <w:ind w:left="180"/>
              <w:spacing w:after="0"/>
              <w:rPr>
                <w:sz w:val="20"/>
                <w:szCs w:val="20"/>
                <w:color w:val="auto"/>
              </w:rPr>
            </w:pPr>
            <w:r>
              <w:rPr>
                <w:rFonts w:ascii="Arial" w:cs="Arial" w:eastAsia="Arial" w:hAnsi="Arial"/>
                <w:sz w:val="18"/>
                <w:szCs w:val="18"/>
                <w:i w:val="1"/>
                <w:iCs w:val="1"/>
                <w:color w:val="auto"/>
              </w:rPr>
              <w:t>Marketable Securities</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60" w:type="dxa"/>
            <w:vAlign w:val="bottom"/>
            <w:gridSpan w:val="2"/>
            <w:shd w:val="clear" w:color="auto" w:fill="CCEEFF"/>
          </w:tcPr>
          <w:p>
            <w:pPr>
              <w:ind w:left="440"/>
              <w:spacing w:after="0" w:line="176" w:lineRule="exact"/>
              <w:rPr>
                <w:sz w:val="20"/>
                <w:szCs w:val="20"/>
                <w:color w:val="auto"/>
              </w:rPr>
            </w:pPr>
            <w:r>
              <w:rPr>
                <w:rFonts w:ascii="Arial" w:cs="Arial" w:eastAsia="Arial" w:hAnsi="Arial"/>
                <w:sz w:val="18"/>
                <w:szCs w:val="18"/>
                <w:color w:val="auto"/>
              </w:rPr>
              <w:t>Residual interest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4.1 %</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2.3 %</w:t>
            </w:r>
          </w:p>
        </w:tc>
        <w:tc>
          <w:tcPr>
            <w:tcW w:w="80" w:type="dxa"/>
            <w:vAlign w:val="bottom"/>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2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securities</w:t>
            </w:r>
          </w:p>
        </w:tc>
        <w:tc>
          <w:tcPr>
            <w:tcW w:w="280" w:type="dxa"/>
            <w:vAlign w:val="bottom"/>
            <w:vMerge w:val="continue"/>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gridSpan w:val="2"/>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60" w:type="dxa"/>
            <w:vAlign w:val="bottom"/>
            <w:gridSpan w:val="2"/>
          </w:tcPr>
          <w:p>
            <w:pPr>
              <w:ind w:left="240"/>
              <w:spacing w:after="0"/>
              <w:rPr>
                <w:sz w:val="20"/>
                <w:szCs w:val="20"/>
                <w:color w:val="auto"/>
              </w:rPr>
            </w:pPr>
            <w:r>
              <w:rPr>
                <w:rFonts w:ascii="Arial" w:cs="Arial" w:eastAsia="Arial" w:hAnsi="Arial"/>
                <w:sz w:val="18"/>
                <w:szCs w:val="18"/>
                <w:i w:val="1"/>
                <w:iCs w:val="1"/>
                <w:color w:val="auto"/>
              </w:rPr>
              <w:t>Servicing Assets</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HELOC loans</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2360" w:type="dxa"/>
            <w:vAlign w:val="bottom"/>
            <w:gridSpan w:val="2"/>
          </w:tcPr>
          <w:p>
            <w:pPr>
              <w:ind w:left="460"/>
              <w:spacing w:after="0"/>
              <w:rPr>
                <w:sz w:val="20"/>
                <w:szCs w:val="20"/>
                <w:color w:val="auto"/>
              </w:rPr>
            </w:pPr>
            <w:r>
              <w:rPr>
                <w:rFonts w:ascii="Arial" w:cs="Arial" w:eastAsia="Arial" w:hAnsi="Arial"/>
                <w:sz w:val="18"/>
                <w:szCs w:val="18"/>
                <w:color w:val="auto"/>
              </w:rPr>
              <w:t>Mortgage loans</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i w:val="1"/>
                <w:iCs w:val="1"/>
                <w:color w:val="auto"/>
              </w:rPr>
              <w:t>Loans Held for Sale</w:t>
            </w:r>
            <w:r>
              <w:rPr>
                <w:rFonts w:ascii="Arial" w:cs="Arial" w:eastAsia="Arial" w:hAnsi="Arial"/>
                <w:sz w:val="23"/>
                <w:szCs w:val="23"/>
                <w:i w:val="1"/>
                <w:iCs w:val="1"/>
                <w:color w:val="auto"/>
                <w:vertAlign w:val="superscript"/>
              </w:rPr>
              <w:t>(A)</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360" w:type="dxa"/>
            <w:vAlign w:val="bottom"/>
            <w:gridSpan w:val="2"/>
          </w:tcPr>
          <w:p>
            <w:pPr>
              <w:ind w:left="460"/>
              <w:spacing w:after="0"/>
              <w:rPr>
                <w:sz w:val="20"/>
                <w:szCs w:val="20"/>
                <w:color w:val="auto"/>
              </w:rPr>
            </w:pPr>
            <w:r>
              <w:rPr>
                <w:rFonts w:ascii="Arial" w:cs="Arial" w:eastAsia="Arial" w:hAnsi="Arial"/>
                <w:sz w:val="18"/>
                <w:szCs w:val="18"/>
                <w:color w:val="auto"/>
              </w:rPr>
              <w:t>HELOC loans</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7,807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(27,696)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476"/>
        </w:trPr>
        <w:tc>
          <w:tcPr>
            <w:tcW w:w="2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-10%</w:t>
            </w: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+10%</w:t>
            </w: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3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1"/>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CPR</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360" w:type="dxa"/>
            <w:vAlign w:val="bottom"/>
            <w:gridSpan w:val="2"/>
          </w:tcPr>
          <w:p>
            <w:pPr>
              <w:ind w:left="180"/>
              <w:spacing w:after="0"/>
              <w:rPr>
                <w:sz w:val="20"/>
                <w:szCs w:val="20"/>
                <w:color w:val="auto"/>
              </w:rPr>
            </w:pPr>
            <w:r>
              <w:rPr>
                <w:rFonts w:ascii="Arial" w:cs="Arial" w:eastAsia="Arial" w:hAnsi="Arial"/>
                <w:sz w:val="18"/>
                <w:szCs w:val="18"/>
                <w:i w:val="1"/>
                <w:iCs w:val="1"/>
                <w:color w:val="auto"/>
              </w:rPr>
              <w:t>Marketable Securities</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60" w:type="dxa"/>
            <w:vAlign w:val="bottom"/>
            <w:gridSpan w:val="2"/>
            <w:shd w:val="clear" w:color="auto" w:fill="CCEEFF"/>
          </w:tcPr>
          <w:p>
            <w:pPr>
              <w:ind w:left="460"/>
              <w:spacing w:after="0" w:line="176" w:lineRule="exact"/>
              <w:rPr>
                <w:sz w:val="20"/>
                <w:szCs w:val="20"/>
                <w:color w:val="auto"/>
              </w:rPr>
            </w:pPr>
            <w:r>
              <w:rPr>
                <w:rFonts w:ascii="Arial" w:cs="Arial" w:eastAsia="Arial" w:hAnsi="Arial"/>
                <w:sz w:val="18"/>
                <w:szCs w:val="18"/>
                <w:color w:val="auto"/>
              </w:rPr>
              <w:t>Residual interest</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5.4 %</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w w:val="99"/>
              </w:rPr>
              <w:t>2.5 %</w:t>
            </w:r>
          </w:p>
        </w:tc>
        <w:tc>
          <w:tcPr>
            <w:tcW w:w="80" w:type="dxa"/>
            <w:vAlign w:val="bottom"/>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w w:val="98"/>
              </w:rPr>
              <w:t>(2.0)%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2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securities</w:t>
            </w:r>
          </w:p>
        </w:tc>
        <w:tc>
          <w:tcPr>
            <w:tcW w:w="280" w:type="dxa"/>
            <w:vAlign w:val="bottom"/>
            <w:vMerge w:val="continue"/>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gridSpan w:val="2"/>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60" w:type="dxa"/>
            <w:vAlign w:val="bottom"/>
            <w:gridSpan w:val="2"/>
          </w:tcPr>
          <w:p>
            <w:pPr>
              <w:ind w:left="240"/>
              <w:spacing w:after="0"/>
              <w:rPr>
                <w:sz w:val="20"/>
                <w:szCs w:val="20"/>
                <w:color w:val="auto"/>
              </w:rPr>
            </w:pPr>
            <w:r>
              <w:rPr>
                <w:rFonts w:ascii="Arial" w:cs="Arial" w:eastAsia="Arial" w:hAnsi="Arial"/>
                <w:sz w:val="18"/>
                <w:szCs w:val="18"/>
                <w:i w:val="1"/>
                <w:iCs w:val="1"/>
                <w:color w:val="auto"/>
              </w:rPr>
              <w:t>Servicing Assets</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HELOC loans</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2360" w:type="dxa"/>
            <w:vAlign w:val="bottom"/>
            <w:gridSpan w:val="2"/>
          </w:tcPr>
          <w:p>
            <w:pPr>
              <w:ind w:left="460"/>
              <w:spacing w:after="0"/>
              <w:rPr>
                <w:sz w:val="20"/>
                <w:szCs w:val="20"/>
                <w:color w:val="auto"/>
              </w:rPr>
            </w:pPr>
            <w:r>
              <w:rPr>
                <w:rFonts w:ascii="Arial" w:cs="Arial" w:eastAsia="Arial" w:hAnsi="Arial"/>
                <w:sz w:val="18"/>
                <w:szCs w:val="18"/>
                <w:color w:val="auto"/>
              </w:rPr>
              <w:t>Mortgage loans</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ind w:left="26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i w:val="1"/>
                <w:iCs w:val="1"/>
                <w:color w:val="auto"/>
              </w:rPr>
              <w:t>Loans Held for Sale</w:t>
            </w:r>
            <w:r>
              <w:rPr>
                <w:rFonts w:ascii="Arial" w:cs="Arial" w:eastAsia="Arial" w:hAnsi="Arial"/>
                <w:sz w:val="23"/>
                <w:szCs w:val="23"/>
                <w:i w:val="1"/>
                <w:iCs w:val="1"/>
                <w:color w:val="auto"/>
                <w:vertAlign w:val="superscript"/>
              </w:rPr>
              <w:t>(A)</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gridSpan w:val="2"/>
          </w:tcPr>
          <w:p>
            <w:pPr>
              <w:ind w:left="460"/>
              <w:spacing w:after="0"/>
              <w:rPr>
                <w:sz w:val="20"/>
                <w:szCs w:val="20"/>
                <w:color w:val="auto"/>
              </w:rPr>
            </w:pPr>
            <w:r>
              <w:rPr>
                <w:rFonts w:ascii="Arial" w:cs="Arial" w:eastAsia="Arial" w:hAnsi="Arial"/>
                <w:sz w:val="18"/>
                <w:szCs w:val="18"/>
                <w:color w:val="auto"/>
              </w:rPr>
              <w:t>HELOC loans</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ind w:left="26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CDR</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gridSpan w:val="2"/>
          </w:tcPr>
          <w:p>
            <w:pPr>
              <w:ind w:left="180"/>
              <w:spacing w:after="0"/>
              <w:rPr>
                <w:sz w:val="20"/>
                <w:szCs w:val="20"/>
                <w:color w:val="auto"/>
              </w:rPr>
            </w:pPr>
            <w:r>
              <w:rPr>
                <w:rFonts w:ascii="Arial" w:cs="Arial" w:eastAsia="Arial" w:hAnsi="Arial"/>
                <w:sz w:val="18"/>
                <w:szCs w:val="18"/>
                <w:i w:val="1"/>
                <w:iCs w:val="1"/>
                <w:color w:val="auto"/>
              </w:rPr>
              <w:t>Marketable Securities</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60" w:type="dxa"/>
            <w:vAlign w:val="bottom"/>
            <w:gridSpan w:val="2"/>
            <w:shd w:val="clear" w:color="auto" w:fill="CCEEFF"/>
          </w:tcPr>
          <w:p>
            <w:pPr>
              <w:ind w:left="460"/>
              <w:spacing w:after="0" w:line="176" w:lineRule="exact"/>
              <w:rPr>
                <w:sz w:val="20"/>
                <w:szCs w:val="20"/>
                <w:color w:val="auto"/>
              </w:rPr>
            </w:pPr>
            <w:r>
              <w:rPr>
                <w:rFonts w:ascii="Arial" w:cs="Arial" w:eastAsia="Arial" w:hAnsi="Arial"/>
                <w:sz w:val="18"/>
                <w:szCs w:val="18"/>
                <w:color w:val="auto"/>
              </w:rPr>
              <w:t>Residual interest</w:t>
            </w:r>
          </w:p>
        </w:tc>
        <w:tc>
          <w:tcPr>
            <w:tcW w:w="2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securities</w:t>
            </w:r>
          </w:p>
        </w:tc>
        <w:tc>
          <w:tcPr>
            <w:tcW w:w="28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60" w:type="dxa"/>
            <w:vAlign w:val="bottom"/>
            <w:gridSpan w:val="2"/>
          </w:tcPr>
          <w:p>
            <w:pPr>
              <w:ind w:left="240"/>
              <w:spacing w:after="0"/>
              <w:rPr>
                <w:sz w:val="20"/>
                <w:szCs w:val="20"/>
                <w:color w:val="auto"/>
              </w:rPr>
            </w:pPr>
            <w:r>
              <w:rPr>
                <w:rFonts w:ascii="Arial" w:cs="Arial" w:eastAsia="Arial" w:hAnsi="Arial"/>
                <w:sz w:val="18"/>
                <w:szCs w:val="18"/>
                <w:i w:val="1"/>
                <w:iCs w:val="1"/>
                <w:color w:val="auto"/>
              </w:rPr>
              <w:t>Servicing Assets</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HELOC loans</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360" w:type="dxa"/>
            <w:vAlign w:val="bottom"/>
            <w:gridSpan w:val="2"/>
          </w:tcPr>
          <w:p>
            <w:pPr>
              <w:ind w:left="180"/>
              <w:spacing w:after="0" w:line="230" w:lineRule="exact"/>
              <w:rPr>
                <w:sz w:val="20"/>
                <w:szCs w:val="20"/>
                <w:color w:val="auto"/>
              </w:rPr>
            </w:pPr>
            <w:r>
              <w:rPr>
                <w:rFonts w:ascii="Arial" w:cs="Arial" w:eastAsia="Arial" w:hAnsi="Arial"/>
                <w:sz w:val="18"/>
                <w:szCs w:val="18"/>
                <w:i w:val="1"/>
                <w:iCs w:val="1"/>
                <w:color w:val="auto"/>
              </w:rPr>
              <w:t>Loans Held for Sale</w:t>
            </w:r>
            <w:r>
              <w:rPr>
                <w:rFonts w:ascii="Arial" w:cs="Arial" w:eastAsia="Arial" w:hAnsi="Arial"/>
                <w:sz w:val="23"/>
                <w:szCs w:val="23"/>
                <w:i w:val="1"/>
                <w:iCs w:val="1"/>
                <w:color w:val="auto"/>
                <w:vertAlign w:val="superscript"/>
              </w:rPr>
              <w:t>(A)</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HELOC loans</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236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Servicing Rate</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CEEFF"/>
          </w:tcPr>
          <w:p>
            <w:pPr>
              <w:ind w:left="240"/>
              <w:spacing w:after="0"/>
              <w:rPr>
                <w:sz w:val="20"/>
                <w:szCs w:val="20"/>
                <w:color w:val="auto"/>
              </w:rPr>
            </w:pPr>
            <w:r>
              <w:rPr>
                <w:rFonts w:ascii="Arial" w:cs="Arial" w:eastAsia="Arial" w:hAnsi="Arial"/>
                <w:sz w:val="18"/>
                <w:szCs w:val="18"/>
                <w:i w:val="1"/>
                <w:iCs w:val="1"/>
                <w:color w:val="auto"/>
              </w:rPr>
              <w:t>Servicing Assets</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360" w:type="dxa"/>
            <w:vAlign w:val="bottom"/>
            <w:gridSpan w:val="2"/>
          </w:tcPr>
          <w:p>
            <w:pPr>
              <w:ind w:left="460"/>
              <w:spacing w:after="0"/>
              <w:rPr>
                <w:sz w:val="20"/>
                <w:szCs w:val="20"/>
                <w:color w:val="auto"/>
              </w:rPr>
            </w:pPr>
            <w:r>
              <w:rPr>
                <w:rFonts w:ascii="Arial" w:cs="Arial" w:eastAsia="Arial" w:hAnsi="Arial"/>
                <w:sz w:val="18"/>
                <w:szCs w:val="18"/>
                <w:color w:val="auto"/>
              </w:rPr>
              <w:t>HELOC loans</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7,443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3,542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ind w:left="26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(7,085)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 Excludes non-HELOC loans as such loans are not considered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320" w:top="134" w:right="339" w:bottom="1440" w:gutter="0" w:footer="0" w:header="0"/>
        </w:sectPr>
      </w:pPr>
    </w:p>
    <w:bookmarkStart w:id="300" w:name="page301"/>
    <w:bookmarkEnd w:id="300"/>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Marketable Securities</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table summarizes activities involving the Company’s marketable securities that are measured at fair value and classified within Level 3 of the fair value hierarchy for the three months ended March 31, 2025 and 2024:</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2023</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11,952</w:t>
            </w:r>
          </w:p>
        </w:tc>
      </w:tr>
      <w:tr>
        <w:trPr>
          <w:trHeight w:val="229"/>
        </w:trPr>
        <w:tc>
          <w:tcPr>
            <w:tcW w:w="9660" w:type="dxa"/>
            <w:vAlign w:val="bottom"/>
          </w:tcPr>
          <w:p>
            <w:pPr>
              <w:ind w:left="240"/>
              <w:spacing w:after="0" w:line="230" w:lineRule="exact"/>
              <w:rPr>
                <w:sz w:val="20"/>
                <w:szCs w:val="20"/>
                <w:color w:val="auto"/>
              </w:rPr>
            </w:pPr>
            <w:r>
              <w:rPr>
                <w:rFonts w:ascii="Arial" w:cs="Arial" w:eastAsia="Arial" w:hAnsi="Arial"/>
                <w:sz w:val="18"/>
                <w:szCs w:val="18"/>
                <w:color w:val="auto"/>
              </w:rPr>
              <w:t>Purchases</w:t>
            </w:r>
            <w:r>
              <w:rPr>
                <w:rFonts w:ascii="Arial" w:cs="Arial" w:eastAsia="Arial" w:hAnsi="Arial"/>
                <w:sz w:val="23"/>
                <w:szCs w:val="23"/>
                <w:color w:val="auto"/>
                <w:vertAlign w:val="superscript"/>
              </w:rPr>
              <w:t>(A)</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1,702</w:t>
            </w:r>
          </w:p>
        </w:tc>
      </w:tr>
      <w:tr>
        <w:trPr>
          <w:trHeight w:val="230"/>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60" w:type="dxa"/>
            <w:vAlign w:val="bottom"/>
          </w:tcPr>
          <w:p>
            <w:pPr>
              <w:ind w:left="240"/>
              <w:spacing w:after="0"/>
              <w:rPr>
                <w:sz w:val="20"/>
                <w:szCs w:val="20"/>
                <w:color w:val="auto"/>
              </w:rPr>
            </w:pPr>
            <w:r>
              <w:rPr>
                <w:rFonts w:ascii="Arial" w:cs="Arial" w:eastAsia="Arial" w:hAnsi="Arial"/>
                <w:sz w:val="18"/>
                <w:szCs w:val="18"/>
                <w:color w:val="auto"/>
              </w:rPr>
              <w:t>Principal payments</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29"/>
        </w:trPr>
        <w:tc>
          <w:tcPr>
            <w:tcW w:w="96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Change in fair value</w:t>
            </w:r>
            <w:r>
              <w:rPr>
                <w:rFonts w:ascii="Arial" w:cs="Arial" w:eastAsia="Arial" w:hAnsi="Arial"/>
                <w:sz w:val="23"/>
                <w:szCs w:val="23"/>
                <w:color w:val="auto"/>
                <w:vertAlign w:val="superscript"/>
              </w:rPr>
              <w:t>(B)</w:t>
            </w: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2024</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14,074</w:t>
            </w:r>
          </w:p>
        </w:tc>
      </w:tr>
      <w:tr>
        <w:trPr>
          <w:trHeight w:val="270"/>
        </w:trPr>
        <w:tc>
          <w:tcPr>
            <w:tcW w:w="96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34,506</w:t>
            </w:r>
          </w:p>
        </w:tc>
      </w:tr>
      <w:tr>
        <w:trPr>
          <w:trHeight w:val="230"/>
        </w:trPr>
        <w:tc>
          <w:tcPr>
            <w:tcW w:w="96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Purchases</w:t>
            </w:r>
            <w:r>
              <w:rPr>
                <w:rFonts w:ascii="Arial" w:cs="Arial" w:eastAsia="Arial" w:hAnsi="Arial"/>
                <w:sz w:val="23"/>
                <w:szCs w:val="23"/>
                <w:color w:val="auto"/>
                <w:vertAlign w:val="superscript"/>
              </w:rPr>
              <w:t>(A)</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r>
      <w:tr>
        <w:trPr>
          <w:trHeight w:val="229"/>
        </w:trPr>
        <w:tc>
          <w:tcPr>
            <w:tcW w:w="9660" w:type="dxa"/>
            <w:vAlign w:val="bottom"/>
          </w:tcPr>
          <w:p>
            <w:pPr>
              <w:ind w:left="240"/>
              <w:spacing w:after="0"/>
              <w:rPr>
                <w:sz w:val="20"/>
                <w:szCs w:val="20"/>
                <w:color w:val="auto"/>
              </w:rPr>
            </w:pPr>
            <w:r>
              <w:rPr>
                <w:rFonts w:ascii="Arial" w:cs="Arial" w:eastAsia="Arial" w:hAnsi="Arial"/>
                <w:sz w:val="18"/>
                <w:szCs w:val="18"/>
                <w:color w:val="auto"/>
              </w:rPr>
              <w:t>Principal payments</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(4,818)</w:t>
            </w:r>
          </w:p>
        </w:tc>
      </w:tr>
      <w:tr>
        <w:trPr>
          <w:trHeight w:val="229"/>
        </w:trPr>
        <w:tc>
          <w:tcPr>
            <w:tcW w:w="96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Change in fair value</w:t>
            </w:r>
            <w:r>
              <w:rPr>
                <w:rFonts w:ascii="Arial" w:cs="Arial" w:eastAsia="Arial" w:hAnsi="Arial"/>
                <w:sz w:val="23"/>
                <w:szCs w:val="23"/>
                <w:color w:val="auto"/>
                <w:vertAlign w:val="superscript"/>
              </w:rPr>
              <w:t>(B)</w:t>
            </w: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w:t>
            </w: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2025</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34,558</w:t>
            </w:r>
          </w:p>
        </w:tc>
      </w:tr>
      <w:tr>
        <w:trPr>
          <w:trHeight w:val="21"/>
        </w:trPr>
        <w:tc>
          <w:tcPr>
            <w:tcW w:w="9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tabs>
          <w:tab w:leader="none" w:pos="3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Includes premiums paid on the purchased notes.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Included in “Gain on sale of loans, net” in the Condensed Combined Consolidated Statements of Operations.</w:t>
      </w:r>
    </w:p>
    <w:p>
      <w:pPr>
        <w:spacing w:after="0" w:line="16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Assets and Liabilities Not Measured at Fair Value on a Recurring Basis</w:t>
      </w:r>
    </w:p>
    <w:p>
      <w:pPr>
        <w:spacing w:after="0" w:line="16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table summarizes information about the liabilities that are not measured at fair value on a recurring basis at March 31, 2025 and December 31,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March 31, 2025</w:t>
            </w:r>
          </w:p>
        </w:tc>
        <w:tc>
          <w:tcPr>
            <w:tcW w:w="10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95"/>
        </w:trPr>
        <w:tc>
          <w:tcPr>
            <w:tcW w:w="3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4"/>
                <w:szCs w:val="14"/>
                <w:b w:val="1"/>
                <w:bCs w:val="1"/>
                <w:color w:val="auto"/>
              </w:rPr>
              <w:t>Fair Value</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8"/>
        </w:trPr>
        <w:tc>
          <w:tcPr>
            <w:tcW w:w="3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Carrying Value</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7"/>
                <w:szCs w:val="17"/>
                <w:color w:val="auto"/>
              </w:rPr>
            </w:pPr>
          </w:p>
        </w:tc>
        <w:tc>
          <w:tcPr>
            <w:tcW w:w="1380" w:type="dxa"/>
            <w:vAlign w:val="bottom"/>
            <w:gridSpan w:val="2"/>
          </w:tcPr>
          <w:p>
            <w:pPr>
              <w:jc w:val="center"/>
              <w:ind w:right="240"/>
              <w:spacing w:after="0" w:line="198" w:lineRule="exact"/>
              <w:rPr>
                <w:sz w:val="20"/>
                <w:szCs w:val="20"/>
                <w:color w:val="auto"/>
              </w:rPr>
            </w:pPr>
            <w:r>
              <w:rPr>
                <w:rFonts w:ascii="Arial" w:cs="Arial" w:eastAsia="Arial" w:hAnsi="Arial"/>
                <w:sz w:val="14"/>
                <w:szCs w:val="14"/>
                <w:b w:val="1"/>
                <w:bCs w:val="1"/>
                <w:color w:val="auto"/>
                <w:w w:val="96"/>
              </w:rPr>
              <w:t>Level 2</w:t>
            </w:r>
            <w:r>
              <w:rPr>
                <w:rFonts w:ascii="Arial" w:cs="Arial" w:eastAsia="Arial" w:hAnsi="Arial"/>
                <w:sz w:val="18"/>
                <w:szCs w:val="18"/>
                <w:b w:val="1"/>
                <w:bCs w:val="1"/>
                <w:color w:val="auto"/>
                <w:w w:val="96"/>
                <w:vertAlign w:val="superscript"/>
              </w:rPr>
              <w:t>(A)</w:t>
            </w:r>
          </w:p>
        </w:tc>
        <w:tc>
          <w:tcPr>
            <w:tcW w:w="1080" w:type="dxa"/>
            <w:vAlign w:val="bottom"/>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76"/>
              <w:spacing w:after="0"/>
              <w:rPr>
                <w:sz w:val="20"/>
                <w:szCs w:val="20"/>
                <w:color w:val="auto"/>
              </w:rPr>
            </w:pPr>
            <w:r>
              <w:rPr>
                <w:rFonts w:ascii="Arial" w:cs="Arial" w:eastAsia="Arial" w:hAnsi="Arial"/>
                <w:sz w:val="14"/>
                <w:szCs w:val="14"/>
                <w:b w:val="1"/>
                <w:bCs w:val="1"/>
                <w:color w:val="auto"/>
              </w:rPr>
              <w:t>Total</w:t>
            </w:r>
          </w:p>
        </w:tc>
      </w:tr>
      <w:tr>
        <w:trPr>
          <w:trHeight w:val="210"/>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3620" w:type="dxa"/>
            <w:vAlign w:val="bottom"/>
          </w:tcPr>
          <w:p>
            <w:pPr>
              <w:ind w:left="460"/>
              <w:spacing w:after="0"/>
              <w:rPr>
                <w:sz w:val="20"/>
                <w:szCs w:val="20"/>
                <w:color w:val="auto"/>
              </w:rPr>
            </w:pPr>
            <w:r>
              <w:rPr>
                <w:rFonts w:ascii="Arial" w:cs="Arial" w:eastAsia="Arial" w:hAnsi="Arial"/>
                <w:sz w:val="18"/>
                <w:szCs w:val="18"/>
                <w:color w:val="auto"/>
              </w:rPr>
              <w:t>Financed Retained Interests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151,669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151,733</w:t>
            </w:r>
          </w:p>
        </w:tc>
        <w:tc>
          <w:tcPr>
            <w:tcW w:w="80" w:type="dxa"/>
            <w:vAlign w:val="bottom"/>
          </w:tcPr>
          <w:p>
            <w:pPr>
              <w:spacing w:after="0"/>
              <w:rPr>
                <w:sz w:val="19"/>
                <w:szCs w:val="19"/>
                <w:color w:val="auto"/>
              </w:rPr>
            </w:pP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151,733</w:t>
            </w:r>
          </w:p>
        </w:tc>
      </w:tr>
      <w:tr>
        <w:trPr>
          <w:trHeight w:val="248"/>
        </w:trPr>
        <w:tc>
          <w:tcPr>
            <w:tcW w:w="36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151,669</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151,733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151,733</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45"/>
        </w:trPr>
        <w:tc>
          <w:tcPr>
            <w:tcW w:w="3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December 31, 2024</w:t>
            </w:r>
          </w:p>
        </w:tc>
        <w:tc>
          <w:tcPr>
            <w:tcW w:w="1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Fair Value</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7"/>
        </w:trPr>
        <w:tc>
          <w:tcPr>
            <w:tcW w:w="3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rPr>
              <w:t>Carrying Value</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3"/>
          </w:tcPr>
          <w:p>
            <w:pPr>
              <w:ind w:left="20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Level 2</w:t>
            </w:r>
            <w:r>
              <w:rPr>
                <w:rFonts w:ascii="Arial" w:cs="Arial" w:eastAsia="Arial" w:hAnsi="Arial"/>
                <w:sz w:val="9"/>
                <w:szCs w:val="9"/>
                <w:b w:val="1"/>
                <w:bCs w:val="1"/>
                <w:color w:val="auto"/>
              </w:rPr>
              <w:t>(A)</w:t>
            </w:r>
          </w:p>
        </w:tc>
        <w:tc>
          <w:tcPr>
            <w:tcW w:w="1080" w:type="dxa"/>
            <w:vAlign w:val="bottom"/>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76"/>
              <w:spacing w:after="0"/>
              <w:rPr>
                <w:sz w:val="20"/>
                <w:szCs w:val="20"/>
                <w:color w:val="auto"/>
              </w:rPr>
            </w:pPr>
            <w:r>
              <w:rPr>
                <w:rFonts w:ascii="Arial" w:cs="Arial" w:eastAsia="Arial" w:hAnsi="Arial"/>
                <w:sz w:val="14"/>
                <w:szCs w:val="14"/>
                <w:b w:val="1"/>
                <w:bCs w:val="1"/>
                <w:color w:val="auto"/>
              </w:rPr>
              <w:t>Total</w:t>
            </w:r>
          </w:p>
        </w:tc>
      </w:tr>
      <w:tr>
        <w:trPr>
          <w:trHeight w:val="211"/>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3620" w:type="dxa"/>
            <w:vAlign w:val="bottom"/>
          </w:tcPr>
          <w:p>
            <w:pPr>
              <w:ind w:left="460"/>
              <w:spacing w:after="0"/>
              <w:rPr>
                <w:sz w:val="20"/>
                <w:szCs w:val="20"/>
                <w:color w:val="auto"/>
              </w:rPr>
            </w:pPr>
            <w:r>
              <w:rPr>
                <w:rFonts w:ascii="Arial" w:cs="Arial" w:eastAsia="Arial" w:hAnsi="Arial"/>
                <w:sz w:val="18"/>
                <w:szCs w:val="18"/>
                <w:color w:val="auto"/>
              </w:rPr>
              <w:t>Financed Retained Interests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128,101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127,327</w:t>
            </w:r>
          </w:p>
        </w:tc>
        <w:tc>
          <w:tcPr>
            <w:tcW w:w="80" w:type="dxa"/>
            <w:vAlign w:val="bottom"/>
          </w:tcPr>
          <w:p>
            <w:pPr>
              <w:spacing w:after="0"/>
              <w:rPr>
                <w:sz w:val="19"/>
                <w:szCs w:val="19"/>
                <w:color w:val="auto"/>
              </w:rPr>
            </w:pP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127,327</w:t>
            </w:r>
          </w:p>
        </w:tc>
      </w:tr>
      <w:tr>
        <w:trPr>
          <w:trHeight w:val="248"/>
        </w:trPr>
        <w:tc>
          <w:tcPr>
            <w:tcW w:w="36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128,101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127,327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127,327</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340" w:hanging="332"/>
        <w:spacing w:after="0" w:line="270" w:lineRule="auto"/>
        <w:tabs>
          <w:tab w:leader="none" w:pos="34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Financed retained interests classified as Level 2 in the fair value hierarchy were valued with a discounted cash flow model using collateral contractual terms and discount rates of similar instruments that include default and prepayment expectations as observable inputs.</w:t>
      </w:r>
    </w:p>
    <w:p>
      <w:pPr>
        <w:spacing w:after="0" w:line="10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Debt not carried at fair value, including financed retained interests, is presented at the face amount, net of debt issuance costs that are amortized over the contractual term using the effective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320" w:top="134" w:right="339" w:bottom="1440" w:gutter="0" w:footer="0" w:header="0"/>
        </w:sectPr>
      </w:pPr>
    </w:p>
    <w:bookmarkStart w:id="301" w:name="page302"/>
    <w:bookmarkEnd w:id="301"/>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3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method. The carrying value of debt associated with the warehouse facilities and servicing rights financing approximates the fair value due to their relatively short maturities.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Assets Measured at Fair Value on a Non-recurring Basis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Digital Assets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held Hash at cost, totaling $1.5 million and $1.5 million at March 31, 2025 and December 31, 2024, respectively, as intangible assets presented within “Digital assets” in the Condensed Combined Consolidated Balance Sheets. In connection with a valuation that management performed with the assistance of a third-party specialist during the Reorganization, the Company determined an impairment indicator existed for the Hash it held. Therefore, the Company recognized a $5.9 million impairment charge, equal to the difference between the fair value and costs basis of Hash, in “Other expense, net” in the Condensed Combined Consolidated Statements of Operations during the three months ended March 31, 2024.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files two separate consolidated federal income tax returns for FTI and Markets.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calculates the provision for income taxes during interim periods by applying an estimate of the forecasted annual effective tax rate for the full fiscal year to “ordinary” income or loss (pretax income or loss or loss excluding unusual or infrequently occurring discrete items) for the reporting period.</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Company’s income tax provision for the three months ended March 31, 2025 and 2024 is a expense of $ 1.2 million and expense of $0.0 million, respectively. The income tax expense recognized in both periods was primarily driven by profitability of the Company’s lending business.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At March 31, 2025 and December 31, 2024, the Company continues to maintain a valuation allowance against its federal and state deferred taxes. Management will continue to assess the need for a valuation allowance in future periods.</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recognizes a tax benefit from an uncertain tax position when it is more likely than not that the position will be sustained upon examination, including resolutions of any related appeals or litigation processes, based on the technical merits. Income tax positions must meet a more-likely-than-not recognition at the effective date to be recognized.</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None of the unrecognized tax benefits would affect the Company’s effective tax rate if these amounts are recognized due to our full valuation allowance.</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Company’s operations and resulting income taxes are calculated as if the Company filed a combined, separate federal income tax return. All tax years since inception are subject to examination by tax authorities, though the Company is currently not under examination by any federal or state jurisdiction.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following events occurred subsequent to March 31, 2025 through July 1, 2025, the date at which the Company’s condensed combined consolidated financial statements were available to be issued.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Facilities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Digital Asset Loan Facility Agreement</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April 2025, the Company executed a master participation agreement with an asset management firm that allows the Company to grant 100% participation interest for digital asset backed loans it owns. The $ 30.0 million facility, with the ability to increase to a maximum facility size of $50.0 million, matures in October 2026, bears interest at a rate of 13.5%, and has a purchase period through April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320" w:top="134" w:right="339" w:bottom="1440" w:gutter="0" w:footer="0" w:header="0"/>
        </w:sectPr>
      </w:pPr>
    </w:p>
    <w:bookmarkStart w:id="302" w:name="page303"/>
    <w:bookmarkEnd w:id="302"/>
    <w:p>
      <w:pPr>
        <w:ind w:left="1620"/>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NOTES TO CONDENSED COMBINED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Warehouse Facility 10</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April 2025, the Company entered into a master repurchase agreement with a major banking institution that contains customary debt covenants, a borrowing capacity of $300 million, including $1.0 million in committed capacity, and an initial maturity date in April 2026, with the option to renew at maturity. Borrowings under the facility bear interest at a rate of 2.35% plus SOFR.</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Warehouse Facility 2</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May 2025, the Company and its lender amended the facility to reduce the borrowing capacity from $350.0 million to $150.0 million, expand eligible collateral types, and reduce certain funding costs. The amended facility has an initial maturity date of May 2026. Borrowings under the facility bear interest at a rate of SOFR plus a spread of 2.3%.</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Warehouse Facility 11</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June 2025, the Company executed a master repurchase agreement with a major banking institution that has a facility limit up to $100.0 million, with the option to upsize via $20.0 million increments up to $200.0 million, and an initial maturity date in June 2027 with the option to renew at maturity. Borrowings under the facility bear interest at a rate of 1.75% plus SOFR, with a pricing floor of 2.0%, for a minimum all-in rate of 3.75%.</w:t>
      </w:r>
    </w:p>
    <w:p>
      <w:pPr>
        <w:spacing w:after="0" w:line="122" w:lineRule="exact"/>
        <w:rPr>
          <w:sz w:val="20"/>
          <w:szCs w:val="20"/>
          <w:color w:val="auto"/>
        </w:rPr>
      </w:pPr>
    </w:p>
    <w:p>
      <w:pPr>
        <w:jc w:val="right"/>
        <w:ind w:right="9520"/>
        <w:spacing w:after="0"/>
        <w:rPr>
          <w:sz w:val="20"/>
          <w:szCs w:val="20"/>
          <w:color w:val="auto"/>
        </w:rPr>
      </w:pPr>
      <w:r>
        <w:rPr>
          <w:rFonts w:ascii="Arial" w:cs="Arial" w:eastAsia="Arial" w:hAnsi="Arial"/>
          <w:sz w:val="18"/>
          <w:szCs w:val="18"/>
          <w:b w:val="1"/>
          <w:bCs w:val="1"/>
          <w:color w:val="auto"/>
        </w:rPr>
        <w:t>Corporate Activities</w:t>
      </w:r>
    </w:p>
    <w:p>
      <w:pPr>
        <w:spacing w:after="0" w:line="173" w:lineRule="exact"/>
        <w:rPr>
          <w:sz w:val="20"/>
          <w:szCs w:val="20"/>
          <w:color w:val="auto"/>
        </w:rPr>
      </w:pPr>
    </w:p>
    <w:p>
      <w:pPr>
        <w:jc w:val="right"/>
        <w:ind w:right="9560"/>
        <w:spacing w:after="0"/>
        <w:rPr>
          <w:sz w:val="20"/>
          <w:szCs w:val="20"/>
          <w:color w:val="auto"/>
        </w:rPr>
      </w:pPr>
      <w:r>
        <w:rPr>
          <w:rFonts w:ascii="Arial" w:cs="Arial" w:eastAsia="Arial" w:hAnsi="Arial"/>
          <w:sz w:val="18"/>
          <w:szCs w:val="18"/>
          <w:b w:val="1"/>
          <w:bCs w:val="1"/>
          <w:i w:val="1"/>
          <w:iCs w:val="1"/>
          <w:color w:val="auto"/>
        </w:rPr>
        <w:t>Redomiciliation</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 May 2025, both FTI and Markets redomiciled from the State of Delaware to the State of Nevada upon approval by the board of directors of each entity.</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Non-Public Filing of Registration Statement</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May 2025, the Company confidentially submitted a draft registration statement on Form S-1 with the U.S. Securities and Exchange Commission pursuant to the JOBS Act. The Company intends to pursue an initial public offering of its common stock; however, the timing, size, and terms of any offering have not yet been determined and remain subject to market conditions and SEC review.</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 Commitment</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 June 2025, the Company entered into a non-cancellable lease agreement for a five-year term with minimum annual payments of $1.0 million. The lease is expected to commence in October 2025 and includes a rent abatement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320" w:top="134" w:right="339" w:bottom="1440" w:gutter="0" w:footer="0" w:header="0"/>
        </w:sectPr>
      </w:pPr>
    </w:p>
    <w:bookmarkStart w:id="303" w:name="page304"/>
    <w:bookmarkEnd w:id="303"/>
    <w:p>
      <w:pPr>
        <w:ind w:left="3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216535</wp:posOffset>
            </wp:positionH>
            <wp:positionV relativeFrom="page">
              <wp:posOffset>174625</wp:posOffset>
            </wp:positionV>
            <wp:extent cx="685800" cy="274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685800" cy="274320"/>
                    </a:xfrm>
                    <a:prstGeom prst="rect">
                      <a:avLst/>
                    </a:prstGeom>
                    <a:noFill/>
                  </pic:spPr>
                </pic:pic>
              </a:graphicData>
            </a:graphic>
          </wp:anchor>
        </w:drawing>
        <w:t>KPMG LLP</w:t>
      </w:r>
    </w:p>
    <w:p>
      <w:pPr>
        <w:spacing w:after="0" w:line="6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Suite 1400</w:t>
      </w:r>
    </w:p>
    <w:p>
      <w:pPr>
        <w:spacing w:after="0" w:line="32"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55 Second Street</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San Francisco, CA 94105</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FT Intermediate, Inc. and Figure Markets Holdings, Inc. and their Subsidiaries: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Combined Consolidated Financial Statements</w:t>
      </w:r>
    </w:p>
    <w:p>
      <w:pPr>
        <w:spacing w:after="0" w:line="16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audited the accompanying combined consolidated balance sheets of FT Intermediate, Inc. and Figure Markets Holdings, Inc. and their Subsidiaries (the Company) as of December 31, 2024 and Figure Technologies, Inc. as of December 31, 2023, the related combined consolidated statements of operations, stockholders’ equity, and cash flows for each of the years in the two-year period ended December 31, 2024, and the related notes (collectively, the combined consolidated financial statements). In our opinion, the combined consolidated financial statements present fairly, in all material respects, the financial position of the Company as of December 31, 2024 and 2023, and the results of its operations and its cash flows for each of the years in the two-year period ended December 31, 2024, in conformity with U.S. generally accepted accounting principles.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6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combined consolidated financial statements are the responsibility of the Company’s management. Our responsibility is to express an opinion on these combined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combined consolidated financial statements are free of material misstatement, whether due to error or fraud. Our audits included performing procedures to assess the risks of material misstatement of the combined consolidated financial statements, whether due to error or fraud, and performing procedures that respond to those risks. Such procedures included examining, on a test basis, evidence regarding the amounts and disclosures in the combined consolidated financial statements. Our audits also included evaluating the accounting principles used and significant estimates made by management, as well as evaluating the overall presentation of the combined consolidated financial statements. We believe that our audits provide a reasonable basis for our opinion.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April 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00"/>
          </w:cols>
          <w:pgMar w:left="320" w:top="296" w:right="379" w:bottom="1440" w:gutter="0" w:footer="0" w:header="0"/>
        </w:sectPr>
      </w:pPr>
    </w:p>
    <w:bookmarkStart w:id="304" w:name="page305"/>
    <w:bookmarkEnd w:id="304"/>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COMBINED CONSOLIDATED BALANCE SHEETS</w:t>
      </w:r>
    </w:p>
    <w:p>
      <w:pPr>
        <w:ind w:left="358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116,548</w:t>
            </w:r>
          </w:p>
        </w:tc>
        <w:tc>
          <w:tcPr>
            <w:tcW w:w="0" w:type="dxa"/>
            <w:vAlign w:val="bottom"/>
          </w:tcPr>
          <w:p>
            <w:pPr>
              <w:spacing w:after="0"/>
              <w:rPr>
                <w:sz w:val="1"/>
                <w:szCs w:val="1"/>
                <w:color w:val="auto"/>
              </w:rPr>
            </w:pPr>
          </w:p>
        </w:tc>
      </w:tr>
      <w:tr>
        <w:trPr>
          <w:trHeight w:val="229"/>
        </w:trPr>
        <w:tc>
          <w:tcPr>
            <w:tcW w:w="7980" w:type="dxa"/>
            <w:vAlign w:val="bottom"/>
          </w:tcPr>
          <w:p>
            <w:pPr>
              <w:ind w:left="680"/>
              <w:spacing w:after="0"/>
              <w:rPr>
                <w:sz w:val="20"/>
                <w:szCs w:val="20"/>
                <w:color w:val="auto"/>
              </w:rPr>
            </w:pPr>
            <w:r>
              <w:rPr>
                <w:rFonts w:ascii="Arial" w:cs="Arial" w:eastAsia="Arial" w:hAnsi="Arial"/>
                <w:sz w:val="18"/>
                <w:szCs w:val="18"/>
                <w:color w:val="auto"/>
              </w:rPr>
              <w:t>Restricted cash</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57,777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59,232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Loans held for sale, at fair value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395,922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255,516</w:t>
            </w:r>
          </w:p>
        </w:tc>
        <w:tc>
          <w:tcPr>
            <w:tcW w:w="0" w:type="dxa"/>
            <w:vAlign w:val="bottom"/>
          </w:tcPr>
          <w:p>
            <w:pPr>
              <w:spacing w:after="0"/>
              <w:rPr>
                <w:sz w:val="1"/>
                <w:szCs w:val="1"/>
                <w:color w:val="auto"/>
              </w:rPr>
            </w:pPr>
          </w:p>
        </w:tc>
      </w:tr>
      <w:tr>
        <w:trPr>
          <w:trHeight w:val="229"/>
        </w:trPr>
        <w:tc>
          <w:tcPr>
            <w:tcW w:w="7980" w:type="dxa"/>
            <w:vAlign w:val="bottom"/>
          </w:tcPr>
          <w:p>
            <w:pPr>
              <w:ind w:left="680"/>
              <w:spacing w:after="0"/>
              <w:rPr>
                <w:sz w:val="20"/>
                <w:szCs w:val="20"/>
                <w:color w:val="auto"/>
              </w:rPr>
            </w:pPr>
            <w:r>
              <w:rPr>
                <w:rFonts w:ascii="Arial" w:cs="Arial" w:eastAsia="Arial" w:hAnsi="Arial"/>
                <w:sz w:val="18"/>
                <w:szCs w:val="18"/>
                <w:color w:val="auto"/>
              </w:rPr>
              <w:t>Digital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77,862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5,865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receivable, net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17,301</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854,690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458,280</w:t>
            </w:r>
          </w:p>
        </w:tc>
        <w:tc>
          <w:tcPr>
            <w:tcW w:w="0" w:type="dxa"/>
            <w:vAlign w:val="bottom"/>
          </w:tcPr>
          <w:p>
            <w:pPr>
              <w:spacing w:after="0"/>
              <w:rPr>
                <w:sz w:val="1"/>
                <w:szCs w:val="1"/>
                <w:color w:val="auto"/>
              </w:rPr>
            </w:pP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Loan servicing asset, at fair value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88,497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55,860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Loans held for investment, at fair value</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61,337</w:t>
            </w:r>
          </w:p>
        </w:tc>
        <w:tc>
          <w:tcPr>
            <w:tcW w:w="0" w:type="dxa"/>
            <w:vAlign w:val="bottom"/>
          </w:tcPr>
          <w:p>
            <w:pPr>
              <w:spacing w:after="0"/>
              <w:rPr>
                <w:sz w:val="1"/>
                <w:szCs w:val="1"/>
                <w:color w:val="auto"/>
              </w:rPr>
            </w:pP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Marketable securities, at fair value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163,489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37,066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Digital assets, non-current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Loan to related parties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9,372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7,915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non-current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39,610</w:t>
            </w:r>
          </w:p>
        </w:tc>
        <w:tc>
          <w:tcPr>
            <w:tcW w:w="0" w:type="dxa"/>
            <w:vAlign w:val="bottom"/>
          </w:tcPr>
          <w:p>
            <w:pPr>
              <w:spacing w:after="0"/>
              <w:rPr>
                <w:sz w:val="1"/>
                <w:szCs w:val="1"/>
                <w:color w:val="auto"/>
              </w:rPr>
            </w:pP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1,159,578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660,068</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680"/>
              <w:spacing w:after="0"/>
              <w:rPr>
                <w:sz w:val="20"/>
                <w:szCs w:val="20"/>
                <w:color w:val="auto"/>
              </w:rPr>
            </w:pPr>
            <w:r>
              <w:rPr>
                <w:rFonts w:ascii="Arial" w:cs="Arial" w:eastAsia="Arial" w:hAnsi="Arial"/>
                <w:sz w:val="18"/>
                <w:szCs w:val="18"/>
                <w:color w:val="auto"/>
              </w:rPr>
              <w:t>Accounts payable and accrued 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37,217</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20,140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Payables to third-party loan owners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212,619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120,075</w:t>
            </w:r>
          </w:p>
        </w:tc>
        <w:tc>
          <w:tcPr>
            <w:tcW w:w="0" w:type="dxa"/>
            <w:vAlign w:val="bottom"/>
          </w:tcPr>
          <w:p>
            <w:pPr>
              <w:spacing w:after="0"/>
              <w:rPr>
                <w:sz w:val="1"/>
                <w:szCs w:val="1"/>
                <w:color w:val="auto"/>
              </w:rPr>
            </w:pPr>
          </w:p>
        </w:tc>
      </w:tr>
      <w:tr>
        <w:trPr>
          <w:trHeight w:val="230"/>
        </w:trPr>
        <w:tc>
          <w:tcPr>
            <w:tcW w:w="7980" w:type="dxa"/>
            <w:vAlign w:val="bottom"/>
          </w:tcPr>
          <w:p>
            <w:pPr>
              <w:ind w:left="680"/>
              <w:spacing w:after="0"/>
              <w:rPr>
                <w:sz w:val="20"/>
                <w:szCs w:val="20"/>
                <w:color w:val="auto"/>
              </w:rPr>
            </w:pPr>
            <w:r>
              <w:rPr>
                <w:rFonts w:ascii="Arial" w:cs="Arial" w:eastAsia="Arial" w:hAnsi="Arial"/>
                <w:sz w:val="18"/>
                <w:szCs w:val="18"/>
                <w:color w:val="auto"/>
              </w:rPr>
              <w:t>Debt, current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305,294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264,143</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70,401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23"/>
        </w:trPr>
        <w:tc>
          <w:tcPr>
            <w:tcW w:w="798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625,531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406,876</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Debt, non-current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167,882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25,048</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Lease liability</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5,721</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796,203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437,645</w:t>
            </w:r>
          </w:p>
        </w:tc>
        <w:tc>
          <w:tcPr>
            <w:tcW w:w="0" w:type="dxa"/>
            <w:vAlign w:val="bottom"/>
          </w:tcPr>
          <w:p>
            <w:pPr>
              <w:spacing w:after="0"/>
              <w:rPr>
                <w:sz w:val="1"/>
                <w:szCs w:val="1"/>
                <w:color w:val="auto"/>
              </w:rPr>
            </w:pPr>
          </w:p>
        </w:tc>
      </w:tr>
      <w:tr>
        <w:trPr>
          <w:trHeight w:val="21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9)</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460"/>
              <w:spacing w:after="0" w:line="176" w:lineRule="exact"/>
              <w:rPr>
                <w:sz w:val="20"/>
                <w:szCs w:val="20"/>
                <w:color w:val="auto"/>
              </w:rPr>
            </w:pPr>
            <w:r>
              <w:rPr>
                <w:rFonts w:ascii="Arial" w:cs="Arial" w:eastAsia="Arial" w:hAnsi="Arial"/>
                <w:sz w:val="18"/>
                <w:szCs w:val="18"/>
                <w:color w:val="auto"/>
              </w:rPr>
              <w:t>Convertible Preferred stock — FTI, $.00001 par value per share: 104,575,110 shares</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980" w:type="dxa"/>
            <w:vAlign w:val="bottom"/>
          </w:tcPr>
          <w:p>
            <w:pPr>
              <w:ind w:left="620"/>
              <w:spacing w:after="0" w:line="183" w:lineRule="exact"/>
              <w:rPr>
                <w:sz w:val="20"/>
                <w:szCs w:val="20"/>
                <w:color w:val="auto"/>
              </w:rPr>
            </w:pPr>
            <w:r>
              <w:rPr>
                <w:rFonts w:ascii="Arial" w:cs="Arial" w:eastAsia="Arial" w:hAnsi="Arial"/>
                <w:sz w:val="18"/>
                <w:szCs w:val="18"/>
                <w:color w:val="auto"/>
              </w:rPr>
              <w:t>authorized, shares issued and outstanding at December 31, 2024, liquidation preference</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980" w:type="dxa"/>
            <w:vAlign w:val="bottom"/>
          </w:tcPr>
          <w:p>
            <w:pPr>
              <w:ind w:left="620"/>
              <w:spacing w:after="0" w:line="181" w:lineRule="exact"/>
              <w:rPr>
                <w:sz w:val="20"/>
                <w:szCs w:val="20"/>
                <w:color w:val="auto"/>
              </w:rPr>
            </w:pPr>
            <w:r>
              <w:rPr>
                <w:rFonts w:ascii="Arial" w:cs="Arial" w:eastAsia="Arial" w:hAnsi="Arial"/>
                <w:sz w:val="18"/>
                <w:szCs w:val="18"/>
                <w:color w:val="auto"/>
              </w:rPr>
              <w:t>$455,274,801; 106,615,302 shares authorized, 104,575,110 issued and outstanding at</w:t>
            </w:r>
          </w:p>
        </w:tc>
        <w:tc>
          <w:tcPr>
            <w:tcW w:w="3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980" w:type="dxa"/>
            <w:vAlign w:val="bottom"/>
          </w:tcPr>
          <w:p>
            <w:pPr>
              <w:ind w:left="620"/>
              <w:spacing w:after="0"/>
              <w:rPr>
                <w:sz w:val="20"/>
                <w:szCs w:val="20"/>
                <w:color w:val="auto"/>
              </w:rPr>
            </w:pPr>
            <w:r>
              <w:rPr>
                <w:rFonts w:ascii="Arial" w:cs="Arial" w:eastAsia="Arial" w:hAnsi="Arial"/>
                <w:sz w:val="18"/>
                <w:szCs w:val="18"/>
                <w:color w:val="auto"/>
              </w:rPr>
              <w:t>December 31, 2023, liquidation preference $455,274,801</w:t>
            </w:r>
          </w:p>
        </w:tc>
        <w:tc>
          <w:tcPr>
            <w:tcW w:w="3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8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Convertible Preferred stock — Markets, $.00001 par value per share: 56,573,362 shares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980" w:type="dxa"/>
            <w:vAlign w:val="bottom"/>
            <w:shd w:val="clear" w:color="auto" w:fill="CCEEFF"/>
          </w:tcPr>
          <w:p>
            <w:pPr>
              <w:ind w:left="620"/>
              <w:spacing w:after="0" w:line="183" w:lineRule="exact"/>
              <w:rPr>
                <w:sz w:val="20"/>
                <w:szCs w:val="20"/>
                <w:color w:val="auto"/>
              </w:rPr>
            </w:pPr>
            <w:r>
              <w:rPr>
                <w:rFonts w:ascii="Arial" w:cs="Arial" w:eastAsia="Arial" w:hAnsi="Arial"/>
                <w:sz w:val="18"/>
                <w:szCs w:val="18"/>
                <w:color w:val="auto"/>
              </w:rPr>
              <w:t>authorized, 36,326,136 shares issued and outstanding at December 31, 2024, liquidation</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980" w:type="dxa"/>
            <w:vAlign w:val="bottom"/>
            <w:shd w:val="clear" w:color="auto" w:fill="CCEEFF"/>
          </w:tcPr>
          <w:p>
            <w:pPr>
              <w:ind w:left="620"/>
              <w:spacing w:after="0" w:line="181" w:lineRule="exact"/>
              <w:rPr>
                <w:sz w:val="20"/>
                <w:szCs w:val="20"/>
                <w:color w:val="auto"/>
              </w:rPr>
            </w:pPr>
            <w:r>
              <w:rPr>
                <w:rFonts w:ascii="Arial" w:cs="Arial" w:eastAsia="Arial" w:hAnsi="Arial"/>
                <w:sz w:val="18"/>
                <w:szCs w:val="18"/>
                <w:color w:val="auto"/>
              </w:rPr>
              <w:t>preference $73,291,612; 0 shares authorized, issued and outstanding at December 31,</w:t>
            </w:r>
          </w:p>
        </w:tc>
        <w:tc>
          <w:tcPr>
            <w:tcW w:w="3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2023</w:t>
            </w:r>
          </w:p>
        </w:tc>
        <w:tc>
          <w:tcPr>
            <w:tcW w:w="3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460"/>
              <w:spacing w:after="0" w:line="176" w:lineRule="exact"/>
              <w:rPr>
                <w:sz w:val="20"/>
                <w:szCs w:val="20"/>
                <w:color w:val="auto"/>
              </w:rPr>
            </w:pPr>
            <w:r>
              <w:rPr>
                <w:rFonts w:ascii="Arial" w:cs="Arial" w:eastAsia="Arial" w:hAnsi="Arial"/>
                <w:sz w:val="18"/>
                <w:szCs w:val="18"/>
                <w:color w:val="auto"/>
              </w:rPr>
              <w:t>Common stock — FTI, $.00001 par value per share: 202,800,000 shares authorized,</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980" w:type="dxa"/>
            <w:vAlign w:val="bottom"/>
          </w:tcPr>
          <w:p>
            <w:pPr>
              <w:ind w:left="620"/>
              <w:spacing w:after="0" w:line="183" w:lineRule="exact"/>
              <w:rPr>
                <w:sz w:val="20"/>
                <w:szCs w:val="20"/>
                <w:color w:val="auto"/>
              </w:rPr>
            </w:pPr>
            <w:r>
              <w:rPr>
                <w:rFonts w:ascii="Arial" w:cs="Arial" w:eastAsia="Arial" w:hAnsi="Arial"/>
                <w:sz w:val="18"/>
                <w:szCs w:val="18"/>
                <w:color w:val="auto"/>
              </w:rPr>
              <w:t>48,918,728 shares issued and outstanding at December 31, 2024; 197,100,000 shares</w:t>
            </w:r>
          </w:p>
        </w:tc>
        <w:tc>
          <w:tcPr>
            <w:tcW w:w="3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9"/>
        </w:trPr>
        <w:tc>
          <w:tcPr>
            <w:tcW w:w="7980" w:type="dxa"/>
            <w:vAlign w:val="bottom"/>
          </w:tcPr>
          <w:p>
            <w:pPr>
              <w:ind w:left="620"/>
              <w:spacing w:after="0"/>
              <w:rPr>
                <w:sz w:val="20"/>
                <w:szCs w:val="20"/>
                <w:color w:val="auto"/>
              </w:rPr>
            </w:pPr>
            <w:r>
              <w:rPr>
                <w:rFonts w:ascii="Arial" w:cs="Arial" w:eastAsia="Arial" w:hAnsi="Arial"/>
                <w:sz w:val="18"/>
                <w:szCs w:val="18"/>
                <w:color w:val="auto"/>
              </w:rPr>
              <w:t>authorized, 51,618,208 issued and outstanding at December 31, 2023</w:t>
            </w:r>
          </w:p>
        </w:tc>
        <w:tc>
          <w:tcPr>
            <w:tcW w:w="38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320" w:top="229" w:right="339" w:bottom="1440" w:gutter="0" w:footer="0" w:header="0"/>
        </w:sectPr>
      </w:pPr>
    </w:p>
    <w:bookmarkStart w:id="305" w:name="page306"/>
    <w:bookmarkEnd w:id="305"/>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COMBINED CONSOLIDATED BALANCE SHEETS</w:t>
      </w:r>
    </w:p>
    <w:p>
      <w:pPr>
        <w:ind w:left="358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56"/>
        </w:trPr>
        <w:tc>
          <w:tcPr>
            <w:tcW w:w="7980" w:type="dxa"/>
            <w:vAlign w:val="bottom"/>
            <w:shd w:val="clear" w:color="auto" w:fill="CCEEFF"/>
          </w:tcPr>
          <w:p>
            <w:pPr>
              <w:ind w:left="460"/>
              <w:spacing w:after="0" w:line="157" w:lineRule="exact"/>
              <w:rPr>
                <w:sz w:val="20"/>
                <w:szCs w:val="20"/>
                <w:color w:val="auto"/>
              </w:rPr>
            </w:pPr>
            <w:r>
              <w:rPr>
                <w:rFonts w:ascii="Arial" w:cs="Arial" w:eastAsia="Arial" w:hAnsi="Arial"/>
                <w:sz w:val="18"/>
                <w:szCs w:val="18"/>
                <w:color w:val="auto"/>
              </w:rPr>
              <w:t>Common stock — Markets, $.00001 par value per share: 188,540,000 shares authorized,</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980" w:type="dxa"/>
            <w:vAlign w:val="bottom"/>
            <w:shd w:val="clear" w:color="auto" w:fill="CCEEFF"/>
          </w:tcPr>
          <w:p>
            <w:pPr>
              <w:ind w:left="620"/>
              <w:spacing w:after="0" w:line="183" w:lineRule="exact"/>
              <w:rPr>
                <w:sz w:val="20"/>
                <w:szCs w:val="20"/>
                <w:color w:val="auto"/>
              </w:rPr>
            </w:pPr>
            <w:r>
              <w:rPr>
                <w:rFonts w:ascii="Arial" w:cs="Arial" w:eastAsia="Arial" w:hAnsi="Arial"/>
                <w:sz w:val="18"/>
                <w:szCs w:val="18"/>
                <w:color w:val="auto"/>
              </w:rPr>
              <w:t>101,071,089 shares issued and outstanding at December 31, 2024; 0 shares authorized,</w:t>
            </w:r>
          </w:p>
        </w:tc>
        <w:tc>
          <w:tcPr>
            <w:tcW w:w="3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issued and outstanding at December 31, 2023</w:t>
            </w:r>
          </w:p>
        </w:tc>
        <w:tc>
          <w:tcPr>
            <w:tcW w:w="38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675,945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555,133</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Accumulated deficit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(320,851)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(338,065)</w:t>
            </w:r>
          </w:p>
        </w:tc>
        <w:tc>
          <w:tcPr>
            <w:tcW w:w="0" w:type="dxa"/>
            <w:vAlign w:val="bottom"/>
          </w:tcPr>
          <w:p>
            <w:pPr>
              <w:spacing w:after="0"/>
              <w:rPr>
                <w:sz w:val="1"/>
                <w:szCs w:val="1"/>
                <w:color w:val="auto"/>
              </w:rPr>
            </w:pP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 Figure Technology Group stockholders' equity</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355,098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217,070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Noncontrolling interests in consolidated subsidiaries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5,353</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363,375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222,423</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1,159,578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660,068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320" w:top="229" w:right="339" w:bottom="1440" w:gutter="0" w:footer="0" w:header="0"/>
        </w:sectPr>
      </w:pPr>
    </w:p>
    <w:bookmarkStart w:id="306" w:name="page307"/>
    <w:bookmarkEnd w:id="306"/>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Ecosystem and technology fees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28,314</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10,628</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Servicing fees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18,620</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48,207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48,155</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Origination fees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58,546</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Gain on sale of loans,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140,353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50,343</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Gain on servicing asset, net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22,083</w:t>
            </w:r>
          </w:p>
        </w:tc>
      </w:tr>
      <w:tr>
        <w:trPr>
          <w:trHeight w:val="230"/>
        </w:trPr>
        <w:tc>
          <w:tcPr>
            <w:tcW w:w="7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revenue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r>
      <w:tr>
        <w:trPr>
          <w:trHeight w:val="22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340,885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209,549</w:t>
            </w:r>
          </w:p>
        </w:tc>
      </w:tr>
      <w:tr>
        <w:trPr>
          <w:trHeight w:val="21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58,794</w:t>
            </w: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Technology and product development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62,657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49,154</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Operations and processing</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38,930</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55,657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52,761</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49,200</w:t>
            </w:r>
          </w:p>
        </w:tc>
      </w:tr>
      <w:tr>
        <w:trPr>
          <w:trHeight w:val="229"/>
        </w:trPr>
        <w:tc>
          <w:tcPr>
            <w:tcW w:w="7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expense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10,148</w:t>
            </w:r>
          </w:p>
        </w:tc>
      </w:tr>
      <w:tr>
        <w:trPr>
          <w:trHeight w:val="22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expenses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331,650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258,987</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income (loss)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(49,438)</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 net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7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w:t>
            </w:r>
          </w:p>
        </w:tc>
      </w:tr>
      <w:tr>
        <w:trPr>
          <w:trHeight w:val="22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other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22,092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(52,341)</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provision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19,915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(52,443)</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(loss) attributable to noncontrolling interests in consolidated subsidiaries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income (loss) attributable to Figure Technology Group</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(47,935)</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40"/>
          </w:cols>
          <w:pgMar w:left="320" w:top="229" w:right="339" w:bottom="1440" w:gutter="0" w:footer="0" w:header="0"/>
        </w:sectPr>
      </w:pPr>
    </w:p>
    <w:bookmarkStart w:id="307" w:name="page308"/>
    <w:bookmarkEnd w:id="307"/>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5"/>
              </w:rPr>
              <w:t>Total Figure</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200" w:type="dxa"/>
            <w:vAlign w:val="bottom"/>
            <w:gridSpan w:val="3"/>
          </w:tcPr>
          <w:p>
            <w:pPr>
              <w:jc w:val="right"/>
              <w:spacing w:after="0" w:line="122" w:lineRule="exact"/>
              <w:rPr>
                <w:sz w:val="20"/>
                <w:szCs w:val="20"/>
                <w:color w:val="auto"/>
              </w:rPr>
            </w:pPr>
            <w:r>
              <w:rPr>
                <w:rFonts w:ascii="Arial" w:cs="Arial" w:eastAsia="Arial" w:hAnsi="Arial"/>
                <w:sz w:val="11"/>
                <w:szCs w:val="11"/>
                <w:b w:val="1"/>
                <w:bCs w:val="1"/>
                <w:color w:val="auto"/>
              </w:rPr>
              <w:t>FTI — Convertible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5"/>
            <w:vMerge w:val="restart"/>
          </w:tcPr>
          <w:p>
            <w:pPr>
              <w:jc w:val="right"/>
              <w:ind w:right="160"/>
              <w:spacing w:after="0"/>
              <w:rPr>
                <w:sz w:val="20"/>
                <w:szCs w:val="20"/>
                <w:color w:val="auto"/>
              </w:rPr>
            </w:pPr>
            <w:r>
              <w:rPr>
                <w:rFonts w:ascii="Arial" w:cs="Arial" w:eastAsia="Arial" w:hAnsi="Arial"/>
                <w:sz w:val="11"/>
                <w:szCs w:val="11"/>
                <w:b w:val="1"/>
                <w:bCs w:val="1"/>
                <w:color w:val="auto"/>
              </w:rPr>
              <w:t>FTI — Common Stock</w:t>
            </w:r>
          </w:p>
        </w:tc>
        <w:tc>
          <w:tcPr>
            <w:tcW w:w="1360" w:type="dxa"/>
            <w:vAlign w:val="bottom"/>
            <w:gridSpan w:val="5"/>
          </w:tcPr>
          <w:p>
            <w:pPr>
              <w:ind w:left="60"/>
              <w:spacing w:after="0" w:line="122" w:lineRule="exact"/>
              <w:rPr>
                <w:sz w:val="20"/>
                <w:szCs w:val="20"/>
                <w:color w:val="auto"/>
              </w:rPr>
            </w:pPr>
            <w:r>
              <w:rPr>
                <w:rFonts w:ascii="Arial" w:cs="Arial" w:eastAsia="Arial" w:hAnsi="Arial"/>
                <w:sz w:val="11"/>
                <w:szCs w:val="11"/>
                <w:b w:val="1"/>
                <w:bCs w:val="1"/>
                <w:color w:val="auto"/>
              </w:rPr>
              <w:t>Markets — Convertible</w:t>
            </w:r>
          </w:p>
        </w:tc>
        <w:tc>
          <w:tcPr>
            <w:tcW w:w="1400" w:type="dxa"/>
            <w:vAlign w:val="bottom"/>
            <w:gridSpan w:val="5"/>
          </w:tcPr>
          <w:p>
            <w:pPr>
              <w:ind w:left="140"/>
              <w:spacing w:after="0" w:line="122" w:lineRule="exact"/>
              <w:rPr>
                <w:sz w:val="20"/>
                <w:szCs w:val="20"/>
                <w:color w:val="auto"/>
              </w:rPr>
            </w:pPr>
            <w:r>
              <w:rPr>
                <w:rFonts w:ascii="Arial" w:cs="Arial" w:eastAsia="Arial" w:hAnsi="Arial"/>
                <w:sz w:val="11"/>
                <w:szCs w:val="11"/>
                <w:b w:val="1"/>
                <w:bCs w:val="1"/>
                <w:color w:val="auto"/>
              </w:rPr>
              <w:t>Markets — Common</w:t>
            </w:r>
          </w:p>
        </w:tc>
        <w:tc>
          <w:tcPr>
            <w:tcW w:w="80" w:type="dxa"/>
            <w:vAlign w:val="bottom"/>
          </w:tcPr>
          <w:p>
            <w:pPr>
              <w:spacing w:after="0"/>
              <w:rPr>
                <w:sz w:val="10"/>
                <w:szCs w:val="10"/>
                <w:color w:val="auto"/>
              </w:rPr>
            </w:pP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6"/>
              </w:rPr>
              <w:t>Additional</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7"/>
              </w:rPr>
              <w:t>Technology</w:t>
            </w:r>
          </w:p>
        </w:tc>
        <w:tc>
          <w:tcPr>
            <w:tcW w:w="100" w:type="dxa"/>
            <w:vAlign w:val="bottom"/>
          </w:tcPr>
          <w:p>
            <w:pPr>
              <w:spacing w:after="0"/>
              <w:rPr>
                <w:sz w:val="10"/>
                <w:szCs w:val="10"/>
                <w:color w:val="auto"/>
              </w:rPr>
            </w:pPr>
          </w:p>
        </w:tc>
        <w:tc>
          <w:tcPr>
            <w:tcW w:w="9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7"/>
              </w:rPr>
              <w:t>Noncontrolling</w:t>
            </w:r>
          </w:p>
        </w:tc>
        <w:tc>
          <w:tcPr>
            <w:tcW w:w="80" w:type="dxa"/>
            <w:vAlign w:val="bottom"/>
          </w:tcPr>
          <w:p>
            <w:pPr>
              <w:spacing w:after="0"/>
              <w:rPr>
                <w:sz w:val="10"/>
                <w:szCs w:val="10"/>
                <w:color w:val="auto"/>
              </w:rPr>
            </w:pPr>
          </w:p>
        </w:tc>
        <w:tc>
          <w:tcPr>
            <w:tcW w:w="780" w:type="dxa"/>
            <w:vAlign w:val="bottom"/>
            <w:vMerge w:val="restart"/>
          </w:tcPr>
          <w:p>
            <w:pPr>
              <w:jc w:val="center"/>
              <w:ind w:right="26"/>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200" w:type="dxa"/>
            <w:vAlign w:val="bottom"/>
            <w:gridSpan w:val="3"/>
          </w:tcPr>
          <w:p>
            <w:pPr>
              <w:jc w:val="right"/>
              <w:ind w:right="46"/>
              <w:spacing w:after="0" w:line="108" w:lineRule="exact"/>
              <w:rPr>
                <w:sz w:val="20"/>
                <w:szCs w:val="20"/>
                <w:color w:val="auto"/>
              </w:rPr>
            </w:pPr>
            <w:r>
              <w:rPr>
                <w:rFonts w:ascii="Arial" w:cs="Arial" w:eastAsia="Arial" w:hAnsi="Arial"/>
                <w:sz w:val="11"/>
                <w:szCs w:val="11"/>
                <w:b w:val="1"/>
                <w:bCs w:val="1"/>
                <w:color w:val="auto"/>
              </w:rPr>
              <w:t>Preferred Stock</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gridSpan w:val="5"/>
            <w:vMerge w:val="continue"/>
          </w:tcPr>
          <w:p>
            <w:pPr>
              <w:spacing w:after="0"/>
              <w:rPr>
                <w:sz w:val="9"/>
                <w:szCs w:val="9"/>
                <w:color w:val="auto"/>
              </w:rPr>
            </w:pPr>
          </w:p>
        </w:tc>
        <w:tc>
          <w:tcPr>
            <w:tcW w:w="1360" w:type="dxa"/>
            <w:vAlign w:val="bottom"/>
            <w:gridSpan w:val="5"/>
          </w:tcPr>
          <w:p>
            <w:pPr>
              <w:ind w:left="240"/>
              <w:spacing w:after="0" w:line="108" w:lineRule="exact"/>
              <w:rPr>
                <w:sz w:val="20"/>
                <w:szCs w:val="20"/>
                <w:color w:val="auto"/>
              </w:rPr>
            </w:pPr>
            <w:r>
              <w:rPr>
                <w:rFonts w:ascii="Arial" w:cs="Arial" w:eastAsia="Arial" w:hAnsi="Arial"/>
                <w:sz w:val="11"/>
                <w:szCs w:val="11"/>
                <w:b w:val="1"/>
                <w:bCs w:val="1"/>
                <w:color w:val="auto"/>
              </w:rPr>
              <w:t>Preferred Stock</w:t>
            </w:r>
          </w:p>
        </w:tc>
        <w:tc>
          <w:tcPr>
            <w:tcW w:w="820" w:type="dxa"/>
            <w:vAlign w:val="bottom"/>
            <w:gridSpan w:val="3"/>
          </w:tcPr>
          <w:p>
            <w:pPr>
              <w:jc w:val="right"/>
              <w:spacing w:after="0" w:line="108" w:lineRule="exact"/>
              <w:rPr>
                <w:sz w:val="20"/>
                <w:szCs w:val="20"/>
                <w:color w:val="auto"/>
              </w:rPr>
            </w:pPr>
            <w:r>
              <w:rPr>
                <w:rFonts w:ascii="Arial" w:cs="Arial" w:eastAsia="Arial" w:hAnsi="Arial"/>
                <w:sz w:val="11"/>
                <w:szCs w:val="11"/>
                <w:b w:val="1"/>
                <w:bCs w:val="1"/>
                <w:color w:val="auto"/>
              </w:rPr>
              <w:t>Stock</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6"/>
              </w:rPr>
              <w:t>Group</w:t>
            </w:r>
          </w:p>
        </w:tc>
        <w:tc>
          <w:tcPr>
            <w:tcW w:w="100" w:type="dxa"/>
            <w:vAlign w:val="bottom"/>
          </w:tcPr>
          <w:p>
            <w:pPr>
              <w:spacing w:after="0"/>
              <w:rPr>
                <w:sz w:val="9"/>
                <w:szCs w:val="9"/>
                <w:color w:val="auto"/>
              </w:rPr>
            </w:pPr>
          </w:p>
        </w:tc>
        <w:tc>
          <w:tcPr>
            <w:tcW w:w="98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Interests in</w:t>
            </w: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9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gridSpan w:val="2"/>
            <w:vMerge w:val="restart"/>
          </w:tcPr>
          <w:p>
            <w:pPr>
              <w:jc w:val="center"/>
              <w:ind w:right="160"/>
              <w:spacing w:after="0" w:line="95"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4"/>
                <w:szCs w:val="4"/>
                <w:color w:val="auto"/>
              </w:rPr>
            </w:pPr>
          </w:p>
        </w:tc>
        <w:tc>
          <w:tcPr>
            <w:tcW w:w="860" w:type="dxa"/>
            <w:vAlign w:val="bottom"/>
            <w:gridSpan w:val="2"/>
            <w:vMerge w:val="restart"/>
          </w:tcPr>
          <w:p>
            <w:pPr>
              <w:jc w:val="center"/>
              <w:ind w:right="160"/>
              <w:spacing w:after="0" w:line="95" w:lineRule="exact"/>
              <w:rPr>
                <w:sz w:val="20"/>
                <w:szCs w:val="20"/>
                <w:color w:val="auto"/>
              </w:rPr>
            </w:pPr>
            <w:r>
              <w:rPr>
                <w:rFonts w:ascii="Arial" w:cs="Arial" w:eastAsia="Arial" w:hAnsi="Arial"/>
                <w:sz w:val="10"/>
                <w:szCs w:val="10"/>
                <w:b w:val="1"/>
                <w:bCs w:val="1"/>
                <w:color w:val="auto"/>
              </w:rPr>
              <w:t>Accumulated</w:t>
            </w:r>
          </w:p>
        </w:tc>
        <w:tc>
          <w:tcPr>
            <w:tcW w:w="80" w:type="dxa"/>
            <w:vAlign w:val="bottom"/>
          </w:tcPr>
          <w:p>
            <w:pPr>
              <w:spacing w:after="0"/>
              <w:rPr>
                <w:sz w:val="4"/>
                <w:szCs w:val="4"/>
                <w:color w:val="auto"/>
              </w:rPr>
            </w:pPr>
          </w:p>
        </w:tc>
        <w:tc>
          <w:tcPr>
            <w:tcW w:w="920" w:type="dxa"/>
            <w:vAlign w:val="bottom"/>
            <w:gridSpan w:val="2"/>
            <w:vMerge w:val="restart"/>
          </w:tcPr>
          <w:p>
            <w:pPr>
              <w:jc w:val="center"/>
              <w:ind w:right="160"/>
              <w:spacing w:after="0" w:line="95" w:lineRule="exact"/>
              <w:rPr>
                <w:sz w:val="20"/>
                <w:szCs w:val="20"/>
                <w:color w:val="auto"/>
              </w:rPr>
            </w:pPr>
            <w:r>
              <w:rPr>
                <w:rFonts w:ascii="Arial" w:cs="Arial" w:eastAsia="Arial" w:hAnsi="Arial"/>
                <w:sz w:val="10"/>
                <w:szCs w:val="10"/>
                <w:b w:val="1"/>
                <w:bCs w:val="1"/>
                <w:color w:val="auto"/>
              </w:rPr>
              <w:t>Stockholders'</w:t>
            </w:r>
          </w:p>
        </w:tc>
        <w:tc>
          <w:tcPr>
            <w:tcW w:w="100" w:type="dxa"/>
            <w:vAlign w:val="bottom"/>
          </w:tcPr>
          <w:p>
            <w:pPr>
              <w:spacing w:after="0"/>
              <w:rPr>
                <w:sz w:val="4"/>
                <w:szCs w:val="4"/>
                <w:color w:val="auto"/>
              </w:rPr>
            </w:pPr>
          </w:p>
        </w:tc>
        <w:tc>
          <w:tcPr>
            <w:tcW w:w="98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Consolidated</w:t>
            </w:r>
          </w:p>
        </w:tc>
        <w:tc>
          <w:tcPr>
            <w:tcW w:w="80" w:type="dxa"/>
            <w:vAlign w:val="bottom"/>
          </w:tcPr>
          <w:p>
            <w:pPr>
              <w:spacing w:after="0"/>
              <w:rPr>
                <w:sz w:val="4"/>
                <w:szCs w:val="4"/>
                <w:color w:val="auto"/>
              </w:rPr>
            </w:pPr>
          </w:p>
        </w:tc>
        <w:tc>
          <w:tcPr>
            <w:tcW w:w="780" w:type="dxa"/>
            <w:vAlign w:val="bottom"/>
            <w:vMerge w:val="restart"/>
          </w:tcPr>
          <w:p>
            <w:pPr>
              <w:jc w:val="center"/>
              <w:ind w:right="26"/>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Shares</w:t>
            </w:r>
          </w:p>
        </w:tc>
        <w:tc>
          <w:tcPr>
            <w:tcW w:w="66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line="20" w:lineRule="exact"/>
              <w:rPr>
                <w:sz w:val="1"/>
                <w:szCs w:val="1"/>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1"/>
                <w:szCs w:val="11"/>
                <w:b w:val="1"/>
                <w:bCs w:val="1"/>
                <w:color w:val="auto"/>
                <w:w w:val="96"/>
              </w:rPr>
              <w:t>Amount</w:t>
            </w:r>
          </w:p>
        </w:tc>
        <w:tc>
          <w:tcPr>
            <w:tcW w:w="7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line="20" w:lineRule="exact"/>
              <w:rPr>
                <w:sz w:val="1"/>
                <w:szCs w:val="1"/>
                <w:color w:val="auto"/>
              </w:rPr>
            </w:pPr>
          </w:p>
        </w:tc>
        <w:tc>
          <w:tcPr>
            <w:tcW w:w="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line="20" w:lineRule="exact"/>
              <w:rPr>
                <w:sz w:val="1"/>
                <w:szCs w:val="1"/>
                <w:color w:val="auto"/>
              </w:rPr>
            </w:pPr>
          </w:p>
        </w:tc>
        <w:tc>
          <w:tcPr>
            <w:tcW w:w="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5"/>
              </w:rPr>
              <w:t>Equity</w:t>
            </w:r>
          </w:p>
        </w:tc>
        <w:tc>
          <w:tcPr>
            <w:tcW w:w="10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7"/>
              </w:rPr>
              <w:t>Subsidiaries</w:t>
            </w:r>
          </w:p>
        </w:tc>
        <w:tc>
          <w:tcPr>
            <w:tcW w:w="80" w:type="dxa"/>
            <w:vAlign w:val="bottom"/>
          </w:tcPr>
          <w:p>
            <w:pPr>
              <w:spacing w:after="0"/>
              <w:rPr>
                <w:sz w:val="13"/>
                <w:szCs w:val="13"/>
                <w:color w:val="auto"/>
              </w:rPr>
            </w:pPr>
          </w:p>
        </w:tc>
        <w:tc>
          <w:tcPr>
            <w:tcW w:w="780" w:type="dxa"/>
            <w:vAlign w:val="bottom"/>
          </w:tcPr>
          <w:p>
            <w:pPr>
              <w:jc w:val="center"/>
              <w:ind w:right="2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95"/>
        </w:trPr>
        <w:tc>
          <w:tcPr>
            <w:tcW w:w="960" w:type="dxa"/>
            <w:vAlign w:val="bottom"/>
            <w:tcBorders>
              <w:top w:val="single" w:sz="8" w:color="CCEEFF"/>
            </w:tcBorders>
            <w:shd w:val="clear" w:color="auto" w:fill="CCEEFF"/>
          </w:tcPr>
          <w:p>
            <w:pPr>
              <w:ind w:left="20"/>
              <w:spacing w:after="0" w:line="95" w:lineRule="exact"/>
              <w:rPr>
                <w:sz w:val="20"/>
                <w:szCs w:val="20"/>
                <w:color w:val="auto"/>
              </w:rPr>
            </w:pPr>
            <w:r>
              <w:rPr>
                <w:rFonts w:ascii="Arial" w:cs="Arial" w:eastAsia="Arial" w:hAnsi="Arial"/>
                <w:sz w:val="10"/>
                <w:szCs w:val="10"/>
                <w:color w:val="auto"/>
              </w:rPr>
              <w:t>Balance at</w:t>
            </w: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ind w:left="180"/>
              <w:spacing w:after="0" w:line="108" w:lineRule="exact"/>
              <w:rPr>
                <w:sz w:val="20"/>
                <w:szCs w:val="20"/>
                <w:color w:val="auto"/>
              </w:rPr>
            </w:pPr>
            <w:r>
              <w:rPr>
                <w:rFonts w:ascii="Arial" w:cs="Arial" w:eastAsia="Arial" w:hAnsi="Arial"/>
                <w:sz w:val="11"/>
                <w:szCs w:val="11"/>
                <w:color w:val="auto"/>
              </w:rPr>
              <w:t>December 31,</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104,575,110</w:t>
            </w:r>
          </w:p>
        </w:tc>
        <w:tc>
          <w:tcPr>
            <w:tcW w:w="8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246"/>
              <w:spacing w:after="0"/>
              <w:rPr>
                <w:sz w:val="20"/>
                <w:szCs w:val="20"/>
                <w:color w:val="auto"/>
              </w:rPr>
            </w:pPr>
            <w:r>
              <w:rPr>
                <w:rFonts w:ascii="Arial" w:cs="Arial" w:eastAsia="Arial" w:hAnsi="Arial"/>
                <w:sz w:val="11"/>
                <w:szCs w:val="11"/>
                <w:color w:val="auto"/>
                <w:w w:val="97"/>
              </w:rPr>
              <w:t>$</w:t>
            </w:r>
          </w:p>
        </w:tc>
        <w:tc>
          <w:tcPr>
            <w:tcW w:w="2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98"/>
              </w:rPr>
              <w:t>51,035,303</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540,540</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(289,823)</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250,719</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9,500</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260,219</w:t>
            </w:r>
          </w:p>
        </w:tc>
        <w:tc>
          <w:tcPr>
            <w:tcW w:w="0" w:type="dxa"/>
            <w:vAlign w:val="bottom"/>
          </w:tcPr>
          <w:p>
            <w:pPr>
              <w:spacing w:after="0"/>
              <w:rPr>
                <w:sz w:val="1"/>
                <w:szCs w:val="1"/>
                <w:color w:val="auto"/>
              </w:rPr>
            </w:pPr>
          </w:p>
        </w:tc>
      </w:tr>
      <w:tr>
        <w:trPr>
          <w:trHeight w:val="142"/>
        </w:trPr>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2022</w:t>
            </w: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8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vMerge w:val="continue"/>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20"/>
              <w:spacing w:after="0" w:line="109" w:lineRule="exact"/>
              <w:rPr>
                <w:sz w:val="20"/>
                <w:szCs w:val="20"/>
                <w:color w:val="auto"/>
              </w:rPr>
            </w:pPr>
            <w:r>
              <w:rPr>
                <w:rFonts w:ascii="Arial" w:cs="Arial" w:eastAsia="Arial" w:hAnsi="Arial"/>
                <w:sz w:val="11"/>
                <w:szCs w:val="11"/>
                <w:color w:val="auto"/>
              </w:rPr>
              <w:t>Exercise of stock</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9"/>
                <w:szCs w:val="9"/>
                <w:color w:val="auto"/>
              </w:rPr>
            </w:pPr>
          </w:p>
        </w:tc>
        <w:tc>
          <w:tcPr>
            <w:tcW w:w="2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582,905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1,143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40" w:type="dxa"/>
            <w:vAlign w:val="bottom"/>
            <w:vMerge w:val="restart"/>
          </w:tcPr>
          <w:p>
            <w:pPr>
              <w:jc w:val="right"/>
              <w:ind w:right="6"/>
              <w:spacing w:after="0"/>
              <w:rPr>
                <w:sz w:val="20"/>
                <w:szCs w:val="20"/>
                <w:color w:val="auto"/>
              </w:rPr>
            </w:pPr>
            <w:r>
              <w:rPr>
                <w:rFonts w:ascii="Arial" w:cs="Arial" w:eastAsia="Arial" w:hAnsi="Arial"/>
                <w:sz w:val="11"/>
                <w:szCs w:val="11"/>
                <w:color w:val="auto"/>
              </w:rPr>
              <w:t>1,143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1,143</w:t>
            </w:r>
          </w:p>
        </w:tc>
        <w:tc>
          <w:tcPr>
            <w:tcW w:w="0" w:type="dxa"/>
            <w:vAlign w:val="bottom"/>
          </w:tcPr>
          <w:p>
            <w:pPr>
              <w:spacing w:after="0"/>
              <w:rPr>
                <w:sz w:val="1"/>
                <w:szCs w:val="1"/>
                <w:color w:val="auto"/>
              </w:rPr>
            </w:pPr>
          </w:p>
        </w:tc>
      </w:tr>
      <w:tr>
        <w:trPr>
          <w:trHeight w:val="142"/>
        </w:trPr>
        <w:tc>
          <w:tcPr>
            <w:tcW w:w="960" w:type="dxa"/>
            <w:vAlign w:val="bottom"/>
          </w:tcPr>
          <w:p>
            <w:pPr>
              <w:ind w:left="180"/>
              <w:spacing w:after="0"/>
              <w:rPr>
                <w:sz w:val="20"/>
                <w:szCs w:val="20"/>
                <w:color w:val="auto"/>
              </w:rPr>
            </w:pPr>
            <w:r>
              <w:rPr>
                <w:rFonts w:ascii="Arial" w:cs="Arial" w:eastAsia="Arial" w:hAnsi="Arial"/>
                <w:sz w:val="11"/>
                <w:szCs w:val="11"/>
                <w:color w:val="auto"/>
              </w:rPr>
              <w:t>options</w:t>
            </w:r>
          </w:p>
        </w:tc>
        <w:tc>
          <w:tcPr>
            <w:tcW w:w="8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96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Stock</w:t>
            </w: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ind w:left="180"/>
              <w:spacing w:after="0" w:line="108" w:lineRule="exact"/>
              <w:rPr>
                <w:sz w:val="20"/>
                <w:szCs w:val="20"/>
                <w:color w:val="auto"/>
              </w:rPr>
            </w:pPr>
            <w:r>
              <w:rPr>
                <w:rFonts w:ascii="Arial" w:cs="Arial" w:eastAsia="Arial" w:hAnsi="Arial"/>
                <w:sz w:val="11"/>
                <w:szCs w:val="11"/>
                <w:color w:val="auto"/>
              </w:rPr>
              <w:t>compensation</w:t>
            </w: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9"/>
                <w:szCs w:val="9"/>
                <w:color w:val="auto"/>
              </w:rPr>
            </w:pPr>
          </w:p>
        </w:tc>
        <w:tc>
          <w:tcPr>
            <w:tcW w:w="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13,450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13,450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13,450</w:t>
            </w:r>
          </w:p>
        </w:tc>
        <w:tc>
          <w:tcPr>
            <w:tcW w:w="0" w:type="dxa"/>
            <w:vAlign w:val="bottom"/>
          </w:tcPr>
          <w:p>
            <w:pPr>
              <w:spacing w:after="0"/>
              <w:rPr>
                <w:sz w:val="1"/>
                <w:szCs w:val="1"/>
                <w:color w:val="auto"/>
              </w:rPr>
            </w:pPr>
          </w:p>
        </w:tc>
      </w:tr>
      <w:tr>
        <w:trPr>
          <w:trHeight w:val="142"/>
        </w:trPr>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expense</w:t>
            </w: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ind w:left="20"/>
              <w:spacing w:after="0"/>
              <w:rPr>
                <w:sz w:val="20"/>
                <w:szCs w:val="20"/>
                <w:color w:val="auto"/>
              </w:rPr>
            </w:pPr>
            <w:r>
              <w:rPr>
                <w:rFonts w:ascii="Arial" w:cs="Arial" w:eastAsia="Arial" w:hAnsi="Arial"/>
                <w:sz w:val="11"/>
                <w:szCs w:val="11"/>
                <w:color w:val="auto"/>
              </w:rPr>
              <w:t>Dilution</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(307)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361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54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(47,935)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(47,935)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(4,508)</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(52,443)</w:t>
            </w:r>
          </w:p>
        </w:tc>
        <w:tc>
          <w:tcPr>
            <w:tcW w:w="0" w:type="dxa"/>
            <w:vAlign w:val="bottom"/>
          </w:tcPr>
          <w:p>
            <w:pPr>
              <w:spacing w:after="0"/>
              <w:rPr>
                <w:sz w:val="1"/>
                <w:szCs w:val="1"/>
                <w:color w:val="auto"/>
              </w:rPr>
            </w:pPr>
          </w:p>
        </w:tc>
      </w:tr>
      <w:tr>
        <w:trPr>
          <w:trHeight w:val="88"/>
        </w:trPr>
        <w:tc>
          <w:tcPr>
            <w:tcW w:w="960" w:type="dxa"/>
            <w:vAlign w:val="bottom"/>
          </w:tcPr>
          <w:p>
            <w:pPr>
              <w:ind w:left="20"/>
              <w:spacing w:after="0" w:line="89" w:lineRule="exact"/>
              <w:rPr>
                <w:sz w:val="20"/>
                <w:szCs w:val="20"/>
                <w:color w:val="auto"/>
              </w:rPr>
            </w:pPr>
            <w:r>
              <w:rPr>
                <w:rFonts w:ascii="Arial" w:cs="Arial" w:eastAsia="Arial" w:hAnsi="Arial"/>
                <w:sz w:val="10"/>
                <w:szCs w:val="10"/>
                <w:color w:val="auto"/>
              </w:rPr>
              <w:t>Balance at</w:t>
            </w:r>
          </w:p>
        </w:tc>
        <w:tc>
          <w:tcPr>
            <w:tcW w:w="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80"/>
              <w:spacing w:after="0" w:line="108" w:lineRule="exact"/>
              <w:rPr>
                <w:sz w:val="20"/>
                <w:szCs w:val="20"/>
                <w:color w:val="auto"/>
              </w:rPr>
            </w:pPr>
            <w:r>
              <w:rPr>
                <w:rFonts w:ascii="Arial" w:cs="Arial" w:eastAsia="Arial" w:hAnsi="Arial"/>
                <w:sz w:val="11"/>
                <w:szCs w:val="11"/>
                <w:color w:val="auto"/>
              </w:rPr>
              <w:t>December 31,</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104,575,110</w:t>
            </w:r>
          </w:p>
        </w:tc>
        <w:tc>
          <w:tcPr>
            <w:tcW w:w="80" w:type="dxa"/>
            <w:vAlign w:val="bottom"/>
          </w:tcPr>
          <w:p>
            <w:pPr>
              <w:spacing w:after="0"/>
              <w:rPr>
                <w:sz w:val="9"/>
                <w:szCs w:val="9"/>
                <w:color w:val="auto"/>
              </w:rPr>
            </w:pPr>
          </w:p>
        </w:tc>
        <w:tc>
          <w:tcPr>
            <w:tcW w:w="380" w:type="dxa"/>
            <w:vAlign w:val="bottom"/>
            <w:vMerge w:val="restart"/>
          </w:tcPr>
          <w:p>
            <w:pPr>
              <w:jc w:val="right"/>
              <w:ind w:right="246"/>
              <w:spacing w:after="0"/>
              <w:rPr>
                <w:sz w:val="20"/>
                <w:szCs w:val="20"/>
                <w:color w:val="auto"/>
              </w:rPr>
            </w:pPr>
            <w:r>
              <w:rPr>
                <w:rFonts w:ascii="Arial" w:cs="Arial" w:eastAsia="Arial" w:hAnsi="Arial"/>
                <w:sz w:val="11"/>
                <w:szCs w:val="11"/>
                <w:color w:val="auto"/>
                <w:w w:val="97"/>
              </w:rPr>
              <w:t>$</w:t>
            </w:r>
          </w:p>
        </w:tc>
        <w:tc>
          <w:tcPr>
            <w:tcW w:w="200" w:type="dxa"/>
            <w:vAlign w:val="bottom"/>
            <w:vMerge w:val="restart"/>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w w:val="98"/>
              </w:rPr>
              <w:t>51,618,208</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555,133</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(338,065)</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vMerge w:val="restart"/>
          </w:tcPr>
          <w:p>
            <w:pPr>
              <w:jc w:val="right"/>
              <w:ind w:right="6"/>
              <w:spacing w:after="0"/>
              <w:rPr>
                <w:sz w:val="20"/>
                <w:szCs w:val="20"/>
                <w:color w:val="auto"/>
              </w:rPr>
            </w:pPr>
            <w:r>
              <w:rPr>
                <w:rFonts w:ascii="Arial" w:cs="Arial" w:eastAsia="Arial" w:hAnsi="Arial"/>
                <w:sz w:val="11"/>
                <w:szCs w:val="11"/>
                <w:color w:val="auto"/>
              </w:rPr>
              <w:t>217,070</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vMerge w:val="restart"/>
          </w:tcPr>
          <w:p>
            <w:pPr>
              <w:jc w:val="right"/>
              <w:ind w:right="6"/>
              <w:spacing w:after="0"/>
              <w:rPr>
                <w:sz w:val="20"/>
                <w:szCs w:val="20"/>
                <w:color w:val="auto"/>
              </w:rPr>
            </w:pPr>
            <w:r>
              <w:rPr>
                <w:rFonts w:ascii="Arial" w:cs="Arial" w:eastAsia="Arial" w:hAnsi="Arial"/>
                <w:sz w:val="11"/>
                <w:szCs w:val="11"/>
                <w:color w:val="auto"/>
              </w:rPr>
              <w:t>5,353</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222,423</w:t>
            </w:r>
          </w:p>
        </w:tc>
        <w:tc>
          <w:tcPr>
            <w:tcW w:w="0" w:type="dxa"/>
            <w:vAlign w:val="bottom"/>
          </w:tcPr>
          <w:p>
            <w:pPr>
              <w:spacing w:after="0"/>
              <w:rPr>
                <w:sz w:val="1"/>
                <w:szCs w:val="1"/>
                <w:color w:val="auto"/>
              </w:rPr>
            </w:pPr>
          </w:p>
        </w:tc>
      </w:tr>
      <w:tr>
        <w:trPr>
          <w:trHeight w:val="155"/>
        </w:trPr>
        <w:tc>
          <w:tcPr>
            <w:tcW w:w="960" w:type="dxa"/>
            <w:vAlign w:val="bottom"/>
          </w:tcPr>
          <w:p>
            <w:pPr>
              <w:ind w:left="180"/>
              <w:spacing w:after="0"/>
              <w:rPr>
                <w:sz w:val="20"/>
                <w:szCs w:val="20"/>
                <w:color w:val="auto"/>
              </w:rPr>
            </w:pPr>
            <w:r>
              <w:rPr>
                <w:rFonts w:ascii="Arial" w:cs="Arial" w:eastAsia="Arial" w:hAnsi="Arial"/>
                <w:sz w:val="11"/>
                <w:szCs w:val="11"/>
                <w:color w:val="auto"/>
              </w:rPr>
              <w:t>2023</w:t>
            </w: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960" w:type="dxa"/>
            <w:vAlign w:val="bottom"/>
            <w:tcBorders>
              <w:top w:val="single" w:sz="8" w:color="CCEEFF"/>
            </w:tcBorders>
            <w:shd w:val="clear" w:color="auto" w:fill="CCEEFF"/>
          </w:tcPr>
          <w:p>
            <w:pPr>
              <w:ind w:left="20"/>
              <w:spacing w:after="0" w:line="95" w:lineRule="exact"/>
              <w:rPr>
                <w:sz w:val="20"/>
                <w:szCs w:val="20"/>
                <w:color w:val="auto"/>
              </w:rPr>
            </w:pPr>
            <w:r>
              <w:rPr>
                <w:rFonts w:ascii="Arial" w:cs="Arial" w:eastAsia="Arial" w:hAnsi="Arial"/>
                <w:sz w:val="10"/>
                <w:szCs w:val="10"/>
                <w:color w:val="auto"/>
              </w:rPr>
              <w:t>Issuance and</w:t>
            </w: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ind w:left="180"/>
              <w:spacing w:after="0" w:line="108" w:lineRule="exact"/>
              <w:rPr>
                <w:sz w:val="20"/>
                <w:szCs w:val="20"/>
                <w:color w:val="auto"/>
              </w:rPr>
            </w:pPr>
            <w:r>
              <w:rPr>
                <w:rFonts w:ascii="Arial" w:cs="Arial" w:eastAsia="Arial" w:hAnsi="Arial"/>
                <w:sz w:val="11"/>
                <w:szCs w:val="11"/>
                <w:color w:val="auto"/>
              </w:rPr>
              <w:t>exchange of</w:t>
            </w: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9"/>
                <w:szCs w:val="9"/>
                <w:color w:val="auto"/>
              </w:rPr>
            </w:pPr>
          </w:p>
        </w:tc>
        <w:tc>
          <w:tcPr>
            <w:tcW w:w="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(3,667,229)</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99,998,851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2"/>
        </w:trPr>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equity</w:t>
            </w: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20"/>
              <w:spacing w:after="0" w:line="109" w:lineRule="exact"/>
              <w:rPr>
                <w:sz w:val="20"/>
                <w:szCs w:val="20"/>
                <w:color w:val="auto"/>
              </w:rPr>
            </w:pPr>
            <w:r>
              <w:rPr>
                <w:rFonts w:ascii="Arial" w:cs="Arial" w:eastAsia="Arial" w:hAnsi="Arial"/>
                <w:sz w:val="11"/>
                <w:szCs w:val="11"/>
                <w:color w:val="auto"/>
              </w:rPr>
              <w:t>Issuance of Series</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80"/>
              <w:spacing w:after="0" w:line="108" w:lineRule="exact"/>
              <w:rPr>
                <w:sz w:val="20"/>
                <w:szCs w:val="20"/>
                <w:color w:val="auto"/>
              </w:rPr>
            </w:pPr>
            <w:r>
              <w:rPr>
                <w:rFonts w:ascii="Arial" w:cs="Arial" w:eastAsia="Arial" w:hAnsi="Arial"/>
                <w:sz w:val="11"/>
                <w:szCs w:val="11"/>
                <w:color w:val="auto"/>
              </w:rPr>
              <w:t>Seed preferred</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9"/>
                <w:szCs w:val="9"/>
                <w:color w:val="auto"/>
              </w:rPr>
            </w:pPr>
          </w:p>
        </w:tc>
        <w:tc>
          <w:tcPr>
            <w:tcW w:w="2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w w:val="98"/>
              </w:rPr>
              <w:t>36,326,136</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71,773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40" w:type="dxa"/>
            <w:vAlign w:val="bottom"/>
            <w:vMerge w:val="restart"/>
          </w:tcPr>
          <w:p>
            <w:pPr>
              <w:jc w:val="right"/>
              <w:ind w:right="6"/>
              <w:spacing w:after="0"/>
              <w:rPr>
                <w:sz w:val="20"/>
                <w:szCs w:val="20"/>
                <w:color w:val="auto"/>
              </w:rPr>
            </w:pPr>
            <w:r>
              <w:rPr>
                <w:rFonts w:ascii="Arial" w:cs="Arial" w:eastAsia="Arial" w:hAnsi="Arial"/>
                <w:sz w:val="11"/>
                <w:szCs w:val="11"/>
                <w:color w:val="auto"/>
              </w:rPr>
              <w:t>71,774</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71,774</w:t>
            </w:r>
          </w:p>
        </w:tc>
        <w:tc>
          <w:tcPr>
            <w:tcW w:w="0" w:type="dxa"/>
            <w:vAlign w:val="bottom"/>
          </w:tcPr>
          <w:p>
            <w:pPr>
              <w:spacing w:after="0"/>
              <w:rPr>
                <w:sz w:val="1"/>
                <w:szCs w:val="1"/>
                <w:color w:val="auto"/>
              </w:rPr>
            </w:pPr>
          </w:p>
        </w:tc>
      </w:tr>
      <w:tr>
        <w:trPr>
          <w:trHeight w:val="142"/>
        </w:trPr>
        <w:tc>
          <w:tcPr>
            <w:tcW w:w="960" w:type="dxa"/>
            <w:vAlign w:val="bottom"/>
          </w:tcPr>
          <w:p>
            <w:pPr>
              <w:ind w:left="180"/>
              <w:spacing w:after="0"/>
              <w:rPr>
                <w:sz w:val="20"/>
                <w:szCs w:val="20"/>
                <w:color w:val="auto"/>
              </w:rPr>
            </w:pPr>
            <w:r>
              <w:rPr>
                <w:rFonts w:ascii="Arial" w:cs="Arial" w:eastAsia="Arial" w:hAnsi="Arial"/>
                <w:sz w:val="11"/>
                <w:szCs w:val="11"/>
                <w:color w:val="auto"/>
              </w:rPr>
              <w:t>stock</w:t>
            </w:r>
          </w:p>
        </w:tc>
        <w:tc>
          <w:tcPr>
            <w:tcW w:w="8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96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Issuance of</w:t>
            </w: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ind w:left="180"/>
              <w:spacing w:after="0" w:line="108" w:lineRule="exact"/>
              <w:rPr>
                <w:sz w:val="20"/>
                <w:szCs w:val="20"/>
                <w:color w:val="auto"/>
              </w:rPr>
            </w:pPr>
            <w:r>
              <w:rPr>
                <w:rFonts w:ascii="Arial" w:cs="Arial" w:eastAsia="Arial" w:hAnsi="Arial"/>
                <w:sz w:val="11"/>
                <w:szCs w:val="11"/>
                <w:color w:val="auto"/>
              </w:rPr>
              <w:t>preferred stock</w:t>
            </w: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9"/>
                <w:szCs w:val="9"/>
                <w:color w:val="auto"/>
              </w:rPr>
            </w:pPr>
          </w:p>
        </w:tc>
        <w:tc>
          <w:tcPr>
            <w:tcW w:w="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9,542</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9,542</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9,542</w:t>
            </w:r>
          </w:p>
        </w:tc>
        <w:tc>
          <w:tcPr>
            <w:tcW w:w="0" w:type="dxa"/>
            <w:vAlign w:val="bottom"/>
          </w:tcPr>
          <w:p>
            <w:pPr>
              <w:spacing w:after="0"/>
              <w:rPr>
                <w:sz w:val="1"/>
                <w:szCs w:val="1"/>
                <w:color w:val="auto"/>
              </w:rPr>
            </w:pPr>
          </w:p>
        </w:tc>
      </w:tr>
      <w:tr>
        <w:trPr>
          <w:trHeight w:val="142"/>
        </w:trPr>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warrants</w:t>
            </w: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20"/>
              <w:spacing w:after="0" w:line="109" w:lineRule="exact"/>
              <w:rPr>
                <w:sz w:val="20"/>
                <w:szCs w:val="20"/>
                <w:color w:val="auto"/>
              </w:rPr>
            </w:pPr>
            <w:r>
              <w:rPr>
                <w:rFonts w:ascii="Arial" w:cs="Arial" w:eastAsia="Arial" w:hAnsi="Arial"/>
                <w:sz w:val="11"/>
                <w:szCs w:val="11"/>
                <w:color w:val="auto"/>
              </w:rPr>
              <w:t>Common stock</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80"/>
              <w:spacing w:after="0" w:line="108" w:lineRule="exact"/>
              <w:rPr>
                <w:sz w:val="20"/>
                <w:szCs w:val="20"/>
                <w:color w:val="auto"/>
              </w:rPr>
            </w:pPr>
            <w:r>
              <w:rPr>
                <w:rFonts w:ascii="Arial" w:cs="Arial" w:eastAsia="Arial" w:hAnsi="Arial"/>
                <w:sz w:val="11"/>
                <w:szCs w:val="11"/>
                <w:color w:val="auto"/>
                <w:w w:val="99"/>
              </w:rPr>
              <w:t>repurchase and</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9"/>
                <w:szCs w:val="9"/>
                <w:color w:val="auto"/>
              </w:rPr>
            </w:pPr>
          </w:p>
        </w:tc>
        <w:tc>
          <w:tcPr>
            <w:tcW w:w="2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(186,054)</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(1,001)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(1,001)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(1,001)</w:t>
            </w:r>
          </w:p>
        </w:tc>
        <w:tc>
          <w:tcPr>
            <w:tcW w:w="0" w:type="dxa"/>
            <w:vAlign w:val="bottom"/>
          </w:tcPr>
          <w:p>
            <w:pPr>
              <w:spacing w:after="0"/>
              <w:rPr>
                <w:sz w:val="1"/>
                <w:szCs w:val="1"/>
                <w:color w:val="auto"/>
              </w:rPr>
            </w:pPr>
          </w:p>
        </w:tc>
      </w:tr>
      <w:tr>
        <w:trPr>
          <w:trHeight w:val="142"/>
        </w:trPr>
        <w:tc>
          <w:tcPr>
            <w:tcW w:w="960" w:type="dxa"/>
            <w:vAlign w:val="bottom"/>
          </w:tcPr>
          <w:p>
            <w:pPr>
              <w:ind w:left="180"/>
              <w:spacing w:after="0"/>
              <w:rPr>
                <w:sz w:val="20"/>
                <w:szCs w:val="20"/>
                <w:color w:val="auto"/>
              </w:rPr>
            </w:pPr>
            <w:r>
              <w:rPr>
                <w:rFonts w:ascii="Arial" w:cs="Arial" w:eastAsia="Arial" w:hAnsi="Arial"/>
                <w:sz w:val="11"/>
                <w:szCs w:val="11"/>
                <w:color w:val="auto"/>
              </w:rPr>
              <w:t>retirement</w:t>
            </w:r>
          </w:p>
        </w:tc>
        <w:tc>
          <w:tcPr>
            <w:tcW w:w="8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96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Exercise of stock</w:t>
            </w: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9"/>
                <w:szCs w:val="9"/>
                <w:color w:val="auto"/>
              </w:rPr>
            </w:pPr>
          </w:p>
        </w:tc>
        <w:tc>
          <w:tcPr>
            <w:tcW w:w="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1,153,803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1,072,238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3,037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3,037</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3,037</w:t>
            </w:r>
          </w:p>
        </w:tc>
        <w:tc>
          <w:tcPr>
            <w:tcW w:w="0" w:type="dxa"/>
            <w:vAlign w:val="bottom"/>
          </w:tcPr>
          <w:p>
            <w:pPr>
              <w:spacing w:after="0"/>
              <w:rPr>
                <w:sz w:val="1"/>
                <w:szCs w:val="1"/>
                <w:color w:val="auto"/>
              </w:rPr>
            </w:pPr>
          </w:p>
        </w:tc>
      </w:tr>
      <w:tr>
        <w:trPr>
          <w:trHeight w:val="142"/>
        </w:trPr>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options</w:t>
            </w: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20"/>
              <w:spacing w:after="0" w:line="109" w:lineRule="exact"/>
              <w:rPr>
                <w:sz w:val="20"/>
                <w:szCs w:val="20"/>
                <w:color w:val="auto"/>
              </w:rPr>
            </w:pPr>
            <w:r>
              <w:rPr>
                <w:rFonts w:ascii="Arial" w:cs="Arial" w:eastAsia="Arial" w:hAnsi="Arial"/>
                <w:sz w:val="11"/>
                <w:szCs w:val="11"/>
                <w:color w:val="auto"/>
              </w:rPr>
              <w:t>Stock</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80"/>
              <w:spacing w:after="0" w:line="108" w:lineRule="exact"/>
              <w:rPr>
                <w:sz w:val="20"/>
                <w:szCs w:val="20"/>
                <w:color w:val="auto"/>
              </w:rPr>
            </w:pPr>
            <w:r>
              <w:rPr>
                <w:rFonts w:ascii="Arial" w:cs="Arial" w:eastAsia="Arial" w:hAnsi="Arial"/>
                <w:sz w:val="11"/>
                <w:szCs w:val="11"/>
                <w:color w:val="auto"/>
              </w:rPr>
              <w:t>compensation</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9"/>
                <w:szCs w:val="9"/>
                <w:color w:val="auto"/>
              </w:rPr>
            </w:pPr>
          </w:p>
        </w:tc>
        <w:tc>
          <w:tcPr>
            <w:tcW w:w="2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38,726</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40" w:type="dxa"/>
            <w:vAlign w:val="bottom"/>
            <w:vMerge w:val="restart"/>
          </w:tcPr>
          <w:p>
            <w:pPr>
              <w:jc w:val="right"/>
              <w:ind w:right="6"/>
              <w:spacing w:after="0"/>
              <w:rPr>
                <w:sz w:val="20"/>
                <w:szCs w:val="20"/>
                <w:color w:val="auto"/>
              </w:rPr>
            </w:pPr>
            <w:r>
              <w:rPr>
                <w:rFonts w:ascii="Arial" w:cs="Arial" w:eastAsia="Arial" w:hAnsi="Arial"/>
                <w:sz w:val="11"/>
                <w:szCs w:val="11"/>
                <w:color w:val="auto"/>
              </w:rPr>
              <w:t>38,726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38,726</w:t>
            </w:r>
          </w:p>
        </w:tc>
        <w:tc>
          <w:tcPr>
            <w:tcW w:w="0" w:type="dxa"/>
            <w:vAlign w:val="bottom"/>
          </w:tcPr>
          <w:p>
            <w:pPr>
              <w:spacing w:after="0"/>
              <w:rPr>
                <w:sz w:val="1"/>
                <w:szCs w:val="1"/>
                <w:color w:val="auto"/>
              </w:rPr>
            </w:pPr>
          </w:p>
        </w:tc>
      </w:tr>
      <w:tr>
        <w:trPr>
          <w:trHeight w:val="142"/>
        </w:trPr>
        <w:tc>
          <w:tcPr>
            <w:tcW w:w="960" w:type="dxa"/>
            <w:vAlign w:val="bottom"/>
          </w:tcPr>
          <w:p>
            <w:pPr>
              <w:ind w:left="180"/>
              <w:spacing w:after="0"/>
              <w:rPr>
                <w:sz w:val="20"/>
                <w:szCs w:val="20"/>
                <w:color w:val="auto"/>
              </w:rPr>
            </w:pPr>
            <w:r>
              <w:rPr>
                <w:rFonts w:ascii="Arial" w:cs="Arial" w:eastAsia="Arial" w:hAnsi="Arial"/>
                <w:sz w:val="11"/>
                <w:szCs w:val="11"/>
                <w:color w:val="auto"/>
              </w:rPr>
              <w:t>expense</w:t>
            </w:r>
          </w:p>
        </w:tc>
        <w:tc>
          <w:tcPr>
            <w:tcW w:w="8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96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Noncontrolling</w:t>
            </w: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ind w:left="180"/>
              <w:spacing w:after="0" w:line="108" w:lineRule="exact"/>
              <w:rPr>
                <w:sz w:val="20"/>
                <w:szCs w:val="20"/>
                <w:color w:val="auto"/>
              </w:rPr>
            </w:pPr>
            <w:r>
              <w:rPr>
                <w:rFonts w:ascii="Arial" w:cs="Arial" w:eastAsia="Arial" w:hAnsi="Arial"/>
                <w:sz w:val="11"/>
                <w:szCs w:val="11"/>
                <w:color w:val="auto"/>
              </w:rPr>
              <w:t>interest</w:t>
            </w: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ind w:left="180"/>
              <w:spacing w:after="0" w:line="108" w:lineRule="exact"/>
              <w:rPr>
                <w:sz w:val="20"/>
                <w:szCs w:val="20"/>
                <w:color w:val="auto"/>
              </w:rPr>
            </w:pPr>
            <w:r>
              <w:rPr>
                <w:rFonts w:ascii="Arial" w:cs="Arial" w:eastAsia="Arial" w:hAnsi="Arial"/>
                <w:sz w:val="11"/>
                <w:szCs w:val="11"/>
                <w:color w:val="auto"/>
              </w:rPr>
              <w:t>investment in</w:t>
            </w: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9"/>
                <w:szCs w:val="9"/>
                <w:color w:val="auto"/>
              </w:rPr>
            </w:pPr>
          </w:p>
        </w:tc>
        <w:tc>
          <w:tcPr>
            <w:tcW w:w="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290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290</w:t>
            </w:r>
          </w:p>
        </w:tc>
        <w:tc>
          <w:tcPr>
            <w:tcW w:w="0" w:type="dxa"/>
            <w:vAlign w:val="bottom"/>
          </w:tcPr>
          <w:p>
            <w:pPr>
              <w:spacing w:after="0"/>
              <w:rPr>
                <w:sz w:val="1"/>
                <w:szCs w:val="1"/>
                <w:color w:val="auto"/>
              </w:rPr>
            </w:pPr>
          </w:p>
        </w:tc>
      </w:tr>
      <w:tr>
        <w:trPr>
          <w:trHeight w:val="142"/>
        </w:trPr>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subsidiary</w:t>
            </w: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20"/>
              <w:spacing w:after="0" w:line="109" w:lineRule="exact"/>
              <w:rPr>
                <w:sz w:val="20"/>
                <w:szCs w:val="20"/>
                <w:color w:val="auto"/>
              </w:rPr>
            </w:pPr>
            <w:r>
              <w:rPr>
                <w:rFonts w:ascii="Arial" w:cs="Arial" w:eastAsia="Arial" w:hAnsi="Arial"/>
                <w:sz w:val="11"/>
                <w:szCs w:val="11"/>
                <w:color w:val="auto"/>
              </w:rPr>
              <w:t>Dividends &amp;</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80"/>
              <w:spacing w:after="0" w:line="108" w:lineRule="exact"/>
              <w:rPr>
                <w:sz w:val="20"/>
                <w:szCs w:val="20"/>
                <w:color w:val="auto"/>
              </w:rPr>
            </w:pPr>
            <w:r>
              <w:rPr>
                <w:rFonts w:ascii="Arial" w:cs="Arial" w:eastAsia="Arial" w:hAnsi="Arial"/>
                <w:sz w:val="11"/>
                <w:szCs w:val="11"/>
                <w:color w:val="auto"/>
              </w:rPr>
              <w:t>redemptions of</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9"/>
                <w:szCs w:val="9"/>
                <w:color w:val="auto"/>
              </w:rPr>
            </w:pPr>
          </w:p>
        </w:tc>
        <w:tc>
          <w:tcPr>
            <w:tcW w:w="2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(1,265)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(1,265)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(67)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(1,332)</w:t>
            </w:r>
          </w:p>
        </w:tc>
        <w:tc>
          <w:tcPr>
            <w:tcW w:w="0" w:type="dxa"/>
            <w:vAlign w:val="bottom"/>
          </w:tcPr>
          <w:p>
            <w:pPr>
              <w:spacing w:after="0"/>
              <w:rPr>
                <w:sz w:val="1"/>
                <w:szCs w:val="1"/>
                <w:color w:val="auto"/>
              </w:rPr>
            </w:pPr>
          </w:p>
        </w:tc>
      </w:tr>
      <w:tr>
        <w:trPr>
          <w:trHeight w:val="142"/>
        </w:trPr>
        <w:tc>
          <w:tcPr>
            <w:tcW w:w="960" w:type="dxa"/>
            <w:vAlign w:val="bottom"/>
          </w:tcPr>
          <w:p>
            <w:pPr>
              <w:ind w:left="180"/>
              <w:spacing w:after="0"/>
              <w:rPr>
                <w:sz w:val="20"/>
                <w:szCs w:val="20"/>
                <w:color w:val="auto"/>
              </w:rPr>
            </w:pPr>
            <w:r>
              <w:rPr>
                <w:rFonts w:ascii="Arial" w:cs="Arial" w:eastAsia="Arial" w:hAnsi="Arial"/>
                <w:sz w:val="11"/>
                <w:szCs w:val="11"/>
                <w:color w:val="auto"/>
              </w:rPr>
              <w:t>subsidiaries</w:t>
            </w:r>
          </w:p>
        </w:tc>
        <w:tc>
          <w:tcPr>
            <w:tcW w:w="8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17,214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17,214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2,701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19,915</w:t>
            </w:r>
          </w:p>
        </w:tc>
        <w:tc>
          <w:tcPr>
            <w:tcW w:w="0" w:type="dxa"/>
            <w:vAlign w:val="bottom"/>
          </w:tcPr>
          <w:p>
            <w:pPr>
              <w:spacing w:after="0"/>
              <w:rPr>
                <w:sz w:val="1"/>
                <w:szCs w:val="1"/>
                <w:color w:val="auto"/>
              </w:rPr>
            </w:pPr>
          </w:p>
        </w:tc>
      </w:tr>
      <w:tr>
        <w:trPr>
          <w:trHeight w:val="88"/>
        </w:trPr>
        <w:tc>
          <w:tcPr>
            <w:tcW w:w="960" w:type="dxa"/>
            <w:vAlign w:val="bottom"/>
          </w:tcPr>
          <w:p>
            <w:pPr>
              <w:ind w:left="20"/>
              <w:spacing w:after="0" w:line="89" w:lineRule="exact"/>
              <w:rPr>
                <w:sz w:val="20"/>
                <w:szCs w:val="20"/>
                <w:color w:val="auto"/>
              </w:rPr>
            </w:pPr>
            <w:r>
              <w:rPr>
                <w:rFonts w:ascii="Arial" w:cs="Arial" w:eastAsia="Arial" w:hAnsi="Arial"/>
                <w:sz w:val="10"/>
                <w:szCs w:val="10"/>
                <w:color w:val="auto"/>
              </w:rPr>
              <w:t>Balance at</w:t>
            </w:r>
          </w:p>
        </w:tc>
        <w:tc>
          <w:tcPr>
            <w:tcW w:w="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80"/>
              <w:spacing w:after="0" w:line="108" w:lineRule="exact"/>
              <w:rPr>
                <w:sz w:val="20"/>
                <w:szCs w:val="20"/>
                <w:color w:val="auto"/>
              </w:rPr>
            </w:pPr>
            <w:r>
              <w:rPr>
                <w:rFonts w:ascii="Arial" w:cs="Arial" w:eastAsia="Arial" w:hAnsi="Arial"/>
                <w:sz w:val="11"/>
                <w:szCs w:val="11"/>
                <w:color w:val="auto"/>
              </w:rPr>
              <w:t>December 31,</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104,575,110</w:t>
            </w:r>
          </w:p>
        </w:tc>
        <w:tc>
          <w:tcPr>
            <w:tcW w:w="80" w:type="dxa"/>
            <w:vAlign w:val="bottom"/>
          </w:tcPr>
          <w:p>
            <w:pPr>
              <w:spacing w:after="0"/>
              <w:rPr>
                <w:sz w:val="9"/>
                <w:szCs w:val="9"/>
                <w:color w:val="auto"/>
              </w:rPr>
            </w:pPr>
          </w:p>
        </w:tc>
        <w:tc>
          <w:tcPr>
            <w:tcW w:w="380" w:type="dxa"/>
            <w:vAlign w:val="bottom"/>
            <w:vMerge w:val="restart"/>
          </w:tcPr>
          <w:p>
            <w:pPr>
              <w:jc w:val="right"/>
              <w:ind w:right="246"/>
              <w:spacing w:after="0"/>
              <w:rPr>
                <w:sz w:val="20"/>
                <w:szCs w:val="20"/>
                <w:color w:val="auto"/>
              </w:rPr>
            </w:pPr>
            <w:r>
              <w:rPr>
                <w:rFonts w:ascii="Arial" w:cs="Arial" w:eastAsia="Arial" w:hAnsi="Arial"/>
                <w:sz w:val="11"/>
                <w:szCs w:val="11"/>
                <w:color w:val="auto"/>
                <w:w w:val="97"/>
              </w:rPr>
              <w:t>$</w:t>
            </w:r>
          </w:p>
        </w:tc>
        <w:tc>
          <w:tcPr>
            <w:tcW w:w="200" w:type="dxa"/>
            <w:vAlign w:val="bottom"/>
            <w:vMerge w:val="restart"/>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48,918,728</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color w:val="auto"/>
                <w:w w:val="98"/>
              </w:rPr>
              <w:t>36,326,136</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101,071,089</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675,945</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(320,851)</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vMerge w:val="restart"/>
          </w:tcPr>
          <w:p>
            <w:pPr>
              <w:jc w:val="right"/>
              <w:ind w:right="6"/>
              <w:spacing w:after="0"/>
              <w:rPr>
                <w:sz w:val="20"/>
                <w:szCs w:val="20"/>
                <w:color w:val="auto"/>
              </w:rPr>
            </w:pPr>
            <w:r>
              <w:rPr>
                <w:rFonts w:ascii="Arial" w:cs="Arial" w:eastAsia="Arial" w:hAnsi="Arial"/>
                <w:sz w:val="11"/>
                <w:szCs w:val="11"/>
                <w:color w:val="auto"/>
              </w:rPr>
              <w:t>355,098</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vMerge w:val="restart"/>
          </w:tcPr>
          <w:p>
            <w:pPr>
              <w:jc w:val="right"/>
              <w:ind w:right="6"/>
              <w:spacing w:after="0"/>
              <w:rPr>
                <w:sz w:val="20"/>
                <w:szCs w:val="20"/>
                <w:color w:val="auto"/>
              </w:rPr>
            </w:pPr>
            <w:r>
              <w:rPr>
                <w:rFonts w:ascii="Arial" w:cs="Arial" w:eastAsia="Arial" w:hAnsi="Arial"/>
                <w:sz w:val="11"/>
                <w:szCs w:val="11"/>
                <w:color w:val="auto"/>
              </w:rPr>
              <w:t>8,277</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363,375</w:t>
            </w:r>
          </w:p>
        </w:tc>
        <w:tc>
          <w:tcPr>
            <w:tcW w:w="0" w:type="dxa"/>
            <w:vAlign w:val="bottom"/>
          </w:tcPr>
          <w:p>
            <w:pPr>
              <w:spacing w:after="0"/>
              <w:rPr>
                <w:sz w:val="1"/>
                <w:szCs w:val="1"/>
                <w:color w:val="auto"/>
              </w:rPr>
            </w:pPr>
          </w:p>
        </w:tc>
      </w:tr>
      <w:tr>
        <w:trPr>
          <w:trHeight w:val="140"/>
        </w:trPr>
        <w:tc>
          <w:tcPr>
            <w:tcW w:w="960" w:type="dxa"/>
            <w:vAlign w:val="bottom"/>
          </w:tcPr>
          <w:p>
            <w:pPr>
              <w:ind w:left="180"/>
              <w:spacing w:after="0"/>
              <w:rPr>
                <w:sz w:val="20"/>
                <w:szCs w:val="20"/>
                <w:color w:val="auto"/>
              </w:rPr>
            </w:pPr>
            <w:r>
              <w:rPr>
                <w:rFonts w:ascii="Arial" w:cs="Arial" w:eastAsia="Arial" w:hAnsi="Arial"/>
                <w:sz w:val="11"/>
                <w:szCs w:val="11"/>
                <w:color w:val="auto"/>
              </w:rPr>
              <w:t>2024</w:t>
            </w:r>
          </w:p>
        </w:tc>
        <w:tc>
          <w:tcPr>
            <w:tcW w:w="7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320" w:top="229" w:right="339" w:bottom="1440" w:gutter="0" w:footer="0" w:header="0"/>
        </w:sectPr>
      </w:pPr>
    </w:p>
    <w:bookmarkStart w:id="308" w:name="page309"/>
    <w:bookmarkEnd w:id="308"/>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2023</w:t>
            </w: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19,915</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(52,443)</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Adjustments to reconcile net income (loss) to net cash flows used in operating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Gain on servicing asset,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(32,637)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(22,083)</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Gain on sale of loans, net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(140,353)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(50,343)</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Gain on sale of digital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(10,381)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(4,689)</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Income (loss) from fund and equity method investments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8,189</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Amortization of deferred financing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internally developed software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19,384</w:t>
            </w: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Impairment of internally developed software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8,591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Impairment of digital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Other asset impairment charge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4,970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Services exchanged for issuance of warrants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Noncash dissolution of subsidiary</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Stock-based compensation expense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Losses on repurchased loans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8,218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10,148</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Net change in operating assets and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Proceeds from loan sales, net of repurchases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4,782,838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3,297,216</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Originations of loans held for sale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(3,164,966)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(1,981,195)</w:t>
            </w: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Purchases of loans held for sale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(1,974,701)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(1,541,757)</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Principal payments on loans held for sale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422,910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315,274</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Purchases of marketable securities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(141,557)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(42,061)</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Proceeds from sale of marketable securities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Principal payments on marketable securities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3,882</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receivable, net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(11,382)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7,741</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 and accrued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r>
      <w:tr>
        <w:trPr>
          <w:trHeight w:val="230"/>
        </w:trPr>
        <w:tc>
          <w:tcPr>
            <w:tcW w:w="7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Lease liability</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w:t>
            </w:r>
          </w:p>
        </w:tc>
      </w:tr>
      <w:tr>
        <w:trPr>
          <w:trHeight w:val="22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(136,015)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(28,868)</w:t>
            </w:r>
          </w:p>
        </w:tc>
      </w:tr>
      <w:tr>
        <w:trPr>
          <w:trHeight w:val="21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Capitalization of internally developed software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(17,262)</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Investment in fund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Purchases of digital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Proceeds from sales of digital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16,092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Loan receivable issued to related parties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Payment on note receivable from related parties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Sale of internally developed software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(22,107)</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Proceeds from debt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4,623,817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2,781,230</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Principal payments on debt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(4,438,785)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(2,768,598)</w:t>
            </w:r>
          </w:p>
        </w:tc>
      </w:tr>
      <w:tr>
        <w:trPr>
          <w:trHeight w:val="239"/>
        </w:trPr>
        <w:tc>
          <w:tcPr>
            <w:tcW w:w="7980" w:type="dxa"/>
            <w:vAlign w:val="bottom"/>
          </w:tcPr>
          <w:p>
            <w:pPr>
              <w:ind w:left="460"/>
              <w:spacing w:after="0"/>
              <w:rPr>
                <w:sz w:val="20"/>
                <w:szCs w:val="20"/>
                <w:color w:val="auto"/>
              </w:rPr>
            </w:pPr>
            <w:r>
              <w:rPr>
                <w:rFonts w:ascii="Arial" w:cs="Arial" w:eastAsia="Arial" w:hAnsi="Arial"/>
                <w:sz w:val="18"/>
                <w:szCs w:val="18"/>
                <w:color w:val="auto"/>
              </w:rPr>
              <w:t>Payments of deferred financing costs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320" w:top="229" w:right="339" w:bottom="1440" w:gutter="0" w:footer="0" w:header="0"/>
        </w:sectPr>
      </w:pPr>
    </w:p>
    <w:bookmarkStart w:id="309" w:name="page310"/>
    <w:bookmarkEnd w:id="309"/>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r>
      <w:tr>
        <w:trPr>
          <w:trHeight w:val="224"/>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Payables due to third-party loan owners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81,881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52,974</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Proceeds from issuance of preferred stock</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73,292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Issuance costs of preferred stock</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Proceeds from note payable, related party</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Repayment of note payable, related party</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Distributions to shareholders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(2,765)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Dividends and redemptions from the REIT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External noncontrolling interest in fund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Common stock repurchase and retirement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Proceeds from exercises of stock options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r>
      <w:tr>
        <w:trPr>
          <w:trHeight w:val="22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336,124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65,788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169,253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14,813</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beginning of year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175,780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160,967</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year</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345,033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175,780</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7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paid during the period for interest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44,833</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Cash paid during the period for income taxes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79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 included in capitalized internally developed software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Contribution from related party</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Distribution of noncontrolling interest in fund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Distributions from Onshore Solana Fund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Transfers from held for investment to held for sale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53,241</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Transfers from held for sale to held for investment</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22,279</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capital contributions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Other capital charges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4,970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Noncash dissolution of subsidiary</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40"/>
          </w:cols>
          <w:pgMar w:left="320" w:top="229" w:right="339" w:bottom="1440" w:gutter="0" w:footer="0" w:header="0"/>
        </w:sectPr>
      </w:pPr>
    </w:p>
    <w:bookmarkStart w:id="310" w:name="page311"/>
    <w:bookmarkEnd w:id="310"/>
    <w:p>
      <w:pPr>
        <w:jc w:val="center"/>
        <w:ind w:right="-19"/>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BUSINESS AND ORGANIZATION</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Figure Technology Group is a group of companies that has built a suite of blockchain-based products and solutions centered around the vision of promoting efficiency and liquidity in financial markets. We offer a technology-enabled loan origination system and paired this system with a distribution marketplace, Figure Connect, providing access to a deep and broad pool of capital markets partners (together, the “Technology Offering”).</w:t>
      </w:r>
    </w:p>
    <w:p>
      <w:pPr>
        <w:spacing w:after="0" w:line="122"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7"/>
          <w:szCs w:val="17"/>
          <w:color w:val="auto"/>
        </w:rPr>
        <w:t>The accompanying combined consolidated financial statements include the accounts of two affiliated corporations under common control and management (‘‘Figure Technology Group’’) and their respective consolidated subsidiaries (collectively, ‘‘Figure’’ or the ‘‘Company’’). Each of the following two corporations is owned either directly or indirectly by its controlling shareholder, Michael Cagney (“Controlling Party”):</w:t>
      </w:r>
    </w:p>
    <w:p>
      <w:pPr>
        <w:spacing w:after="0" w:line="99" w:lineRule="exact"/>
        <w:rPr>
          <w:sz w:val="20"/>
          <w:szCs w:val="20"/>
          <w:color w:val="auto"/>
        </w:rPr>
      </w:pPr>
    </w:p>
    <w:p>
      <w:pPr>
        <w:jc w:val="both"/>
        <w:ind w:left="660" w:hanging="328"/>
        <w:spacing w:after="0" w:line="268" w:lineRule="auto"/>
        <w:tabs>
          <w:tab w:leader="none" w:pos="6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FT Intermediate, Inc. (“FTI”) was formed on March 18, 2024 as a Delaware corporation and primarily operates through its wholly-owned subsidiary, Figure Lending Corp. (“Lending”). Lending offers Figure Connect which generates ecosystem and technology fees, and originates, sells, and securitizes home equity line of credit (“HELOC”) loans that it services.</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Figure Markets Holdings, Inc. (“Markets”) was formed on January 25, 2024 as a Delaware corporation. Markets utilized blockchain technology to develop an exchange for digital assets and credit, with new product offerings including providing interest-bearing stablecoin deposits.</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Figure operates and manages its business through FTI and Markets, including their respective consolidated subsidiaries, as two distinct legal entities. Although management evaluates performance and allocates resources primarily on a Company-wide basis, the Company discloses segments based on each legal entity, see Note 2 </w:t>
      </w:r>
      <w:r>
        <w:rPr>
          <w:rFonts w:ascii="Arial" w:cs="Arial" w:eastAsia="Arial" w:hAnsi="Arial"/>
          <w:sz w:val="18"/>
          <w:szCs w:val="18"/>
          <w:i w:val="1"/>
          <w:iCs w:val="1"/>
          <w:color w:val="auto"/>
        </w:rPr>
        <w:t>— Segments</w:t>
      </w:r>
      <w:r>
        <w:rPr>
          <w:rFonts w:ascii="Arial" w:cs="Arial" w:eastAsia="Arial" w:hAnsi="Arial"/>
          <w:sz w:val="18"/>
          <w:szCs w:val="18"/>
          <w:color w:val="auto"/>
        </w:rPr>
        <w:t xml:space="preserve"> for further information. During the years ended December 31, 2024 and 2023, FTI recognized substantially all revenues from loan originations and sales, and loan servicing in the United States of America, whereas Markets primarily incurred expenses in the development of its products and solutions. Each of FTI's and Markets’ chief operating decision maker ("CODM") is its Chief Executive Officer, who make decisions regarding their businesses and the Company as a whole, including resource allocation and performance assessment.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accompanying combined consolidated financial statements are prepared in accordance with accounting principles generally accepted in the United States (“GAAP”). The financial statements for the year ended December 31, 2024 reflect the combined consolidated statements of FTI and Markets, whereas the comparative information for the year ended December 31, 2023 presents consolidated financial statements of the previous parent company, Figure Technologies Inc. ("FT"), prior to the change in corporate structure. The combined consolidated financial statements include the accounts of the Company and the combined wholly-owned subsidiaries over which the Company controls significant operating, financial, and investing decisions of the entity as well as those entities deemed to be variable interest entities (“VIEs”) in which the Company is determined to have controlling financial interest. In the opinion of management, all adjustments considered necessary for a fair presentation of the Company’s financial position, results of operations, and cash flows have been included and are of a normal and recurring nature. All intercompany balances and transactions have been eliminated.</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Reorganization</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Prior to March 18, 2024, the consolidated financial statements of FT included the combined financial position and combined results of operations of FTI and Markets. On March 18, 2024, FT, FTI, Markets, and other entities under common control consummated a reorganization whereby FT contributed assets and liabilities to FTI and subsequently, FT consummated a reverse merger with a subsidiary of FTI.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40"/>
          </w:cols>
          <w:pgMar w:left="320" w:top="229" w:right="339" w:bottom="1440" w:gutter="0" w:footer="0" w:header="0"/>
        </w:sectPr>
      </w:pPr>
    </w:p>
    <w:bookmarkStart w:id="311" w:name="page312"/>
    <w:bookmarkEnd w:id="311"/>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outstanding share of common stock of FT converted into one share of common stock of FTI, whereby FTI (a) contributed assets and liabilities applicable to the Markets business and (b) 100% of the equity interest to FT's successor. FT then ratably distributed 74.1% of Markets' common stock to third-party shareholders and 25.9% to related parties in exchange for their FTI common stock. See Note 7 for further information on the exchange with related parties.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 variable interest entity (“VIE”) is a legal entity in which (i) equity at risk investors do not have the characteristics of a controlling financial interest, (ii) the entities do not have sufficient equity at risk for the entity to finance its activities without additional subordinated financial support from other parties, or (iii) substantially all of the activities of the entity are performed on behalf of the party with disproportionately few voting rights. The Company’s variable interest arises from contractual, ownership, or other monetary interests in the entity, which change with fluctuations in the fair value of the entity’s net assets. A VIE is consolidated by its primary beneficiary, the party that has both the power to direct the activities that most significantly impact the VIE’s economic performance, and the obligation to absorb losses or the right to receive benefits of the VIE that could potentially be significant to the VIE.</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determination of whether or not to consolidate a VIE under GAAP requires a significant amount of judgment concerning the degree of control over an entity by its holders of variable interests. To make these judgments, management conducts an analysis, on a case-by-case basis, on whether we are the primary beneficiary, the party who has the power to direct the activities of a VIE that most significantly impacts its economic performance and who has the obligation to absorb losses or the right to receive benefits from the VIE that could potentially be significant to the VIE, and are therefore required to consolidate the entity.</w:t>
      </w:r>
    </w:p>
    <w:p>
      <w:pPr>
        <w:spacing w:after="0" w:line="125"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In circumstances where an entity does not have the characteristics of a VIE, the Company would consolidate the entity if the Company owns a majority of the equity interest and has control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40"/>
          </w:cols>
          <w:pgMar w:left="320" w:top="229" w:right="339" w:bottom="1440" w:gutter="0" w:footer="0" w:header="0"/>
        </w:sectPr>
      </w:pPr>
    </w:p>
    <w:bookmarkStart w:id="312" w:name="page313"/>
    <w:bookmarkEnd w:id="312"/>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significant operating, financial and investing decisions of the entity. For entities over which the Company exercises significant influence, but which do not meet the requirements for consolidation, the Company applies the equity method of accounting whereby it records its share of the underlying income of such entities. The Company records its share of income and losses in Other Income (Expense), Net in the Combined Consolidated Statements of Operations. Distributions from equity method investments are classified as Investing Activity in the Combined Consolidated Statements of Cash Flows.</w:t>
      </w:r>
    </w:p>
    <w:p>
      <w:pPr>
        <w:spacing w:after="0" w:line="1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applies the measurement alternative for entities in which the Company holds non-security interests and over which the Company does not exercise significant influence. Under the measurement alternative, investments are measured at cost, less any impairments, plus or minus changes resulting from observable price changes in orderly transactions for the identical or similar investment of the same issuer in the current period. The carrying value is not adjusted for the Company’s investment if there are no observable price changes in a same or similar security from the same issuer or if there are no identified events or changes in circumstances that may indicate impairment.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3 for additional information regarding the Company’s measurement alternative and equity method investees.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Management continually reconsiders whether we should consolidate a variable interest entity. Upon the occurrence of certain events, management will reconsider its conclusion regarding the status of an entity as a variable interest entity. See Note 8 for additional information regarding the VIEs the Company consolidates.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Noncontrolling Interests in Consolidated Subsidiaries</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Noncontrolling interests represent the portion of subsidiaries’ net assets the Company consolidates but does not own. The Company recognizes each noncontrolling holder’s respective share of the net assets at the date of formation or acquisition. Noncontrolling interests are subsequently adjusted for the noncontrolling holder’s share of additional contributions, distributions and their share of the net earnings or losses of each respective consolidated entity. The Company allocates net income or loss to noncontrolling interests based on the weighted average ownership interest during the period. The net income or loss that is not attributable to the Company is reflected in Net Income (Loss) Attributable to Noncontrolling Interests in the Combined Consolidated Statements of Operations. The Company does not recognize a gain or loss on transactions with a consolidated entity in which it does not own 100% of the equity, but the Company reflects the difference in cash received or paid from the noncontrolling interests as adjustments to carrying amount as additional paid-in-capital.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40"/>
          </w:cols>
          <w:pgMar w:left="320" w:top="229" w:right="339" w:bottom="1440" w:gutter="0" w:footer="0" w:header="0"/>
        </w:sectPr>
      </w:pPr>
    </w:p>
    <w:bookmarkStart w:id="313" w:name="page314"/>
    <w:bookmarkEnd w:id="313"/>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revenue, profitability, and expense information about our segments: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2024</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December 31, 2023</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FTI</w:t>
            </w:r>
          </w:p>
        </w:tc>
        <w:tc>
          <w:tcPr>
            <w:tcW w:w="16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Markets</w:t>
            </w:r>
          </w:p>
        </w:tc>
        <w:tc>
          <w:tcPr>
            <w:tcW w:w="20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7"/>
                <w:szCs w:val="17"/>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FTI</w:t>
            </w:r>
          </w:p>
        </w:tc>
        <w:tc>
          <w:tcPr>
            <w:tcW w:w="16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7"/>
                <w:szCs w:val="17"/>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184"/>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2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r>
      <w:tr>
        <w:trPr>
          <w:trHeight w:val="198"/>
        </w:trPr>
        <w:tc>
          <w:tcPr>
            <w:tcW w:w="2740" w:type="dxa"/>
            <w:vAlign w:val="bottom"/>
          </w:tcPr>
          <w:p>
            <w:pPr>
              <w:ind w:left="460"/>
              <w:spacing w:after="0"/>
              <w:rPr>
                <w:sz w:val="20"/>
                <w:szCs w:val="20"/>
                <w:color w:val="auto"/>
              </w:rPr>
            </w:pPr>
            <w:r>
              <w:rPr>
                <w:rFonts w:ascii="Arial" w:cs="Arial" w:eastAsia="Arial" w:hAnsi="Arial"/>
                <w:sz w:val="14"/>
                <w:szCs w:val="14"/>
                <w:color w:val="auto"/>
              </w:rPr>
              <w:t>Interest income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40,103</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8,790</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(686)</w:t>
            </w:r>
          </w:p>
        </w:tc>
        <w:tc>
          <w:tcPr>
            <w:tcW w:w="8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48,207</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37,887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10,268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48,155</w:t>
            </w:r>
          </w:p>
        </w:tc>
      </w:tr>
      <w:tr>
        <w:trPr>
          <w:trHeight w:val="207"/>
        </w:trPr>
        <w:tc>
          <w:tcPr>
            <w:tcW w:w="2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other net revenue</w:t>
            </w: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287,229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7,338</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(1,889)</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292,678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168,688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(7,608)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161,394</w:t>
            </w:r>
          </w:p>
        </w:tc>
      </w:tr>
      <w:tr>
        <w:trPr>
          <w:trHeight w:val="192"/>
        </w:trPr>
        <w:tc>
          <w:tcPr>
            <w:tcW w:w="2740" w:type="dxa"/>
            <w:vAlign w:val="bottom"/>
          </w:tcPr>
          <w:p>
            <w:pPr>
              <w:ind w:left="240"/>
              <w:spacing w:after="0"/>
              <w:rPr>
                <w:sz w:val="20"/>
                <w:szCs w:val="20"/>
                <w:color w:val="auto"/>
              </w:rPr>
            </w:pPr>
            <w:r>
              <w:rPr>
                <w:rFonts w:ascii="Arial" w:cs="Arial" w:eastAsia="Arial" w:hAnsi="Arial"/>
                <w:sz w:val="14"/>
                <w:szCs w:val="14"/>
                <w:color w:val="auto"/>
              </w:rPr>
              <w:t>Total net revenue</w:t>
            </w:r>
          </w:p>
        </w:tc>
        <w:tc>
          <w:tcPr>
            <w:tcW w:w="2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327,332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16,128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(2,575)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340,885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206,575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209,549</w:t>
            </w:r>
          </w:p>
        </w:tc>
      </w:tr>
      <w:tr>
        <w:trPr>
          <w:trHeight w:val="274"/>
        </w:trPr>
        <w:tc>
          <w:tcPr>
            <w:tcW w:w="27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02"/>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51,043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6,058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49,200</w:t>
            </w:r>
          </w:p>
        </w:tc>
      </w:tr>
      <w:tr>
        <w:trPr>
          <w:trHeight w:val="198"/>
        </w:trPr>
        <w:tc>
          <w:tcPr>
            <w:tcW w:w="274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2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35,957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35,957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7,206</w:t>
            </w:r>
          </w:p>
        </w:tc>
      </w:tr>
      <w:tr>
        <w:trPr>
          <w:trHeight w:val="207"/>
        </w:trPr>
        <w:tc>
          <w:tcPr>
            <w:tcW w:w="2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other expense</w:t>
            </w: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179,868</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59,592</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239,278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142,596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61,010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202,581</w:t>
            </w:r>
          </w:p>
        </w:tc>
      </w:tr>
      <w:tr>
        <w:trPr>
          <w:trHeight w:val="192"/>
        </w:trPr>
        <w:tc>
          <w:tcPr>
            <w:tcW w:w="274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expenses</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266,868</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65,650</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331,650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185,778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74,234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258,987</w:t>
            </w:r>
          </w:p>
        </w:tc>
      </w:tr>
      <w:tr>
        <w:trPr>
          <w:trHeight w:val="225"/>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60,464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(49,522)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(1,707)</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9,235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20,797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(71,574)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(49,438)</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8"/>
        </w:trPr>
        <w:tc>
          <w:tcPr>
            <w:tcW w:w="2740" w:type="dxa"/>
            <w:vAlign w:val="bottom"/>
          </w:tcPr>
          <w:p>
            <w:pPr>
              <w:ind w:left="460"/>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267,568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19,688</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287,256</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105,056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11,492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116,548</w:t>
            </w:r>
          </w:p>
        </w:tc>
      </w:tr>
      <w:tr>
        <w:trPr>
          <w:trHeight w:val="203"/>
        </w:trPr>
        <w:tc>
          <w:tcPr>
            <w:tcW w:w="2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other assets</w:t>
            </w: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613,810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264,229</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(5,717)</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872,322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439,238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106,157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543,520</w:t>
            </w:r>
          </w:p>
        </w:tc>
      </w:tr>
      <w:tr>
        <w:trPr>
          <w:trHeight w:val="200"/>
        </w:trPr>
        <w:tc>
          <w:tcPr>
            <w:tcW w:w="2740" w:type="dxa"/>
            <w:vAlign w:val="bottom"/>
          </w:tcPr>
          <w:p>
            <w:pPr>
              <w:ind w:left="24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881,378</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283,917</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(5,717)</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1,159,578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544,294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117,649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660,068</w:t>
            </w:r>
          </w:p>
        </w:tc>
      </w:tr>
      <w:tr>
        <w:trPr>
          <w:trHeight w:val="21"/>
        </w:trPr>
        <w:tc>
          <w:tcPr>
            <w:tcW w:w="2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 for information regarding the Company’s organizational segmentation.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course of its business, the Company primarily encounters two significant types of economic risk: credit risk and market risk. Credit risk is the risk of default on the Company’s investments that results from a borrower’s or counterparty’s inability or unwillingness to make contractually required payments. Market risk reflects changes in the value of investments due to changes in prepayment rates, interest rates, or other market factors, including risks that impact the value of the collateral underlying the Company’s marketable securities, loans, and servicing assets. To the extent the Company originates, invests in, or services loans concentrated in certain geographic locations, disruptions to those locations may cause material risks to the Company despite favorable macroeceonomic conditions.</w:t>
      </w:r>
    </w:p>
    <w:p>
      <w:pPr>
        <w:spacing w:after="0" w:line="128" w:lineRule="exact"/>
        <w:rPr>
          <w:sz w:val="20"/>
          <w:szCs w:val="20"/>
          <w:color w:val="auto"/>
        </w:rPr>
      </w:pPr>
    </w:p>
    <w:p>
      <w:pPr>
        <w:ind w:right="280" w:firstLine="324"/>
        <w:spacing w:after="0" w:line="438" w:lineRule="auto"/>
        <w:rPr>
          <w:sz w:val="20"/>
          <w:szCs w:val="20"/>
          <w:color w:val="auto"/>
        </w:rPr>
      </w:pPr>
      <w:r>
        <w:rPr>
          <w:rFonts w:ascii="Arial" w:cs="Arial" w:eastAsia="Arial" w:hAnsi="Arial"/>
          <w:sz w:val="18"/>
          <w:szCs w:val="18"/>
          <w:color w:val="auto"/>
        </w:rPr>
        <w:t xml:space="preserve">Changes in federal, state, or international tax laws or tax rulings could adversely affect our effective tax rate and our operating results. </w:t>
      </w:r>
      <w:r>
        <w:rPr>
          <w:rFonts w:ascii="Arial" w:cs="Arial" w:eastAsia="Arial" w:hAnsi="Arial"/>
          <w:sz w:val="18"/>
          <w:szCs w:val="18"/>
          <w:b w:val="1"/>
          <w:bCs w:val="1"/>
          <w:color w:val="auto"/>
        </w:rPr>
        <w:t>Use of Estimates</w:t>
      </w:r>
    </w:p>
    <w:p>
      <w:pPr>
        <w:spacing w:after="0" w:line="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subjective estimates, judgments, and assumptions that affect the reported amounts in these combined consolidated financial statements and accompanying notes including assets and liabilities, the disclosure of contingent assets and liabilities at the date of the combined consolidated financial statements, and the reported amounts of revenues and expenses during the reporting period. Actual results could differ from those estimates, and estimates may change as the Company obtains new information. Management uses historical experience, current events, and other factors to develop estimates and assumptions that management reviews periodically. The combined consolidated financial statements reflect the effects of estimate revisions in the period in which such revisions occur. Management believes that these estimates and assumptions provide a reasonable basis for the fair presentation of the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40"/>
          </w:cols>
          <w:pgMar w:left="320" w:top="229" w:right="339" w:bottom="1440" w:gutter="0" w:footer="0" w:header="0"/>
        </w:sectPr>
      </w:pPr>
    </w:p>
    <w:bookmarkStart w:id="314" w:name="page315"/>
    <w:bookmarkEnd w:id="314"/>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Significant estimates include the determination of the prepayment rates, discount rates, default rates, and servicing costs (as applicable) used in determining the fair value adjustments for loans held for sale, held for investment and servicing assets, valuation allowance for deferred tax assets, fair value of warrants, and stock-based compensation, including the grant date fair value of the related common stock and employee awards of the Company, employee related costs and other inputs for capitalized internal use software and the related useful life for amortization, and whether or not to consolidate a VIE.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171"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GAAP requires the categorization of the fair value of assets and liabilities into three broad levels that form a hierarchy based on the transparency of inputs to the valuation.</w:t>
      </w:r>
    </w:p>
    <w:p>
      <w:pPr>
        <w:spacing w:after="0" w:line="149" w:lineRule="exact"/>
        <w:rPr>
          <w:sz w:val="20"/>
          <w:szCs w:val="20"/>
          <w:color w:val="auto"/>
        </w:rPr>
      </w:pPr>
    </w:p>
    <w:p>
      <w:pPr>
        <w:ind w:left="240"/>
        <w:spacing w:after="0"/>
        <w:tabs>
          <w:tab w:leader="none" w:pos="5620" w:val="left"/>
        </w:tabs>
        <w:rPr>
          <w:sz w:val="20"/>
          <w:szCs w:val="20"/>
          <w:color w:val="auto"/>
        </w:rPr>
      </w:pPr>
      <w:r>
        <w:rPr>
          <w:rFonts w:ascii="Arial" w:cs="Arial" w:eastAsia="Arial" w:hAnsi="Arial"/>
          <w:sz w:val="14"/>
          <w:szCs w:val="14"/>
          <w:b w:val="1"/>
          <w:bCs w:val="1"/>
          <w:color w:val="auto"/>
        </w:rPr>
        <w:t>Level</w:t>
      </w:r>
      <w:r>
        <w:rPr>
          <w:sz w:val="20"/>
          <w:szCs w:val="20"/>
          <w:color w:val="auto"/>
        </w:rPr>
        <w:tab/>
      </w:r>
      <w:r>
        <w:rPr>
          <w:rFonts w:ascii="Arial" w:cs="Arial" w:eastAsia="Arial" w:hAnsi="Arial"/>
          <w:sz w:val="14"/>
          <w:szCs w:val="14"/>
          <w:b w:val="1"/>
          <w:bCs w:val="1"/>
          <w:color w:val="auto"/>
        </w:rPr>
        <w:t>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980" w:hanging="597"/>
        <w:spacing w:after="0"/>
        <w:tabs>
          <w:tab w:leader="none" w:pos="9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Inputs are unadjusted, quoted prices in active markets for identical assets or liabilities at the measurement date.</w:t>
      </w:r>
    </w:p>
    <w:p>
      <w:pPr>
        <w:spacing w:after="0" w:line="32" w:lineRule="exact"/>
        <w:rPr>
          <w:sz w:val="20"/>
          <w:szCs w:val="20"/>
          <w:color w:val="auto"/>
        </w:rPr>
      </w:pPr>
    </w:p>
    <w:p>
      <w:pPr>
        <w:ind w:left="980" w:right="100" w:hanging="597"/>
        <w:spacing w:after="0" w:line="229" w:lineRule="auto"/>
        <w:tabs>
          <w:tab w:leader="none" w:pos="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Inputs are other than quoted prices that are observable for the asset or liability, either directly or indirectly. Level 2 inputs include quoted prices for similar instruments in active markets, and inputs other than quoted prices that are observable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65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980" w:right="120" w:hanging="597"/>
        <w:spacing w:after="0" w:line="234" w:lineRule="auto"/>
        <w:tabs>
          <w:tab w:leader="none" w:pos="9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Inputs are unobservable for the asset or liability, and include situations where there is little, if any, market activity for the asset or liability.</w:t>
      </w:r>
    </w:p>
    <w:p>
      <w:pPr>
        <w:spacing w:after="0" w:line="24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follows this hierarchy for its assets and liabilities, with classifications based on the lowest level of input that is significant to the fair value measurement. The following summarizes the Company’s assets and liabilities within the fair value hierarchy at December 31,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Level</w:t>
            </w:r>
          </w:p>
        </w:tc>
        <w:tc>
          <w:tcPr>
            <w:tcW w:w="2760" w:type="dxa"/>
            <w:vAlign w:val="bottom"/>
            <w:gridSpan w:val="2"/>
          </w:tcPr>
          <w:p>
            <w:pPr>
              <w:ind w:left="600"/>
              <w:spacing w:after="0"/>
              <w:rPr>
                <w:sz w:val="20"/>
                <w:szCs w:val="20"/>
                <w:color w:val="auto"/>
              </w:rPr>
            </w:pPr>
            <w:r>
              <w:rPr>
                <w:rFonts w:ascii="Arial" w:cs="Arial" w:eastAsia="Arial" w:hAnsi="Arial"/>
                <w:sz w:val="14"/>
                <w:szCs w:val="14"/>
                <w:b w:val="1"/>
                <w:bCs w:val="1"/>
                <w:color w:val="auto"/>
              </w:rPr>
              <w:t>Assets and Liabilities</w:t>
            </w:r>
          </w:p>
        </w:tc>
        <w:tc>
          <w:tcPr>
            <w:tcW w:w="7520" w:type="dxa"/>
            <w:vAlign w:val="bottom"/>
          </w:tcPr>
          <w:p>
            <w:pPr>
              <w:ind w:left="3300"/>
              <w:spacing w:after="0"/>
              <w:rPr>
                <w:sz w:val="20"/>
                <w:szCs w:val="20"/>
                <w:color w:val="auto"/>
              </w:rPr>
            </w:pPr>
            <w:r>
              <w:rPr>
                <w:rFonts w:ascii="Arial" w:cs="Arial" w:eastAsia="Arial" w:hAnsi="Arial"/>
                <w:sz w:val="14"/>
                <w:szCs w:val="14"/>
                <w:b w:val="1"/>
                <w:bCs w:val="1"/>
                <w:color w:val="auto"/>
              </w:rPr>
              <w:t>Measurement</w:t>
            </w:r>
          </w:p>
        </w:tc>
      </w:tr>
      <w:tr>
        <w:trPr>
          <w:trHeight w:val="170"/>
        </w:trPr>
        <w:tc>
          <w:tcPr>
            <w:tcW w:w="86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tcBorders>
            <w:shd w:val="clear" w:color="auto" w:fill="CCEEFF"/>
          </w:tcPr>
          <w:p>
            <w:pPr>
              <w:spacing w:after="0"/>
              <w:rPr>
                <w:sz w:val="14"/>
                <w:szCs w:val="14"/>
                <w:color w:val="auto"/>
              </w:rPr>
            </w:pPr>
          </w:p>
        </w:tc>
        <w:tc>
          <w:tcPr>
            <w:tcW w:w="266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Cash and cash equivalents and</w:t>
            </w:r>
          </w:p>
        </w:tc>
        <w:tc>
          <w:tcPr>
            <w:tcW w:w="100" w:type="dxa"/>
            <w:vAlign w:val="bottom"/>
            <w:tcBorders>
              <w:top w:val="single" w:sz="8" w:color="CCEEFF"/>
            </w:tcBorders>
            <w:shd w:val="clear" w:color="auto" w:fill="CCEEFF"/>
          </w:tcPr>
          <w:p>
            <w:pPr>
              <w:spacing w:after="0"/>
              <w:rPr>
                <w:sz w:val="14"/>
                <w:szCs w:val="14"/>
                <w:color w:val="auto"/>
              </w:rPr>
            </w:pPr>
          </w:p>
        </w:tc>
        <w:tc>
          <w:tcPr>
            <w:tcW w:w="752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Estimates of fair value are measured using observable, quoted market prices, or Level 1</w:t>
            </w:r>
          </w:p>
        </w:tc>
      </w:tr>
      <w:tr>
        <w:trPr>
          <w:trHeight w:val="243"/>
        </w:trPr>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inputs</w:t>
            </w:r>
          </w:p>
        </w:tc>
      </w:tr>
      <w:tr>
        <w:trPr>
          <w:trHeight w:val="175"/>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Digital assets</w:t>
            </w: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Estimates of fair value are measured using observable, quoted digital asset prices within the</w:t>
            </w:r>
          </w:p>
        </w:tc>
      </w:tr>
      <w:tr>
        <w:trPr>
          <w:trHeight w:val="241"/>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Company’s principal market at the time of measurement as Level 1 inputs.</w:t>
            </w:r>
          </w:p>
        </w:tc>
      </w:tr>
      <w:tr>
        <w:trPr>
          <w:trHeight w:val="178"/>
        </w:trPr>
        <w:tc>
          <w:tcPr>
            <w:tcW w:w="860" w:type="dxa"/>
            <w:vAlign w:val="bottom"/>
            <w:shd w:val="clear" w:color="auto" w:fill="CCEEFF"/>
          </w:tcPr>
          <w:p>
            <w:pPr>
              <w:jc w:val="center"/>
              <w:spacing w:after="0" w:line="177" w:lineRule="exact"/>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5"/>
                <w:szCs w:val="15"/>
                <w:color w:val="auto"/>
              </w:rPr>
            </w:pPr>
          </w:p>
        </w:tc>
        <w:tc>
          <w:tcPr>
            <w:tcW w:w="2760" w:type="dxa"/>
            <w:vAlign w:val="bottom"/>
            <w:gridSpan w:val="2"/>
            <w:shd w:val="clear" w:color="auto" w:fill="CCEEFF"/>
          </w:tcPr>
          <w:p>
            <w:pPr>
              <w:ind w:left="20"/>
              <w:spacing w:after="0" w:line="177" w:lineRule="exact"/>
              <w:rPr>
                <w:sz w:val="20"/>
                <w:szCs w:val="20"/>
                <w:color w:val="auto"/>
              </w:rPr>
            </w:pPr>
            <w:r>
              <w:rPr>
                <w:rFonts w:ascii="Arial" w:cs="Arial" w:eastAsia="Arial" w:hAnsi="Arial"/>
                <w:sz w:val="18"/>
                <w:szCs w:val="18"/>
                <w:color w:val="auto"/>
              </w:rPr>
              <w:t>Marketable securities</w:t>
            </w:r>
          </w:p>
        </w:tc>
        <w:tc>
          <w:tcPr>
            <w:tcW w:w="752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Estimates of fair value are measured based upon observable market data of similar</w:t>
            </w:r>
          </w:p>
        </w:tc>
      </w:tr>
      <w:tr>
        <w:trPr>
          <w:trHeight w:val="243"/>
        </w:trPr>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instruments.</w:t>
            </w:r>
          </w:p>
        </w:tc>
      </w:tr>
      <w:tr>
        <w:trPr>
          <w:trHeight w:val="175"/>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Personal loans</w:t>
            </w: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Estimates of fair value are measured based upon observable market data of similar</w:t>
            </w:r>
          </w:p>
        </w:tc>
      </w:tr>
      <w:tr>
        <w:trPr>
          <w:trHeight w:val="239"/>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instruments.</w:t>
            </w:r>
          </w:p>
        </w:tc>
      </w:tr>
    </w:tbl>
    <w:p>
      <w:pPr>
        <w:ind w:left="980" w:hanging="597"/>
        <w:spacing w:after="0" w:line="236" w:lineRule="auto"/>
        <w:tabs>
          <w:tab w:leader="none" w:pos="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Marketable Securities —</w:t>
      </w:r>
      <w:r>
        <w:rPr>
          <w:rFonts w:ascii="Arial" w:cs="Arial" w:eastAsia="Arial" w:hAnsi="Arial"/>
          <w:sz w:val="17"/>
          <w:szCs w:val="17"/>
          <w:color w:val="auto"/>
        </w:rPr>
        <w:t>Estimated fair value based upon discounted expected future cash flows arising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4883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3"/>
        </w:trPr>
        <w:tc>
          <w:tcPr>
            <w:tcW w:w="3440" w:type="dxa"/>
            <w:vAlign w:val="bottom"/>
          </w:tcPr>
          <w:p>
            <w:pPr>
              <w:ind w:left="980"/>
              <w:spacing w:after="0" w:line="163" w:lineRule="exact"/>
              <w:rPr>
                <w:sz w:val="20"/>
                <w:szCs w:val="20"/>
                <w:color w:val="auto"/>
              </w:rPr>
            </w:pPr>
            <w:r>
              <w:rPr>
                <w:rFonts w:ascii="Arial" w:cs="Arial" w:eastAsia="Arial" w:hAnsi="Arial"/>
                <w:sz w:val="18"/>
                <w:szCs w:val="18"/>
                <w:color w:val="auto"/>
              </w:rPr>
              <w:t>Residual Interest Securities</w:t>
            </w:r>
          </w:p>
        </w:tc>
        <w:tc>
          <w:tcPr>
            <w:tcW w:w="7800" w:type="dxa"/>
            <w:vAlign w:val="bottom"/>
          </w:tcPr>
          <w:p>
            <w:pPr>
              <w:ind w:left="300"/>
              <w:spacing w:after="0" w:line="163" w:lineRule="exact"/>
              <w:rPr>
                <w:sz w:val="20"/>
                <w:szCs w:val="20"/>
                <w:color w:val="auto"/>
              </w:rPr>
            </w:pPr>
            <w:r>
              <w:rPr>
                <w:rFonts w:ascii="Arial" w:cs="Arial" w:eastAsia="Arial" w:hAnsi="Arial"/>
                <w:sz w:val="18"/>
                <w:szCs w:val="18"/>
                <w:color w:val="auto"/>
              </w:rPr>
              <w:t>securitization collateral cash flows after payments of principal and interest to senior</w:t>
            </w:r>
          </w:p>
        </w:tc>
      </w:tr>
      <w:tr>
        <w:trPr>
          <w:trHeight w:val="184"/>
        </w:trPr>
        <w:tc>
          <w:tcPr>
            <w:tcW w:w="3440" w:type="dxa"/>
            <w:vAlign w:val="bottom"/>
          </w:tcPr>
          <w:p>
            <w:pPr>
              <w:spacing w:after="0"/>
              <w:rPr>
                <w:sz w:val="15"/>
                <w:szCs w:val="15"/>
                <w:color w:val="auto"/>
              </w:rPr>
            </w:pPr>
          </w:p>
        </w:tc>
        <w:tc>
          <w:tcPr>
            <w:tcW w:w="7800" w:type="dxa"/>
            <w:vAlign w:val="bottom"/>
          </w:tcPr>
          <w:p>
            <w:pPr>
              <w:ind w:left="300"/>
              <w:spacing w:after="0" w:line="183" w:lineRule="exact"/>
              <w:rPr>
                <w:sz w:val="20"/>
                <w:szCs w:val="20"/>
                <w:color w:val="auto"/>
              </w:rPr>
            </w:pPr>
            <w:r>
              <w:rPr>
                <w:rFonts w:ascii="Arial" w:cs="Arial" w:eastAsia="Arial" w:hAnsi="Arial"/>
                <w:sz w:val="18"/>
                <w:szCs w:val="18"/>
                <w:color w:val="auto"/>
              </w:rPr>
              <w:t>noteholders and other fees, incorporating assumptions of scheduled principal and interest</w:t>
            </w:r>
          </w:p>
        </w:tc>
      </w:tr>
      <w:tr>
        <w:trPr>
          <w:trHeight w:val="230"/>
        </w:trPr>
        <w:tc>
          <w:tcPr>
            <w:tcW w:w="3440" w:type="dxa"/>
            <w:vAlign w:val="bottom"/>
          </w:tcPr>
          <w:p>
            <w:pPr>
              <w:spacing w:after="0"/>
              <w:rPr>
                <w:sz w:val="19"/>
                <w:szCs w:val="19"/>
                <w:color w:val="auto"/>
              </w:rPr>
            </w:pPr>
          </w:p>
        </w:tc>
        <w:tc>
          <w:tcPr>
            <w:tcW w:w="7800" w:type="dxa"/>
            <w:vAlign w:val="bottom"/>
          </w:tcPr>
          <w:p>
            <w:pPr>
              <w:ind w:left="300"/>
              <w:spacing w:after="0"/>
              <w:rPr>
                <w:sz w:val="20"/>
                <w:szCs w:val="20"/>
                <w:color w:val="auto"/>
              </w:rPr>
            </w:pPr>
            <w:r>
              <w:rPr>
                <w:rFonts w:ascii="Arial" w:cs="Arial" w:eastAsia="Arial" w:hAnsi="Arial"/>
                <w:sz w:val="18"/>
                <w:szCs w:val="18"/>
                <w:color w:val="auto"/>
              </w:rPr>
              <w:t>collections; prepayment and default rates; and debt-to-income and loan-to-value ratios</w:t>
            </w:r>
          </w:p>
        </w:tc>
      </w:tr>
      <w:tr>
        <w:trPr>
          <w:trHeight w:val="181"/>
        </w:trPr>
        <w:tc>
          <w:tcPr>
            <w:tcW w:w="3440" w:type="dxa"/>
            <w:vAlign w:val="bottom"/>
          </w:tcPr>
          <w:p>
            <w:pPr>
              <w:ind w:left="980"/>
              <w:spacing w:after="0" w:line="181" w:lineRule="exact"/>
              <w:rPr>
                <w:sz w:val="20"/>
                <w:szCs w:val="20"/>
                <w:color w:val="auto"/>
              </w:rPr>
            </w:pPr>
            <w:r>
              <w:rPr>
                <w:rFonts w:ascii="Arial" w:cs="Arial" w:eastAsia="Arial" w:hAnsi="Arial"/>
                <w:sz w:val="18"/>
                <w:szCs w:val="18"/>
                <w:color w:val="auto"/>
              </w:rPr>
              <w:t>Loans</w:t>
            </w:r>
          </w:p>
        </w:tc>
        <w:tc>
          <w:tcPr>
            <w:tcW w:w="7800" w:type="dxa"/>
            <w:vAlign w:val="bottom"/>
          </w:tcPr>
          <w:p>
            <w:pPr>
              <w:ind w:left="300"/>
              <w:spacing w:after="0" w:line="181" w:lineRule="exact"/>
              <w:rPr>
                <w:sz w:val="20"/>
                <w:szCs w:val="20"/>
                <w:color w:val="auto"/>
              </w:rPr>
            </w:pPr>
            <w:r>
              <w:rPr>
                <w:rFonts w:ascii="Arial" w:cs="Arial" w:eastAsia="Arial" w:hAnsi="Arial"/>
                <w:sz w:val="18"/>
                <w:szCs w:val="18"/>
                <w:color w:val="auto"/>
              </w:rPr>
              <w:t>Estimated fair value based upon discounted expected future contractual loan cash flows,</w:t>
            </w:r>
          </w:p>
        </w:tc>
      </w:tr>
      <w:tr>
        <w:trPr>
          <w:trHeight w:val="175"/>
        </w:trPr>
        <w:tc>
          <w:tcPr>
            <w:tcW w:w="3440" w:type="dxa"/>
            <w:vAlign w:val="bottom"/>
          </w:tcPr>
          <w:p>
            <w:pPr>
              <w:spacing w:after="0"/>
              <w:rPr>
                <w:sz w:val="15"/>
                <w:szCs w:val="15"/>
                <w:color w:val="auto"/>
              </w:rPr>
            </w:pPr>
          </w:p>
        </w:tc>
        <w:tc>
          <w:tcPr>
            <w:tcW w:w="7800" w:type="dxa"/>
            <w:vAlign w:val="bottom"/>
          </w:tcPr>
          <w:p>
            <w:pPr>
              <w:ind w:left="300"/>
              <w:spacing w:after="0" w:line="176" w:lineRule="exact"/>
              <w:rPr>
                <w:sz w:val="20"/>
                <w:szCs w:val="20"/>
                <w:color w:val="auto"/>
              </w:rPr>
            </w:pPr>
            <w:r>
              <w:rPr>
                <w:rFonts w:ascii="Arial" w:cs="Arial" w:eastAsia="Arial" w:hAnsi="Arial"/>
                <w:sz w:val="18"/>
                <w:szCs w:val="18"/>
                <w:color w:val="auto"/>
              </w:rPr>
              <w:t>incorporating assumptions of scheduled principal and interest collections; prepayment and</w:t>
            </w:r>
          </w:p>
        </w:tc>
      </w:tr>
      <w:tr>
        <w:trPr>
          <w:trHeight w:val="241"/>
        </w:trPr>
        <w:tc>
          <w:tcPr>
            <w:tcW w:w="3440" w:type="dxa"/>
            <w:vAlign w:val="bottom"/>
          </w:tcPr>
          <w:p>
            <w:pPr>
              <w:spacing w:after="0"/>
              <w:rPr>
                <w:sz w:val="20"/>
                <w:szCs w:val="20"/>
                <w:color w:val="auto"/>
              </w:rPr>
            </w:pPr>
          </w:p>
        </w:tc>
        <w:tc>
          <w:tcPr>
            <w:tcW w:w="7800" w:type="dxa"/>
            <w:vAlign w:val="bottom"/>
          </w:tcPr>
          <w:p>
            <w:pPr>
              <w:ind w:left="300"/>
              <w:spacing w:after="0"/>
              <w:rPr>
                <w:sz w:val="20"/>
                <w:szCs w:val="20"/>
                <w:color w:val="auto"/>
              </w:rPr>
            </w:pPr>
            <w:r>
              <w:rPr>
                <w:rFonts w:ascii="Arial" w:cs="Arial" w:eastAsia="Arial" w:hAnsi="Arial"/>
                <w:sz w:val="18"/>
                <w:szCs w:val="18"/>
                <w:color w:val="auto"/>
              </w:rPr>
              <w:t>default rates; and debt-to-income and loan-to-value ratios</w:t>
            </w:r>
          </w:p>
        </w:tc>
      </w:tr>
      <w:tr>
        <w:trPr>
          <w:trHeight w:val="178"/>
        </w:trPr>
        <w:tc>
          <w:tcPr>
            <w:tcW w:w="3440" w:type="dxa"/>
            <w:vAlign w:val="bottom"/>
            <w:shd w:val="clear" w:color="auto" w:fill="CCEEFF"/>
          </w:tcPr>
          <w:p>
            <w:pPr>
              <w:ind w:left="980"/>
              <w:spacing w:after="0" w:line="177" w:lineRule="exact"/>
              <w:rPr>
                <w:sz w:val="20"/>
                <w:szCs w:val="20"/>
                <w:color w:val="auto"/>
              </w:rPr>
            </w:pPr>
            <w:r>
              <w:rPr>
                <w:rFonts w:ascii="Arial" w:cs="Arial" w:eastAsia="Arial" w:hAnsi="Arial"/>
                <w:sz w:val="18"/>
                <w:szCs w:val="18"/>
                <w:color w:val="auto"/>
              </w:rPr>
              <w:t>Loan servicing asset</w:t>
            </w:r>
          </w:p>
        </w:tc>
        <w:tc>
          <w:tcPr>
            <w:tcW w:w="7800" w:type="dxa"/>
            <w:vAlign w:val="bottom"/>
            <w:shd w:val="clear" w:color="auto" w:fill="CCEEFF"/>
          </w:tcPr>
          <w:p>
            <w:pPr>
              <w:ind w:left="300"/>
              <w:spacing w:after="0" w:line="177" w:lineRule="exact"/>
              <w:rPr>
                <w:sz w:val="20"/>
                <w:szCs w:val="20"/>
                <w:color w:val="auto"/>
              </w:rPr>
            </w:pPr>
            <w:r>
              <w:rPr>
                <w:rFonts w:ascii="Arial" w:cs="Arial" w:eastAsia="Arial" w:hAnsi="Arial"/>
                <w:sz w:val="18"/>
                <w:szCs w:val="18"/>
                <w:color w:val="auto"/>
              </w:rPr>
              <w:t>Estimated fair value based upon discounted expected future cash flows arising from the</w:t>
            </w:r>
          </w:p>
        </w:tc>
      </w:tr>
      <w:tr>
        <w:trPr>
          <w:trHeight w:val="175"/>
        </w:trPr>
        <w:tc>
          <w:tcPr>
            <w:tcW w:w="3440" w:type="dxa"/>
            <w:vAlign w:val="bottom"/>
            <w:shd w:val="clear" w:color="auto" w:fill="CCEEFF"/>
          </w:tcPr>
          <w:p>
            <w:pPr>
              <w:spacing w:after="0"/>
              <w:rPr>
                <w:sz w:val="15"/>
                <w:szCs w:val="15"/>
                <w:color w:val="auto"/>
              </w:rPr>
            </w:pPr>
          </w:p>
        </w:tc>
        <w:tc>
          <w:tcPr>
            <w:tcW w:w="780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market fees earned to service underlying similar loans, net of market servicing costs, of the</w:t>
            </w:r>
          </w:p>
        </w:tc>
      </w:tr>
      <w:tr>
        <w:trPr>
          <w:trHeight w:val="184"/>
        </w:trPr>
        <w:tc>
          <w:tcPr>
            <w:tcW w:w="3440" w:type="dxa"/>
            <w:vAlign w:val="bottom"/>
            <w:shd w:val="clear" w:color="auto" w:fill="CCEEFF"/>
          </w:tcPr>
          <w:p>
            <w:pPr>
              <w:spacing w:after="0"/>
              <w:rPr>
                <w:sz w:val="15"/>
                <w:szCs w:val="15"/>
                <w:color w:val="auto"/>
              </w:rPr>
            </w:pPr>
          </w:p>
        </w:tc>
        <w:tc>
          <w:tcPr>
            <w:tcW w:w="7800" w:type="dxa"/>
            <w:vAlign w:val="bottom"/>
            <w:shd w:val="clear" w:color="auto" w:fill="CCEEFF"/>
          </w:tcPr>
          <w:p>
            <w:pPr>
              <w:ind w:left="300"/>
              <w:spacing w:after="0" w:line="183" w:lineRule="exact"/>
              <w:rPr>
                <w:sz w:val="20"/>
                <w:szCs w:val="20"/>
                <w:color w:val="auto"/>
              </w:rPr>
            </w:pPr>
            <w:r>
              <w:rPr>
                <w:rFonts w:ascii="Arial" w:cs="Arial" w:eastAsia="Arial" w:hAnsi="Arial"/>
                <w:sz w:val="18"/>
                <w:szCs w:val="18"/>
                <w:color w:val="auto"/>
              </w:rPr>
              <w:t>forecasted loan balances, incorporating scheduled principal and interest collections as well as</w:t>
            </w:r>
          </w:p>
        </w:tc>
      </w:tr>
      <w:tr>
        <w:trPr>
          <w:trHeight w:val="235"/>
        </w:trPr>
        <w:tc>
          <w:tcPr>
            <w:tcW w:w="3440" w:type="dxa"/>
            <w:vAlign w:val="bottom"/>
            <w:shd w:val="clear" w:color="auto" w:fill="CCEEFF"/>
          </w:tcPr>
          <w:p>
            <w:pPr>
              <w:spacing w:after="0"/>
              <w:rPr>
                <w:sz w:val="20"/>
                <w:szCs w:val="20"/>
                <w:color w:val="auto"/>
              </w:rPr>
            </w:pPr>
          </w:p>
        </w:tc>
        <w:tc>
          <w:tcPr>
            <w:tcW w:w="7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prepayment and default rates.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240"/>
          </w:cols>
          <w:pgMar w:left="320" w:top="229" w:right="339" w:bottom="1440" w:gutter="0" w:footer="0" w:header="0"/>
        </w:sectPr>
      </w:pPr>
    </w:p>
    <w:bookmarkStart w:id="315" w:name="page316"/>
    <w:bookmarkEnd w:id="315"/>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Significant Inputs </w:t>
      </w:r>
      <w:r>
        <w:rPr>
          <w:rFonts w:ascii="Arial" w:cs="Arial" w:eastAsia="Arial" w:hAnsi="Arial"/>
          <w:sz w:val="18"/>
          <w:szCs w:val="18"/>
          <w:color w:val="auto"/>
        </w:rPr>
        <w:t>— For the assets and liabilities measurements above, the Company uses the following significant inputs:</w:t>
      </w:r>
    </w:p>
    <w:p>
      <w:pPr>
        <w:spacing w:after="0" w:line="171" w:lineRule="exact"/>
        <w:rPr>
          <w:sz w:val="20"/>
          <w:szCs w:val="20"/>
          <w:color w:val="auto"/>
        </w:rPr>
      </w:pPr>
    </w:p>
    <w:p>
      <w:pPr>
        <w:ind w:left="660" w:hanging="328"/>
        <w:spacing w:after="0" w:line="287" w:lineRule="auto"/>
        <w:tabs>
          <w:tab w:leader="none" w:pos="655"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 xml:space="preserve">Conditional Prepayment Rate </w:t>
      </w:r>
      <w:r>
        <w:rPr>
          <w:rFonts w:ascii="Arial" w:cs="Arial" w:eastAsia="Arial" w:hAnsi="Arial"/>
          <w:sz w:val="18"/>
          <w:szCs w:val="18"/>
          <w:color w:val="auto"/>
        </w:rPr>
        <w:t>(“CPR”) — The percentage per annum of a pool of loans expected to voluntarily repay principal in</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of scheduled, contractual payment terms based on available market data for similar loan types and prepayment statuses.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 xml:space="preserve">Constant Default Rate (“CDR”) </w:t>
      </w:r>
      <w:r>
        <w:rPr>
          <w:rFonts w:ascii="Arial" w:cs="Arial" w:eastAsia="Arial" w:hAnsi="Arial"/>
          <w:sz w:val="18"/>
          <w:szCs w:val="18"/>
          <w:color w:val="auto"/>
        </w:rPr>
        <w:t>— The percentage per annum of a pool of loans expected to experience delinquency of greater than</w:t>
      </w:r>
      <w:r>
        <w:rPr>
          <w:rFonts w:ascii="Arial" w:cs="Arial" w:eastAsia="Arial" w:hAnsi="Arial"/>
          <w:sz w:val="18"/>
          <w:szCs w:val="18"/>
          <w:i w:val="1"/>
          <w:iCs w:val="1"/>
          <w:color w:val="auto"/>
        </w:rPr>
        <w:t xml:space="preserve"> </w:t>
      </w:r>
      <w:r>
        <w:rPr>
          <w:rFonts w:ascii="Arial" w:cs="Arial" w:eastAsia="Arial" w:hAnsi="Arial"/>
          <w:sz w:val="18"/>
          <w:szCs w:val="18"/>
          <w:color w:val="auto"/>
        </w:rPr>
        <w:t>90 days based on available market data for similar loan types and delinquency statuses.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 xml:space="preserve">Servicing Rates </w:t>
      </w:r>
      <w:r>
        <w:rPr>
          <w:rFonts w:ascii="Arial" w:cs="Arial" w:eastAsia="Arial" w:hAnsi="Arial"/>
          <w:sz w:val="18"/>
          <w:szCs w:val="18"/>
          <w:color w:val="auto"/>
        </w:rPr>
        <w:t>— Servicing rates used by the Company are based on available market data for similar loan types and delinquency</w:t>
      </w:r>
      <w:r>
        <w:rPr>
          <w:rFonts w:ascii="Arial" w:cs="Arial" w:eastAsia="Arial" w:hAnsi="Arial"/>
          <w:sz w:val="18"/>
          <w:szCs w:val="18"/>
          <w:i w:val="1"/>
          <w:iCs w:val="1"/>
          <w:color w:val="auto"/>
        </w:rPr>
        <w:t xml:space="preserve"> </w:t>
      </w:r>
      <w:r>
        <w:rPr>
          <w:rFonts w:ascii="Arial" w:cs="Arial" w:eastAsia="Arial" w:hAnsi="Arial"/>
          <w:sz w:val="18"/>
          <w:szCs w:val="18"/>
          <w:color w:val="auto"/>
        </w:rPr>
        <w:t>statuses.</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 xml:space="preserve">Discount Rate </w:t>
      </w:r>
      <w:r>
        <w:rPr>
          <w:rFonts w:ascii="Arial" w:cs="Arial" w:eastAsia="Arial" w:hAnsi="Arial"/>
          <w:sz w:val="18"/>
          <w:szCs w:val="18"/>
          <w:color w:val="auto"/>
        </w:rPr>
        <w:t>— Expected future cash flows are discounted at a rate derived from market data for similar financial instruments or</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collateral.</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Fair Value Option </w:t>
      </w:r>
      <w:r>
        <w:rPr>
          <w:rFonts w:ascii="Arial" w:cs="Arial" w:eastAsia="Arial" w:hAnsi="Arial"/>
          <w:sz w:val="18"/>
          <w:szCs w:val="18"/>
          <w:color w:val="auto"/>
        </w:rPr>
        <w:t>— The fair value option provides the Company with an irrevocable option to elect fair value as an alternative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measurement for selected financial instruments upon initial recognition of an asset or liability, which the Company is then required to carry at fair value and reflect changes thereon in net income. The Company elected the fair value option for marketable securities, including retained security interests, and loans as management believes incorporating current market conditions in the carrying value of these financial instruments provide better information regarding the Company's economic exposure to these assets.</w:t>
      </w:r>
    </w:p>
    <w:p>
      <w:pPr>
        <w:spacing w:after="0" w:line="1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Valuation Process — On a quarterly basis, with assistance from an independent valuation firm, management estimates the fair value of the Company’s Level 3 assets and liabilities. The Company’s determination of fair value is based upon the best information available for a given circumstance and may incorporate assumptions that are management’s best estimates after consideration of a variety of internal and external factors. When an independent valuation firm expresses an opinion on the fair value of an asset or liability in the form of a range, management selects a value within the range provided by the independent valuation firm to assess the reasonableness of management’s estimated fair value for that asset or liability. At December 31, 2024, the Company’s valuation process for Level 3 measurements, as described below, was conducted internally or by an independent valuation firm and reviewed by management:</w:t>
      </w:r>
    </w:p>
    <w:p>
      <w:pPr>
        <w:spacing w:after="0" w:line="129" w:lineRule="exact"/>
        <w:rPr>
          <w:sz w:val="20"/>
          <w:szCs w:val="20"/>
          <w:color w:val="auto"/>
        </w:rPr>
      </w:pPr>
    </w:p>
    <w:p>
      <w:pPr>
        <w:jc w:val="both"/>
        <w:ind w:left="660" w:hanging="328"/>
        <w:spacing w:after="0" w:line="262" w:lineRule="auto"/>
        <w:tabs>
          <w:tab w:leader="none" w:pos="655"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 xml:space="preserve">Marketable Securities — Residual Securities Interests </w:t>
      </w:r>
      <w:r>
        <w:rPr>
          <w:rFonts w:ascii="Arial" w:cs="Arial" w:eastAsia="Arial" w:hAnsi="Arial"/>
          <w:sz w:val="18"/>
          <w:szCs w:val="18"/>
          <w:color w:val="auto"/>
        </w:rPr>
        <w:t>— Management generally classifies the Company's investments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residual interests of securitizations collateralized by loans as Level 3 assets in the fair value hierarchy as such assets lack sufficient observable market activity to classify as Level 2. The Company also holds marketable securities in certain securitizations with recent similar transactions in active markets to derive the fair value of those securities as Level 2 assets.</w:t>
      </w:r>
    </w:p>
    <w:p>
      <w:pPr>
        <w:spacing w:after="0" w:line="12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 Management generally considers the Company's loans Level 3 assets in the fair value hierarchy as such assets are illiquid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that are specific to the loan product, for which there is limited market activity. On a quarterly basis, management engages an independent valuation firm to estimate the fair value of each loan categorized as a Level 3 asset. The Company also classifies certain personal and mortgage loans as a Level 2 asset.</w:t>
      </w:r>
    </w:p>
    <w:p>
      <w:pPr>
        <w:spacing w:after="0" w:line="122"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 xml:space="preserve">Loan Servicing Asset </w:t>
      </w:r>
      <w:r>
        <w:rPr>
          <w:rFonts w:ascii="Arial" w:cs="Arial" w:eastAsia="Arial" w:hAnsi="Arial"/>
          <w:sz w:val="18"/>
          <w:szCs w:val="18"/>
          <w:color w:val="auto"/>
        </w:rPr>
        <w:t>— Management generally considers the Company's servicing assets Level 3 assets in the fair value hierarchy</w:t>
      </w:r>
      <w:r>
        <w:rPr>
          <w:rFonts w:ascii="Arial" w:cs="Arial" w:eastAsia="Arial" w:hAnsi="Arial"/>
          <w:sz w:val="18"/>
          <w:szCs w:val="18"/>
          <w:i w:val="1"/>
          <w:iCs w:val="1"/>
          <w:color w:val="auto"/>
        </w:rPr>
        <w:t xml:space="preserve"> </w:t>
      </w:r>
      <w:r>
        <w:rPr>
          <w:rFonts w:ascii="Arial" w:cs="Arial" w:eastAsia="Arial" w:hAnsi="Arial"/>
          <w:sz w:val="18"/>
          <w:szCs w:val="18"/>
          <w:color w:val="auto"/>
        </w:rPr>
        <w:t>as such assets are illiquid contracts that are specific to the loan pool serviced. Servicing fees earned and costs incurred are derived from various loan types and are adjusted for the loans the Company services.</w:t>
      </w:r>
    </w:p>
    <w:p>
      <w:pPr>
        <w:spacing w:after="0" w:line="11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 xml:space="preserve">Other Valuation Matters </w:t>
      </w:r>
      <w:r>
        <w:rPr>
          <w:rFonts w:ascii="Arial" w:cs="Arial" w:eastAsia="Arial" w:hAnsi="Arial"/>
          <w:sz w:val="18"/>
          <w:szCs w:val="18"/>
          <w:color w:val="auto"/>
        </w:rPr>
        <w:t>— For Level 3 assets acquired and liabilities assumed during the calendar month immediately preceding a</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 that were conducted in an orderly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240"/>
          </w:cols>
          <w:pgMar w:left="320" w:top="229" w:right="339" w:bottom="1440" w:gutter="0" w:footer="0" w:header="0"/>
        </w:sectPr>
      </w:pPr>
    </w:p>
    <w:bookmarkStart w:id="316" w:name="page317"/>
    <w:bookmarkEnd w:id="316"/>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transaction with an unrelated party, management generally believes that the transaction price provides the most observable indication of fair value given the illiquid nature of these assets or liabilities, unless management is aware of any circumstances that may cause a material change in the fair value through the remainder of the reporting period. For instance, significant changes in a counterparty’s intent or ability to make payments on a financial asset may cause material changes in the fair value of that financial asset.</w:t>
      </w:r>
    </w:p>
    <w:p>
      <w:pPr>
        <w:spacing w:after="0" w:line="125" w:lineRule="exact"/>
        <w:rPr>
          <w:sz w:val="20"/>
          <w:szCs w:val="20"/>
          <w:color w:val="auto"/>
        </w:rPr>
      </w:pPr>
    </w:p>
    <w:p>
      <w:pPr>
        <w:ind w:right="2160" w:firstLine="324"/>
        <w:spacing w:after="0" w:line="438" w:lineRule="auto"/>
        <w:rPr>
          <w:sz w:val="20"/>
          <w:szCs w:val="20"/>
          <w:color w:val="auto"/>
        </w:rPr>
      </w:pPr>
      <w:r>
        <w:rPr>
          <w:rFonts w:ascii="Arial" w:cs="Arial" w:eastAsia="Arial" w:hAnsi="Arial"/>
          <w:sz w:val="18"/>
          <w:szCs w:val="18"/>
          <w:color w:val="auto"/>
        </w:rPr>
        <w:t xml:space="preserve">See Note 11 for additional information regarding the valuation of the Company's financial assets and liabilities. </w:t>
      </w:r>
      <w:r>
        <w:rPr>
          <w:rFonts w:ascii="Arial" w:cs="Arial" w:eastAsia="Arial" w:hAnsi="Arial"/>
          <w:sz w:val="18"/>
          <w:szCs w:val="18"/>
          <w:b w:val="1"/>
          <w:bCs w:val="1"/>
          <w:color w:val="auto"/>
        </w:rPr>
        <w:t>Transfers and Servicing</w:t>
      </w:r>
    </w:p>
    <w:p>
      <w:pPr>
        <w:spacing w:after="0" w:line="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 situations where the Company is the transferor of financial assets to an entity it does not consolidate, the Company assesses whether the transfer of the underlying assets would qualify for sale accounting or should be accounted for as secured borrowing.</w:t>
      </w:r>
    </w:p>
    <w:p>
      <w:pPr>
        <w:spacing w:after="0" w:line="9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special purpose entity (“SPE”) is an entity designed to fulfill a specific limited need of the company that organized it. SPEs are often used to facilitate transactions that involve securitizing financial assets or resecuritizing previously securitized financial assets. The objective of such transactions may include obtaining non-recourse financing, obtaining liquidity, or refinancing the underlying securitized financial assets on improved terms. Securitization involves transferring assets to an SPE to convert all or a portion of those assets into cash before they would have been realized in the normal course of business through the SPE’s issuance of debt or equity instruments. Investors in an SPE usually have recourse only to the assets in the SPE and, depending on the overall structure of the transaction, may benefit from various forms of credit enhancement, such as over-collateralization in the form of excess assets in the SPE, priority with respect to receipt of cash flows relative to holders of other debt or equity instruments issued by the SPE, or a line of credit or other form of liquidity agreement that is designed with the objective of ensuring that investors receive principal and/or interest cash flow on the investment in accordance with the terms of their investment agreement. The Company securitizes loans if such financing is available.</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may periodically enter into transactions in which it transfers assets to a third party. Upon a transfer of financial assets, the Company may retain or acquire subordinated interests in the related assets. In such circumstances, the Company determines whether it has surrendered control over the transferred financial assets, considering its continuing involvement in the transferred financial asset through arrangements or agreements made contemporaneously with, or in contemplation of, the transfer.</w:t>
      </w:r>
    </w:p>
    <w:p>
      <w:pPr>
        <w:spacing w:after="0" w:line="1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If the Company surrenders control of the financial assets, including legal isolation of the financial asset and ability of the transferee to pledge or exchange the transferred assets without constraint, the Company accounts for the transfer as a sale and (a) recognizes the financial and servicing assets it acquired or retained and the liabilities it has incurred, (b) derecognizes financial assets it has sold and liabilities extinguished, (c) recognizes a gain (loss) for the fair value of servicing assets (liabilities) obtained as “Gain on sale of loans, net” in the Combined Consolidated Statements of Operations, and (d) recognizes a realized gain or loss for the difference between the cash proceeds from the sale of loans and the carrying value of the loans sold as “Gain on servicing asset, net” in the Combined Consolidated Statements of Operations.</w:t>
      </w:r>
    </w:p>
    <w:p>
      <w:pPr>
        <w:spacing w:after="0" w:line="1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If the Company has not transferred the entire original financial asset to an entity that is not consolidated and/or when the transferor has continuing involvement with the transferred financial asset that precludes treating the transfer as a sale, the Company retains the financial assets with a related secured borrowing liability for the collateral pledged and does not recognize any gain or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recognizes right-of-use assets and lease liabilities at the commencement date of the lease based on the present value of remaining fixed and determinable lease payments over the lease term. The Company calculates the present value of future payments by using an estimated incremental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240"/>
          </w:cols>
          <w:pgMar w:left="320" w:top="229" w:right="339" w:bottom="1440" w:gutter="0" w:footer="0" w:header="0"/>
        </w:sectPr>
      </w:pPr>
    </w:p>
    <w:bookmarkStart w:id="317" w:name="page318"/>
    <w:bookmarkEnd w:id="317"/>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 rate, which approximates the rate at which the Company would borrow on a secured basis and over a similar term, and recognizes lease expense for operating leases on a straight-line basis over the lease term. Right-of-use (“ROU”) assets represent the Company’s right to control the use of an identified asset for the lease term and lease liabilities represent the Company’s obligation to make lease payments arising from the lease. The Company uses the incremental borrowing rate on the commencement date in determining the present value of the lease payments.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enters into long and short treasury note futures contracts to manage its interest rate risk and, from time to time, enhance investment returns. The Company’s derivatives are recorded as either assets or liabilities in the Combined Consolidated Balance Sheets and measured at fair value. The Company’s derivative financial instrument contracts are not designated as accounting hedges under GAAP; accordingly, all changes in fair value are recognized in earnings. The Company estimates the fair value of its derivative instruments as described in Note 11 of these combined financial statements.</w:t>
      </w:r>
    </w:p>
    <w:p>
      <w:pPr>
        <w:spacing w:after="0" w:line="1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recorded $0.3 million of aggregate net realized and unrealized gains (losses) for derivative assets and liabilities within Gain on Sale of Loans, Net in the Combined Consolidated Statements of Operations for the years ended December 31, 2024. The Company did not have any outstanding futures contracts during the year ended December 31, 2023. The Company recorded the following derivative assets and liabilities within Other Assets in the Combined Balance Sheets at December 31, 2024 and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197"/>
        </w:trPr>
        <w:tc>
          <w:tcPr>
            <w:tcW w:w="6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Notional</w:t>
            </w:r>
          </w:p>
        </w:tc>
        <w:tc>
          <w:tcPr>
            <w:tcW w:w="380" w:type="dxa"/>
            <w:vAlign w:val="bottom"/>
          </w:tcPr>
          <w:p>
            <w:pPr>
              <w:spacing w:after="0"/>
              <w:rPr>
                <w:sz w:val="17"/>
                <w:szCs w:val="17"/>
                <w:color w:val="auto"/>
              </w:rPr>
            </w:pPr>
          </w:p>
        </w:tc>
        <w:tc>
          <w:tcPr>
            <w:tcW w:w="1180" w:type="dxa"/>
            <w:vAlign w:val="bottom"/>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539"/>
              <w:spacing w:after="0"/>
              <w:rPr>
                <w:sz w:val="20"/>
                <w:szCs w:val="20"/>
                <w:color w:val="auto"/>
              </w:rPr>
            </w:pPr>
            <w:r>
              <w:rPr>
                <w:rFonts w:ascii="Arial" w:cs="Arial" w:eastAsia="Arial" w:hAnsi="Arial"/>
                <w:sz w:val="14"/>
                <w:szCs w:val="14"/>
                <w:b w:val="1"/>
                <w:bCs w:val="1"/>
                <w:color w:val="auto"/>
              </w:rPr>
              <w:t>2023</w:t>
            </w:r>
          </w:p>
        </w:tc>
      </w:tr>
      <w:tr>
        <w:trPr>
          <w:trHeight w:val="211"/>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Other Assets</w:t>
            </w: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311"/>
        </w:trPr>
        <w:tc>
          <w:tcPr>
            <w:tcW w:w="6320" w:type="dxa"/>
            <w:vAlign w:val="bottom"/>
          </w:tcPr>
          <w:p>
            <w:pPr>
              <w:ind w:left="240"/>
              <w:spacing w:after="0"/>
              <w:rPr>
                <w:sz w:val="20"/>
                <w:szCs w:val="20"/>
                <w:color w:val="auto"/>
              </w:rPr>
            </w:pPr>
            <w:r>
              <w:rPr>
                <w:rFonts w:ascii="Arial" w:cs="Arial" w:eastAsia="Arial" w:hAnsi="Arial"/>
                <w:sz w:val="18"/>
                <w:szCs w:val="18"/>
                <w:color w:val="auto"/>
              </w:rPr>
              <w:t>Treasury note futures</w:t>
            </w:r>
            <w:r>
              <w:rPr>
                <w:rFonts w:ascii="Arial" w:cs="Arial" w:eastAsia="Arial" w:hAnsi="Arial"/>
                <w:sz w:val="23"/>
                <w:szCs w:val="23"/>
                <w:color w:val="auto"/>
                <w:vertAlign w:val="superscript"/>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rPr>
          <w:sz w:val="20"/>
          <w:szCs w:val="20"/>
          <w:color w:val="auto"/>
        </w:rPr>
      </w:pPr>
      <w:r>
        <w:rPr>
          <w:rFonts w:ascii="Arial" w:cs="Arial" w:eastAsia="Arial" w:hAnsi="Arial"/>
          <w:sz w:val="16"/>
          <w:szCs w:val="16"/>
          <w:color w:val="auto"/>
        </w:rPr>
        <w:t>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 No activity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240"/>
          </w:cols>
          <w:pgMar w:left="320" w:top="229" w:right="339" w:bottom="1440" w:gutter="0" w:footer="0" w:header="0"/>
        </w:sectPr>
      </w:pPr>
    </w:p>
    <w:bookmarkStart w:id="318" w:name="page319"/>
    <w:bookmarkEnd w:id="318"/>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Measurement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considers all highly liquid short-term investments with maturities less than 90 days when purchased to be cash equivalents, primarily money market funds. Substantially all amounts on deposit with federally insured financial institutions exceed insured limits. Restricted cash represents cash held on behalf of third parties, primarily principal and interest collected on behalf of loan investors as part of the Company’s servicing operations, held in restricted accounts.</w:t>
      </w:r>
    </w:p>
    <w:p>
      <w:pPr>
        <w:spacing w:after="0" w:line="12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on the Combined Consolidated Balance Sheets to the total of the same amounts shown in the Combined Consolidated Statements of Cash Flows: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116,548</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57,777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59,232</w:t>
            </w:r>
          </w:p>
        </w:tc>
      </w:tr>
      <w:tr>
        <w:trPr>
          <w:trHeight w:val="248"/>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cash and cash equivalents and restricted cash</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175,780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Marketable Securities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securitization of loans the Company originates or purchases in transactions that qualify as sales, the Company is required to retain a certain portion of the securitization trusts into which the loans are sold in the form of debt securities and/ or beneficial or other interests to satisfy risk retention regulations. In each case, the Company elected the fair value option, where applicable, for the securities and other interests acquired at time of sale, and carries those securities and other interests at their fair value, with realized and unrealized changes in fair value recorded as components of Gain on Sale of Loans, Net in the Combined Consolidated Statements of Operations, resulting in a total increase of $1.1 million and total decrease of $2.9 million for the years ended December 31, 2024 and 2023.</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Digital assets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Company holds digital assets for sale, measured at fair value, with changes in fair value recognized in Other Income (Expense), Net in the Combined Consolidated Statements of Operations.</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Realized gains and losses on disposition of digital assets held for sale are recognized on a first-in-first-out basis that are influenced by the volume and mix of digital assets received and used as well as the timing of the digital asset turnover. Cash flows from digital assets held for sale are recorded as Investing Activity in the Combined Consolidated Statements of Cash Flows.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Also, the Company holds digital assets held as collateral against personal loans that the Company originates. Recognized customer assets and liabilities comprise customer custodial funds and corresponding customer custodial liabilities that represent the Company’s obligation to return these assets to the customers. Digital asset collateral is recognized if the Company obtains control of the collateral. The Company does not use customer digital assets held as collateral for any loan, margin, rehypothecation, or other similar activities to which the Company or its affiliates are a party, without the customer’s consent.</w:t>
      </w:r>
    </w:p>
    <w:p>
      <w:pPr>
        <w:spacing w:after="0" w:line="1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holds digital assets supported by blockchain network protocols that verify new blocks of data through a consensus mechanism known as Proof of Stake (“PoS”). In PoS, digital asset holders are selected to participate in network functions, such as verifying new blocks, based on the relative percentage of assets they have placed at stake. By performing these functions, new digital assets are created and awarded to those performing the function (“Staking Awards”). Staking Awards are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40"/>
          </w:cols>
          <w:pgMar w:left="320" w:top="229" w:right="339" w:bottom="1440" w:gutter="0" w:footer="0" w:header="0"/>
        </w:sectPr>
      </w:pPr>
    </w:p>
    <w:bookmarkStart w:id="319" w:name="page320"/>
    <w:bookmarkEnd w:id="319"/>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an accrual basis generally when earned and available for use and are reported separately as Other Income in the Combined Consolidated Statements of Operations.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3 and 11 for additional information regarding the Company's investments and valuation, respectively.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Servicing Rights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Servicing rights represent the contractual right to service the loan that the Company either originates and sells or purchases and sells. Upon loan sale, the Company fair values servicing rights held and recognizes a servicing asset, with realized and unrealized changes in fair value recorded as components of Gain on Servicing Asset, Net in the Combined Consolidated Statements of Operations. Realized gains (losses) on servicing rights represent the excess (deficient) expected benefits of servicing that are greater (less) than market compensation for servicing obligations, based on the estimated fair value of servicing rights retained. Servicing rights are aggregated into pools as applicable; each pool of servicing rights is accounted for in the aggregate as a servicing asset.</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After the sale of loans the Company services, the Company recognizes the monthly contractual servicing fees it earns, gross of subservicing fees paid to a third party subservicer, based upon the unpaid principal balance ("UPB") of the underlying loans as revenue, presented as Servicing Fees in the Combined Consolidated Statements of Operations.</w:t>
      </w:r>
    </w:p>
    <w:p>
      <w:pPr>
        <w:spacing w:after="0" w:line="117" w:lineRule="exact"/>
        <w:rPr>
          <w:sz w:val="20"/>
          <w:szCs w:val="20"/>
          <w:color w:val="auto"/>
        </w:rPr>
      </w:pPr>
    </w:p>
    <w:p>
      <w:pPr>
        <w:ind w:left="340" w:right="1800"/>
        <w:spacing w:after="0" w:line="438" w:lineRule="auto"/>
        <w:rPr>
          <w:sz w:val="20"/>
          <w:szCs w:val="20"/>
          <w:color w:val="auto"/>
        </w:rPr>
      </w:pPr>
      <w:r>
        <w:rPr>
          <w:rFonts w:ascii="Arial" w:cs="Arial" w:eastAsia="Arial" w:hAnsi="Arial"/>
          <w:sz w:val="18"/>
          <w:szCs w:val="18"/>
          <w:color w:val="auto"/>
        </w:rPr>
        <w:t xml:space="preserve">See Notes 4 and 11 for additional information regarding the Company's servicing rights and valuation, respectively. </w:t>
      </w:r>
      <w:r>
        <w:rPr>
          <w:rFonts w:ascii="Arial" w:cs="Arial" w:eastAsia="Arial" w:hAnsi="Arial"/>
          <w:sz w:val="18"/>
          <w:szCs w:val="18"/>
          <w:b w:val="1"/>
          <w:bCs w:val="1"/>
          <w:i w:val="1"/>
          <w:iCs w:val="1"/>
          <w:color w:val="auto"/>
        </w:rPr>
        <w:t>Loans</w:t>
      </w:r>
    </w:p>
    <w:p>
      <w:pPr>
        <w:spacing w:after="0" w:line="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Company's loan portfolio primarily consists of originated or purchased HELOC loans classified as either held-for-investment when management has the intent and ability to hold such loans for the foreseeable future, until maturity, or until repayment or held for sale when management intends to sell the loans. Upon origination or purchase, the Company elected the fair value option for all loans and carries those loans at their fair value, with realized and unrealized changes in fair value recorded as components of Gain on sale of loans, net in the Combined Consolidated Statements of Operations, resulting in a net gain of $16.5 million and a net loss of $3.3 million for the years ended December 31, 2024 and 2023. The Company recognizes loan discounts, if any, on the loans it originates as Origination Fees in the Combined Consolidated Statements of Operations at time of origination.</w:t>
      </w:r>
    </w:p>
    <w:p>
      <w:pPr>
        <w:spacing w:after="0" w:line="1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See Notes 5 and 11 for additional information regarding the Company's loans and valuation, respectively, and see Note 9 for information regarding the Company’s commitments and obligations related to loans the Company holds and sells.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Debt</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primarily finances its operations using (a) warehouse credit facilities secured by the loans it originates or acquires ("Funding Debt"), (b) repurchase agreements for the securities it retains upon securitization of those loans, excluding residual interests therein ("Retained Interest Repurchase Agreement"), and (c) a promissory note under which the Company pledges certain eligible loan servicing rights, net of expected costs ("MSR Note").</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of these borrowing arrangements are treated as collateralized financing transactions and carried at their contractual amounts, excluding accrued interest, as specified in the respective agreements. The carrying amount of the Company’s secured financing agreements and warehouse credit facilities approximates fair value as they are either short-term and/or mark-to-market facilities. The Company pledges certain securities, loans or other assets as collateral under secured financing agreements and warehouse credit facilities with financial institutions, the terms and conditions of which are governed by each respective lender agreement. The amounts available to be borrowed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40"/>
          </w:cols>
          <w:pgMar w:left="320" w:top="229" w:right="339" w:bottom="1440" w:gutter="0" w:footer="0" w:header="0"/>
        </w:sectPr>
      </w:pPr>
    </w:p>
    <w:bookmarkStart w:id="320" w:name="page321"/>
    <w:bookmarkEnd w:id="320"/>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repurchase agreements and warehouse credit facilities are dependent upon the fair value of the securities, or unpaid principal balance of loans pledged as collateral, which can fluctuate with changes in interest rates, type of security and liquidity conditions within the banking, mortgage finance and real estate industries.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capitalizes and amortizes deferred debt facility costs incurred when entering financing agreements on a straight-line basis over the expected term of term facilities or weighted-average life of the expected principal repayments for revolving credit facilities. The Company recognizes amortization of deferred debt facility costs, as well as deferred amounts written off and contractual interest and fees owed as incurred, as interest expense in its Combined Consolidated Statements of Operations, which does not materially differ from the effective interest method applied to such facilities.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for additional information regarding the Company's debt.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Assets and Liabilities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At December 31, 2024 and 2023, (a) Other current assets primarily included prepaid expenses and distressed asset claims and (b) Other non-current assets primarily included right-of-use lease assets, internally developed software and investments. At December 31, 2024 and 2023, Other current liabilities included digital asset collateral repayment obligations, loan indemnification reserve, and other payables.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3 and 11 for further information on the digital asset collateral repayment obligation.</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During the year ended December 31, 2024, the Company expensed $5.0 million of costs it capitalized as other assets in anticipation of raising capital once the Company determined that it was unlikely such costs would provide future benefit.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Recognition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Company’s revenues are substantially comprised of ecosystem and technology fees, loan originations and sales, including interest income earned thereon, and loan servicing.</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Ecosystem Fees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provides certain loan originators access to its custom-built marketplace platform to facilitate the origination, buying, and selling of standardized assets originated through its loan origination system in exchange for fees to use its technology for such loan originations. The provision of continuous stand-ready access to this platform is the Company’s only performance obligation. Accordingly, the performance obligation is satisfied when each loan is originated. Loan originators can access the platform until their status is terminated via written notice by either the loan originator or the Company.</w:t>
      </w:r>
    </w:p>
    <w:p>
      <w:pPr>
        <w:spacing w:after="0" w:line="1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elected to use the as-invoiced practical expedient to recognize revenue associated with this cancellable subscription as the invoiced amount directly corresponds to the value of the Company’s performance obligation to the Company’s partners completed to date since the platform no longer provides any further utility to the partner, on a per loan basis, after loan origination.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Technology Fees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earns volume-based technology and processing fees, based on the principal balance of each loan originated, from certain loan originators using the Technology Offering, access to which represents the Company’s sole performance obligation that is satisfied upon each loan transaction as well as a fulfillment fee associated with the execution of loan sales. The Technology Offering enables partners, who are retail and wholesale lenders, to originate loans branded under each partner’s name through access to a suite of services such as loan application submission and verification, risk underwriting, and electronic loan offer and documentation delivery for borrower execution.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240"/>
          </w:cols>
          <w:pgMar w:left="320" w:top="229" w:right="339" w:bottom="1440" w:gutter="0" w:footer="0" w:header="0"/>
        </w:sectPr>
      </w:pPr>
    </w:p>
    <w:bookmarkStart w:id="321" w:name="page322"/>
    <w:bookmarkEnd w:id="321"/>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bills a fixed amount for each loan originated and generally bills associated fees on a monthly basis with customary payment terms. As such, the Company’s contracts with customers do not include a significant financing component.</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Company recognizes both ecosystem and technology fees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At the Company’s discretion and subject to its right of first refusal, the Company may purchase loans originated using its Technology Offering and account for such purchases in accordance with ASC 680, classified as Loans held for sale, at fair value in the Combined Consolidated Balance Sheets as the Company intends to resell these loans to third-party loan investors while retaining servicing rights.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Program Fees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 xml:space="preserve">The Company earns a fee for arranging and facilitating the transfer of financials assets through the securitization of HELOCs, which are accounted for under ASC 860, </w:t>
      </w:r>
      <w:r>
        <w:rPr>
          <w:rFonts w:ascii="Arial" w:cs="Arial" w:eastAsia="Arial" w:hAnsi="Arial"/>
          <w:sz w:val="18"/>
          <w:szCs w:val="18"/>
          <w:i w:val="1"/>
          <w:iCs w:val="1"/>
          <w:color w:val="auto"/>
        </w:rPr>
        <w:t>Transfers and Servicing</w:t>
      </w:r>
      <w:r>
        <w:rPr>
          <w:rFonts w:ascii="Arial" w:cs="Arial" w:eastAsia="Arial" w:hAnsi="Arial"/>
          <w:sz w:val="18"/>
          <w:szCs w:val="18"/>
          <w:color w:val="auto"/>
        </w:rPr>
        <w:t>. This fee is based on the outstanding principal balance of the transferred HELOCs and is fully earned on the securitization closing date. Program fees are paid by the trust upon closing.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Ecosystem and technology fees in the Combined Consolidated Statements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Borders>
              <w:bottom w:val="single" w:sz="8" w:color="auto"/>
            </w:tcBorders>
          </w:tcPr>
          <w:p>
            <w:pPr>
              <w:spacing w:after="0"/>
              <w:rPr>
                <w:sz w:val="17"/>
                <w:szCs w:val="17"/>
                <w:color w:val="auto"/>
              </w:rPr>
            </w:pPr>
          </w:p>
        </w:tc>
      </w:tr>
      <w:tr>
        <w:trPr>
          <w:trHeight w:val="196"/>
        </w:trPr>
        <w:tc>
          <w:tcPr>
            <w:tcW w:w="75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2023</w:t>
            </w:r>
          </w:p>
        </w:tc>
      </w:tr>
      <w:tr>
        <w:trPr>
          <w:trHeight w:val="211"/>
        </w:trPr>
        <w:tc>
          <w:tcPr>
            <w:tcW w:w="7500" w:type="dxa"/>
            <w:vAlign w:val="bottom"/>
            <w:shd w:val="clear" w:color="auto" w:fill="CCEEFF"/>
          </w:tcPr>
          <w:p>
            <w:pPr>
              <w:ind w:left="20"/>
              <w:spacing w:after="0" w:line="211" w:lineRule="exact"/>
              <w:rPr>
                <w:sz w:val="20"/>
                <w:szCs w:val="20"/>
                <w:color w:val="auto"/>
              </w:rPr>
            </w:pPr>
            <w:r>
              <w:rPr>
                <w:rFonts w:ascii="Arial" w:cs="Arial" w:eastAsia="Arial" w:hAnsi="Arial"/>
                <w:sz w:val="18"/>
                <w:szCs w:val="18"/>
                <w:b w:val="1"/>
                <w:bCs w:val="1"/>
                <w:color w:val="auto"/>
              </w:rPr>
              <w:t>Ecosystem and technology fees</w:t>
            </w:r>
            <w:r>
              <w:rPr>
                <w:rFonts w:ascii="Arial" w:cs="Arial" w:eastAsia="Arial" w:hAnsi="Arial"/>
                <w:sz w:val="23"/>
                <w:szCs w:val="23"/>
                <w:b w:val="1"/>
                <w:bCs w:val="1"/>
                <w:color w:val="auto"/>
                <w:vertAlign w:val="superscript"/>
              </w:rPr>
              <w:t>(A)</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7500" w:type="dxa"/>
            <w:vAlign w:val="bottom"/>
          </w:tcPr>
          <w:p>
            <w:pPr>
              <w:ind w:left="240"/>
              <w:spacing w:after="0"/>
              <w:rPr>
                <w:sz w:val="20"/>
                <w:szCs w:val="20"/>
                <w:color w:val="auto"/>
              </w:rPr>
            </w:pPr>
            <w:r>
              <w:rPr>
                <w:rFonts w:ascii="Arial" w:cs="Arial" w:eastAsia="Arial" w:hAnsi="Arial"/>
                <w:sz w:val="18"/>
                <w:szCs w:val="18"/>
                <w:color w:val="auto"/>
              </w:rPr>
              <w:t>Ecosystem and technology fees accounted for under ASC 606:</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7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Technology offering fees</w:t>
            </w: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w:t>
            </w:r>
          </w:p>
        </w:tc>
      </w:tr>
      <w:tr>
        <w:trPr>
          <w:trHeight w:val="230"/>
        </w:trPr>
        <w:tc>
          <w:tcPr>
            <w:tcW w:w="75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Ecosystem fees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ecosystem and technology fees (ASC 606)</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w:t>
            </w:r>
          </w:p>
        </w:tc>
      </w:tr>
      <w:tr>
        <w:trPr>
          <w:trHeight w:val="230"/>
        </w:trPr>
        <w:tc>
          <w:tcPr>
            <w:tcW w:w="7500" w:type="dxa"/>
            <w:vAlign w:val="bottom"/>
          </w:tcPr>
          <w:p>
            <w:pPr>
              <w:ind w:left="240"/>
              <w:spacing w:after="0"/>
              <w:rPr>
                <w:sz w:val="20"/>
                <w:szCs w:val="20"/>
                <w:color w:val="auto"/>
              </w:rPr>
            </w:pPr>
            <w:r>
              <w:rPr>
                <w:rFonts w:ascii="Arial" w:cs="Arial" w:eastAsia="Arial" w:hAnsi="Arial"/>
                <w:sz w:val="18"/>
                <w:szCs w:val="18"/>
                <w:color w:val="auto"/>
              </w:rPr>
              <w:t>Other fees (not in scope of ASC 606):</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7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Program fees</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23"/>
        </w:trPr>
        <w:tc>
          <w:tcPr>
            <w:tcW w:w="75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fees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r>
      <w:tr>
        <w:trPr>
          <w:trHeight w:val="248"/>
        </w:trPr>
        <w:tc>
          <w:tcPr>
            <w:tcW w:w="7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 ecosystem and technology fees</w:t>
            </w: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28,314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10,628</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Ecosystem and technology fees include fees that are accounted for under ASC 606, as well as Program fees that are not in the scope of ASC 606.</w:t>
      </w:r>
    </w:p>
    <w:p>
      <w:pPr>
        <w:spacing w:after="0" w:line="1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u w:val="single" w:color="auto"/>
          <w:color w:val="auto"/>
        </w:rPr>
        <w:t>Interest Income</w:t>
      </w:r>
    </w:p>
    <w:p>
      <w:pPr>
        <w:spacing w:after="0" w:line="17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Company earns interest income primarily from three sources:</w:t>
      </w:r>
    </w:p>
    <w:p>
      <w:pPr>
        <w:spacing w:after="0" w:line="171" w:lineRule="exact"/>
        <w:rPr>
          <w:rFonts w:ascii="Arial" w:cs="Arial" w:eastAsia="Arial" w:hAnsi="Arial"/>
          <w:sz w:val="16"/>
          <w:szCs w:val="16"/>
          <w:color w:val="auto"/>
        </w:rPr>
      </w:pPr>
    </w:p>
    <w:p>
      <w:pPr>
        <w:jc w:val="both"/>
        <w:ind w:left="660" w:hanging="328"/>
        <w:spacing w:after="0" w:line="255" w:lineRule="auto"/>
        <w:tabs>
          <w:tab w:leader="none" w:pos="655"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Loans</w:t>
      </w:r>
      <w:r>
        <w:rPr>
          <w:rFonts w:ascii="Arial" w:cs="Arial" w:eastAsia="Arial" w:hAnsi="Arial"/>
          <w:sz w:val="18"/>
          <w:szCs w:val="18"/>
          <w:color w:val="auto"/>
        </w:rPr>
        <w:t xml:space="preserve"> — The Company accrues interest income on loans it holds based on the UPB outstanding at contractual interest rates, reported as Interest income on the Combined Consolidated Statements of Operations. Loans are placed on nonaccrual status when they become 90 days past due (30 days past due for collateralized personal loans) or when management doubts full recovery of interest and principal. Loans are considered past due when contractually required principal or interest payments have not been made on the due dates. When a loan is placed on nonaccrual status, the accrued and unpaid interest is reversed as a reduction of interest income and accrued interest receivable. Interest income is subsequently recognized only to the extent cash payments are received or when the loan has been placed back in accrual status. Loans are restored to accrual status when the loan becomes current and management expects repayment of the remaining contractual principal and interest. The Company also recognizes cash received on non-accrual loans as interest income after all contractual principal repaid or expects collection of the remaining UPB.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240"/>
          </w:cols>
          <w:pgMar w:left="320" w:top="229" w:right="339" w:bottom="1440" w:gutter="0" w:footer="0" w:header="0"/>
        </w:sectPr>
      </w:pPr>
    </w:p>
    <w:bookmarkStart w:id="322" w:name="page323"/>
    <w:bookmarkEnd w:id="322"/>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660" w:hanging="328"/>
        <w:spacing w:after="0" w:line="254"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Marketable Securities</w:t>
      </w:r>
      <w:r>
        <w:rPr>
          <w:rFonts w:ascii="Arial" w:cs="Arial" w:eastAsia="Arial" w:hAnsi="Arial"/>
          <w:sz w:val="18"/>
          <w:szCs w:val="18"/>
          <w:color w:val="auto"/>
        </w:rPr>
        <w:t xml:space="preserve"> — The Company recognizes interest income on debt securities where the Company expects to collect all contractual cash flows, and the debt security cannot be contractually prepaid in such a way that the Company would not recover substantially all of its recorded investment, based on the stated coupon rate and the outstanding principal amount of the debt security. The Company recognizes interest income on beneficial interests based on the investment’s accretable yield, which represents the difference between the expected undiscounted cash flows and the carrying value of the investment. The Company recognizes the accretable yield as interest income on a prospective level yield basis over the life of the expected cash flows. Changes in the amount or timing of actual or expected cash flows may change the accretable yield, and the Company adjusts interest income recognized in future periods using a recalculated level yield applied to the then-current carrying value. Increases (decreases) in the amount of cash flows or acceleration (deceleration) of cash flows, in isolation, generally increase (decrease) the interest income recognized in future periods.</w:t>
      </w:r>
    </w:p>
    <w:p>
      <w:pPr>
        <w:spacing w:after="0" w:line="13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xml:space="preserve"> — The Company accrues interest income monthly for cash held at depository institutions and investments in short-term instruments such as money-market funds.</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Refer to “— Loans” for a discussion of revenues recognized as Origination fees and Gain on sale of loans, net, and refer to “— Servicing” for a discussion of revenue recognized as Servicing fees and Gain on servicing asset, net, respectively, in the Combined Consolidated Statements of Operations.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Expense Recognition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Operating Costs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Company presents stock-based compensation, software licenses, and other operational expenses within the following functional groups based on the headcount allocable to each group and the specific operation of each group:</w:t>
      </w:r>
    </w:p>
    <w:p>
      <w:pPr>
        <w:spacing w:after="0" w:line="99" w:lineRule="exact"/>
        <w:rPr>
          <w:sz w:val="20"/>
          <w:szCs w:val="20"/>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 Corporate activities not allocable to the other groups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Technology and product development </w:t>
      </w:r>
      <w:r>
        <w:rPr>
          <w:rFonts w:ascii="Arial" w:cs="Arial" w:eastAsia="Arial" w:hAnsi="Arial"/>
          <w:sz w:val="18"/>
          <w:szCs w:val="18"/>
          <w:color w:val="auto"/>
        </w:rPr>
        <w:t>— Development and maintenance of the Technology Offering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Operations and processing </w:t>
      </w:r>
      <w:r>
        <w:rPr>
          <w:rFonts w:ascii="Arial" w:cs="Arial" w:eastAsia="Arial" w:hAnsi="Arial"/>
          <w:sz w:val="18"/>
          <w:szCs w:val="18"/>
          <w:color w:val="auto"/>
        </w:rPr>
        <w:t>— Loan underwriting, origination, and servicing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 Advertising, marketing, and sales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Stock-Based Compensation</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issues stock options and restricted stock awards (“RSAs”) to employees and non-employees, including directors and third-party service providers. Stock options are initially measured at fair value at the date of grant using the Black-Scholes option-pricing model. RSAs are measured at the fair market value of our common stock at the grant date. Stock-based compensation expenses for options and RSAs are recognized based on their respective grant-date fair values. For awards that include a performance-based vesting requirement, the Company would recognize expense when it is probable that the performance-based condition is satisfied and the award has satisfied other vesting conditions, if any. The Company expenses the estimated fair value of awards on the date of grant on a straight-line basis over the requisite service period, or immediately if there is no service period, for awards that only require time-based vesting requirements. The Company elects to account for forfeitures as they occur.</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the Company granted warrants to a preferred shareholder in exchange for software license and other services.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7 for additional information regarding the Company’s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240"/>
          </w:cols>
          <w:pgMar w:left="320" w:top="229" w:right="339" w:bottom="1440" w:gutter="0" w:footer="0" w:header="0"/>
        </w:sectPr>
      </w:pPr>
    </w:p>
    <w:bookmarkStart w:id="323" w:name="page324"/>
    <w:bookmarkEnd w:id="323"/>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Software Costs</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incurs costs associated with the development, maintenance, purchase, and licensing of software. The Company expenses costs to maintain software, preliminary stage costs incurred before development commences, and other costs required by GAAP, presented as operating costs, aggregated by most closely associated functional group, in the Combined Consolidated Statements of Operations. The Company capitalizes remaining costs permitted by GAAP, including costs associated with substantively new software functionality for internal use and technologically feasible software for external use that the Company evaluates for impairment at least quarterly. Once internally-developed software is substantively complete and ready for intended use or upon release of software for external use, the Company amortizes capitalized costs over the estimated useful lives on a straight-line basis within Technology and product development expense in the Combined Consolidated Statements of Operations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80" w:type="dxa"/>
            <w:vAlign w:val="bottom"/>
          </w:tcPr>
          <w:p>
            <w:pPr>
              <w:spacing w:after="0"/>
              <w:rPr>
                <w:sz w:val="17"/>
                <w:szCs w:val="17"/>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Estimated Useful Life</w:t>
            </w: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197"/>
        </w:trPr>
        <w:tc>
          <w:tcPr>
            <w:tcW w:w="6080" w:type="dxa"/>
            <w:vAlign w:val="bottom"/>
          </w:tcPr>
          <w:p>
            <w:pPr>
              <w:spacing w:after="0"/>
              <w:rPr>
                <w:sz w:val="17"/>
                <w:szCs w:val="17"/>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c>
          <w:tcPr>
            <w:tcW w:w="380" w:type="dxa"/>
            <w:vAlign w:val="bottom"/>
          </w:tcPr>
          <w:p>
            <w:pPr>
              <w:spacing w:after="0"/>
              <w:rPr>
                <w:sz w:val="17"/>
                <w:szCs w:val="17"/>
                <w:color w:val="auto"/>
              </w:rPr>
            </w:pPr>
          </w:p>
        </w:tc>
        <w:tc>
          <w:tcPr>
            <w:tcW w:w="1200" w:type="dxa"/>
            <w:vAlign w:val="bottom"/>
          </w:tcPr>
          <w:p>
            <w:pPr>
              <w:jc w:val="right"/>
              <w:ind w:right="537"/>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535"/>
              <w:spacing w:after="0"/>
              <w:rPr>
                <w:sz w:val="20"/>
                <w:szCs w:val="20"/>
                <w:color w:val="auto"/>
              </w:rPr>
            </w:pPr>
            <w:r>
              <w:rPr>
                <w:rFonts w:ascii="Arial" w:cs="Arial" w:eastAsia="Arial" w:hAnsi="Arial"/>
                <w:sz w:val="14"/>
                <w:szCs w:val="14"/>
                <w:b w:val="1"/>
                <w:bCs w:val="1"/>
                <w:color w:val="auto"/>
              </w:rPr>
              <w:t>2023</w:t>
            </w:r>
          </w:p>
        </w:tc>
      </w:tr>
      <w:tr>
        <w:trPr>
          <w:trHeight w:val="223"/>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center"/>
              <w:ind w:left="417"/>
              <w:spacing w:after="0"/>
              <w:rPr>
                <w:sz w:val="20"/>
                <w:szCs w:val="20"/>
                <w:color w:val="auto"/>
              </w:rPr>
            </w:pPr>
            <w:r>
              <w:rPr>
                <w:rFonts w:ascii="Arial" w:cs="Arial" w:eastAsia="Arial" w:hAnsi="Arial"/>
                <w:sz w:val="18"/>
                <w:szCs w:val="18"/>
                <w:color w:val="auto"/>
                <w:w w:val="98"/>
              </w:rPr>
              <w:t>80,664</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center"/>
              <w:ind w:left="275"/>
              <w:spacing w:after="0"/>
              <w:rPr>
                <w:sz w:val="20"/>
                <w:szCs w:val="20"/>
                <w:color w:val="auto"/>
              </w:rPr>
            </w:pPr>
            <w:r>
              <w:rPr>
                <w:rFonts w:ascii="Arial" w:cs="Arial" w:eastAsia="Arial" w:hAnsi="Arial"/>
                <w:sz w:val="18"/>
                <w:szCs w:val="18"/>
                <w:color w:val="auto"/>
                <w:w w:val="98"/>
              </w:rPr>
              <w:t>80,901</w:t>
            </w:r>
          </w:p>
        </w:tc>
      </w:tr>
      <w:tr>
        <w:trPr>
          <w:trHeight w:val="229"/>
        </w:trPr>
        <w:tc>
          <w:tcPr>
            <w:tcW w:w="60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Accumulated amortization</w:t>
            </w:r>
            <w:r>
              <w:rPr>
                <w:rFonts w:ascii="Arial" w:cs="Arial" w:eastAsia="Arial" w:hAnsi="Arial"/>
                <w:sz w:val="23"/>
                <w:szCs w:val="23"/>
                <w:color w:val="auto"/>
                <w:vertAlign w:val="superscript"/>
              </w:rPr>
              <w:t>(A)</w:t>
            </w:r>
          </w:p>
        </w:tc>
        <w:tc>
          <w:tcPr>
            <w:tcW w:w="1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397"/>
              <w:spacing w:after="0"/>
              <w:rPr>
                <w:sz w:val="20"/>
                <w:szCs w:val="20"/>
                <w:color w:val="auto"/>
              </w:rPr>
            </w:pPr>
            <w:r>
              <w:rPr>
                <w:rFonts w:ascii="Arial" w:cs="Arial" w:eastAsia="Arial" w:hAnsi="Arial"/>
                <w:sz w:val="18"/>
                <w:szCs w:val="18"/>
                <w:color w:val="auto"/>
              </w:rPr>
              <w:t>(57,503)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255"/>
              <w:spacing w:after="0"/>
              <w:rPr>
                <w:sz w:val="20"/>
                <w:szCs w:val="20"/>
                <w:color w:val="auto"/>
              </w:rPr>
            </w:pPr>
            <w:r>
              <w:rPr>
                <w:rFonts w:ascii="Arial" w:cs="Arial" w:eastAsia="Arial" w:hAnsi="Arial"/>
                <w:sz w:val="18"/>
                <w:szCs w:val="18"/>
                <w:color w:val="auto"/>
              </w:rPr>
              <w:t>(50,622)</w:t>
            </w:r>
          </w:p>
        </w:tc>
      </w:tr>
      <w:tr>
        <w:trPr>
          <w:trHeight w:val="248"/>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417"/>
              <w:spacing w:after="0"/>
              <w:rPr>
                <w:sz w:val="20"/>
                <w:szCs w:val="20"/>
                <w:color w:val="auto"/>
              </w:rPr>
            </w:pPr>
            <w:r>
              <w:rPr>
                <w:rFonts w:ascii="Arial" w:cs="Arial" w:eastAsia="Arial" w:hAnsi="Arial"/>
                <w:sz w:val="18"/>
                <w:szCs w:val="18"/>
                <w:color w:val="auto"/>
                <w:w w:val="98"/>
              </w:rPr>
              <w:t>23,161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center"/>
              <w:ind w:left="275"/>
              <w:spacing w:after="0"/>
              <w:rPr>
                <w:sz w:val="20"/>
                <w:szCs w:val="20"/>
                <w:color w:val="auto"/>
              </w:rPr>
            </w:pPr>
            <w:r>
              <w:rPr>
                <w:rFonts w:ascii="Arial" w:cs="Arial" w:eastAsia="Arial" w:hAnsi="Arial"/>
                <w:sz w:val="18"/>
                <w:szCs w:val="18"/>
                <w:color w:val="auto"/>
                <w:w w:val="98"/>
              </w:rPr>
              <w:t>30,279</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right="20" w:hanging="332"/>
        <w:spacing w:after="0" w:line="265" w:lineRule="auto"/>
        <w:tabs>
          <w:tab w:leader="none" w:pos="3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Company amortized $17.1 million and $19.4 million of capitalized internally-developed software costs during the years ended December 31, 2024 and 2023.</w:t>
      </w:r>
    </w:p>
    <w:p>
      <w:pPr>
        <w:spacing w:after="0" w:line="12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year ended December 31, 2024, the Company impaired and wrote-off $6.3 million of software it developed within its Market segment that it intended to use to offer equity management services, but that the Company did not ultimately offer, as well as $2.3 million of software it purchased within its Markets segment to administer its exchange platform, but that the Company no longer planned to use as intended since the seller subsequently provided enhanced technology services that made the impaired software obsolete. Accordingly, the Company recognized an aggregate impairment of $8.6 million in Other Income (Expense), Net in the Combined Consolidated Statements of Operations in connection with this software.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Operational Costs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stock-based compensation and software costs, the Company primarily incurs costs related to salaries and bonuses of its employees that it accrues on a quarterly basis, or annually for bonuses based on annual service requirements, as well as costs it expenses as incurred, including advertising and promotion; loan underwriting, origination, and servicing; legal, audit, and other professional services; rent, and other general and administrative costs. Sales and marketing costs, including marketing services, direct mail and digital advertising campaigns are expensed as incurred. Sales and marketing costs for the years ended December 31, 2024 and 2023 was $55.7 million and $52.8 million, respectively, which included $50.1 million and $46.5 million, respectively, of advertising expense.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For the years ended December 31, 2024 and 2023, Other income (expense), net included changes in the fair value of digital assets, gains on legal settlement, impairment of internally developed software, and other income and expenses.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accounts for income taxes under the asset and liability method. Under this method, deferred tax assets and liabilities are determined based on differences between the combined financial statement carrying amounts and tax bases of assets and liabilities and operating loss and tax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240"/>
          </w:cols>
          <w:pgMar w:left="320" w:top="229" w:right="339" w:bottom="1440" w:gutter="0" w:footer="0" w:header="0"/>
        </w:sectPr>
      </w:pPr>
    </w:p>
    <w:bookmarkStart w:id="324" w:name="page325"/>
    <w:bookmarkEnd w:id="324"/>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carryforwards, measured using the enacted tax rates that are expected to be in effect when the temporary differences reverse. The effect on deferred tax assets and liabilities of a change in tax rates is recognized in net income (loss) in the period that includes the enactment date. We evaluate the likelihood of future realization of our deferred tax assets based on all available evidence and establish a valuation allowance to reduce deferred tax assets when it is more-likely-than-not that deferred tax assets will not be realized.</w:t>
      </w:r>
    </w:p>
    <w:p>
      <w:pPr>
        <w:spacing w:after="0" w:line="1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accounts for uncertain tax positions by reporting a liability for unrecognizable tax benefits resulting from uncertain tax positions taken or expected to be taken in a tax return. The Company recognizes interest and penalties, if any, related to unrecognized tax benefits in income tax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November 2023, the FASB issued ASU 2023-07, </w:t>
      </w:r>
      <w:r>
        <w:rPr>
          <w:rFonts w:ascii="Arial" w:cs="Arial" w:eastAsia="Arial" w:hAnsi="Arial"/>
          <w:sz w:val="18"/>
          <w:szCs w:val="18"/>
          <w:i w:val="1"/>
          <w:iCs w:val="1"/>
          <w:color w:val="auto"/>
        </w:rPr>
        <w:t>Segment Reporting (Topic 280): Improvements to Reportable Segment Disclosures</w:t>
      </w:r>
      <w:r>
        <w:rPr>
          <w:rFonts w:ascii="Arial" w:cs="Arial" w:eastAsia="Arial" w:hAnsi="Arial"/>
          <w:sz w:val="18"/>
          <w:szCs w:val="18"/>
          <w:color w:val="auto"/>
        </w:rPr>
        <w:t xml:space="preserve">. The new guidance requires disclosure, on an annual and interim basis, of significant segment expenses that are regularly provided to the chief operating decision maker, and an amount for other segment items by reportable segment, with a description of its composition. In addition, the amendments enhance interim disclosure requirements and provide new segment disclosure requirements for entities with a single reportable segment. The Company adopted this guidance effective for its fiscal year 2024, with retrospective application to all prior periods presented in the financial statements and has made the required disclosures. See “— </w:t>
      </w:r>
      <w:r>
        <w:rPr>
          <w:rFonts w:ascii="Arial" w:cs="Arial" w:eastAsia="Arial" w:hAnsi="Arial"/>
          <w:sz w:val="18"/>
          <w:szCs w:val="18"/>
          <w:i w:val="1"/>
          <w:iCs w:val="1"/>
          <w:color w:val="auto"/>
        </w:rPr>
        <w:t>Segments</w:t>
      </w:r>
      <w:r>
        <w:rPr>
          <w:rFonts w:ascii="Arial" w:cs="Arial" w:eastAsia="Arial" w:hAnsi="Arial"/>
          <w:sz w:val="18"/>
          <w:szCs w:val="18"/>
          <w:color w:val="auto"/>
        </w:rPr>
        <w:t>” for these disclosures.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Digital Assets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December 2023, the FASB issued ASU 2023-08, </w:t>
      </w:r>
      <w:r>
        <w:rPr>
          <w:rFonts w:ascii="Arial" w:cs="Arial" w:eastAsia="Arial" w:hAnsi="Arial"/>
          <w:sz w:val="18"/>
          <w:szCs w:val="18"/>
          <w:i w:val="1"/>
          <w:iCs w:val="1"/>
          <w:color w:val="auto"/>
        </w:rPr>
        <w:t>Intangibles-Goodwill and Other-Crypto Assets (Subtopic 350-60): Accounting for and</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 of Crypto Assets</w:t>
      </w:r>
      <w:r>
        <w:rPr>
          <w:rFonts w:ascii="Arial" w:cs="Arial" w:eastAsia="Arial" w:hAnsi="Arial"/>
          <w:sz w:val="18"/>
          <w:szCs w:val="18"/>
          <w:color w:val="auto"/>
        </w:rPr>
        <w:t>. The new guidance provides guidance on the accounting for and disclosure of crypto assets and requires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 subsequently remeasure crypto assets at fair value in the financial statements and record gains and losses from remeasurement in the statements of operations; (ii) present crypto assets separate from other intangible assets in the balance sheets; (iii) present the gains and losses from remeasurement of crypto assets separately in the statements of operations; and (iv) provide specific disclosures for crypto assets. The Company early adopted ASU 2023-08 on January 1, 2024 on a modified retrospective basis.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 Not Yet Adopted</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Improvements to Income Tax Disclosures</w:t>
      </w:r>
    </w:p>
    <w:p>
      <w:pPr>
        <w:spacing w:after="0" w:line="129" w:lineRule="exact"/>
        <w:rPr>
          <w:sz w:val="20"/>
          <w:szCs w:val="20"/>
          <w:color w:val="auto"/>
        </w:rPr>
      </w:pPr>
    </w:p>
    <w:p>
      <w:pPr>
        <w:jc w:val="both"/>
        <w:ind w:firstLine="324"/>
        <w:spacing w:after="0" w:line="229" w:lineRule="exact"/>
        <w:rPr>
          <w:sz w:val="20"/>
          <w:szCs w:val="20"/>
          <w:color w:val="auto"/>
        </w:rPr>
      </w:pPr>
      <w:r>
        <w:rPr>
          <w:rFonts w:ascii="Arial" w:cs="Arial" w:eastAsia="Arial" w:hAnsi="Arial"/>
          <w:sz w:val="18"/>
          <w:szCs w:val="18"/>
          <w:color w:val="auto"/>
        </w:rPr>
        <w:t>In December 2023, the FASB issued ASU 2023</w:t>
      </w:r>
      <w:r>
        <w:rPr>
          <w:rFonts w:ascii="MS PGothic" w:cs="MS PGothic" w:eastAsia="MS PGothic" w:hAnsi="MS PGothic"/>
          <w:sz w:val="18"/>
          <w:szCs w:val="18"/>
          <w:color w:val="auto"/>
        </w:rPr>
        <w:t>‐</w:t>
      </w:r>
      <w:r>
        <w:rPr>
          <w:rFonts w:ascii="Arial" w:cs="Arial" w:eastAsia="Arial" w:hAnsi="Arial"/>
          <w:sz w:val="18"/>
          <w:szCs w:val="18"/>
          <w:color w:val="auto"/>
        </w:rPr>
        <w:t xml:space="preserve">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xml:space="preserve"> This new guidance requires additional disclosure with respect to specific categories in the rate reconciliation as well as require additional information for reconciling items that meet a certain quantitative threshold. The disclosure requirements will be applied on a prospective basis, with the option to apply them retrospectively. The standard is effective for annual periods beginning after December 15, 2024, with early adoption permitted. The Company is currently evaluating the impact the new standard will have on the financial statement disclosures.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Disaggregation of Income Statement Expenses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 - Reporting Comprehensive Income - 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 Disaggregation of Income Statement Expenses</w:t>
      </w:r>
      <w:r>
        <w:rPr>
          <w:rFonts w:ascii="Arial" w:cs="Arial" w:eastAsia="Arial" w:hAnsi="Arial"/>
          <w:sz w:val="18"/>
          <w:szCs w:val="18"/>
          <w:color w:val="auto"/>
        </w:rPr>
        <w:t>. The new guidance requires the disclosure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about specific costs and expense categories in the notes to financial statements. The standard is effective for annual periods beginning after December 15, 2026, and interim periods beginning after December 15, 2027, with early adoption permitted. The standard should be applied on a prospective basis with the option to apply the standard retrospectively. The Company is currently evaluating the impact of this standard on its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240"/>
          </w:cols>
          <w:pgMar w:left="320" w:top="229" w:right="339" w:bottom="1440" w:gutter="0" w:footer="0" w:header="0"/>
        </w:sectPr>
      </w:pPr>
    </w:p>
    <w:bookmarkStart w:id="325" w:name="page326"/>
    <w:bookmarkEnd w:id="325"/>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holds investments across three primary categories: marketable securities that represents the interests it is required to retain upon securitizing loans in transactions considered sales under GAAP, digital assets in the form of cryptocurrencies held for sale and held as collateral for personal loans, and investments in entities that the Company does not consolidate.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marketable securities and the underlying collateral at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December 31, 2024</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Outstanding Face</w:t>
            </w:r>
          </w:p>
        </w:tc>
        <w:tc>
          <w:tcPr>
            <w:tcW w:w="140" w:type="dxa"/>
            <w:vAlign w:val="bottom"/>
          </w:tcPr>
          <w:p>
            <w:pPr>
              <w:spacing w:after="0"/>
              <w:rPr>
                <w:sz w:val="13"/>
                <w:szCs w:val="13"/>
                <w:color w:val="auto"/>
              </w:rPr>
            </w:pPr>
          </w:p>
        </w:tc>
        <w:tc>
          <w:tcPr>
            <w:tcW w:w="154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rPr>
              <w:t>Net Fair Value</w:t>
            </w:r>
          </w:p>
        </w:tc>
        <w:tc>
          <w:tcPr>
            <w:tcW w:w="180" w:type="dxa"/>
            <w:vAlign w:val="bottom"/>
          </w:tcPr>
          <w:p>
            <w:pPr>
              <w:spacing w:after="0"/>
              <w:rPr>
                <w:sz w:val="13"/>
                <w:szCs w:val="13"/>
                <w:color w:val="auto"/>
              </w:rPr>
            </w:pPr>
          </w:p>
        </w:tc>
        <w:tc>
          <w:tcPr>
            <w:tcW w:w="14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Carrying Value</w:t>
            </w:r>
            <w:r>
              <w:rPr>
                <w:rFonts w:ascii="Arial" w:cs="Arial" w:eastAsia="Arial" w:hAnsi="Arial"/>
                <w:sz w:val="18"/>
                <w:szCs w:val="18"/>
                <w:b w:val="1"/>
                <w:bCs w:val="1"/>
                <w:color w:val="auto"/>
                <w:vertAlign w:val="superscript"/>
              </w:rPr>
              <w:t>(B)</w:t>
            </w:r>
          </w:p>
        </w:tc>
        <w:tc>
          <w:tcPr>
            <w:tcW w:w="0" w:type="dxa"/>
            <w:vAlign w:val="bottom"/>
          </w:tcPr>
          <w:p>
            <w:pPr>
              <w:spacing w:after="0"/>
              <w:rPr>
                <w:sz w:val="1"/>
                <w:szCs w:val="1"/>
                <w:color w:val="auto"/>
              </w:rPr>
            </w:pPr>
          </w:p>
        </w:tc>
      </w:tr>
      <w:tr>
        <w:trPr>
          <w:trHeight w:val="189"/>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line="189" w:lineRule="exact"/>
              <w:rPr>
                <w:sz w:val="20"/>
                <w:szCs w:val="20"/>
                <w:color w:val="auto"/>
              </w:rPr>
            </w:pPr>
            <w:r>
              <w:rPr>
                <w:rFonts w:ascii="Arial" w:cs="Arial" w:eastAsia="Arial" w:hAnsi="Arial"/>
                <w:sz w:val="14"/>
                <w:szCs w:val="14"/>
                <w:b w:val="1"/>
                <w:bCs w:val="1"/>
                <w:color w:val="auto"/>
                <w:w w:val="97"/>
              </w:rPr>
              <w:t>Amount</w:t>
            </w:r>
            <w:r>
              <w:rPr>
                <w:rFonts w:ascii="Arial" w:cs="Arial" w:eastAsia="Arial" w:hAnsi="Arial"/>
                <w:sz w:val="18"/>
                <w:szCs w:val="18"/>
                <w:b w:val="1"/>
                <w:bCs w:val="1"/>
                <w:color w:val="auto"/>
                <w:w w:val="97"/>
                <w:vertAlign w:val="superscript"/>
              </w:rPr>
              <w:t>(A)</w:t>
            </w:r>
          </w:p>
        </w:tc>
        <w:tc>
          <w:tcPr>
            <w:tcW w:w="14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Adjustment</w:t>
            </w:r>
          </w:p>
        </w:tc>
        <w:tc>
          <w:tcPr>
            <w:tcW w:w="1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Marketable securities, at fair value</w:t>
            </w: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40"/>
              <w:spacing w:after="0" w:line="230" w:lineRule="exact"/>
              <w:rPr>
                <w:sz w:val="20"/>
                <w:szCs w:val="20"/>
                <w:color w:val="auto"/>
              </w:rPr>
            </w:pPr>
            <w:r>
              <w:rPr>
                <w:rFonts w:ascii="Arial" w:cs="Arial" w:eastAsia="Arial" w:hAnsi="Arial"/>
                <w:sz w:val="18"/>
                <w:szCs w:val="18"/>
                <w:color w:val="auto"/>
              </w:rPr>
              <w:t>Investment grade debt securities</w:t>
            </w:r>
            <w:r>
              <w:rPr>
                <w:rFonts w:ascii="Arial" w:cs="Arial" w:eastAsia="Arial" w:hAnsi="Arial"/>
                <w:sz w:val="23"/>
                <w:szCs w:val="23"/>
                <w:color w:val="auto"/>
                <w:vertAlign w:val="superscript"/>
              </w:rPr>
              <w:t>(C)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121,278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121,176</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Below investment grade debt securities</w:t>
            </w:r>
            <w:r>
              <w:rPr>
                <w:rFonts w:ascii="Arial" w:cs="Arial" w:eastAsia="Arial" w:hAnsi="Arial"/>
                <w:sz w:val="23"/>
                <w:szCs w:val="23"/>
                <w:color w:val="auto"/>
                <w:vertAlign w:val="superscript"/>
              </w:rPr>
              <w:t>(D)</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Residual interest securities</w:t>
            </w:r>
            <w:r>
              <w:rPr>
                <w:rFonts w:ascii="Arial" w:cs="Arial" w:eastAsia="Arial" w:hAnsi="Arial"/>
                <w:sz w:val="23"/>
                <w:szCs w:val="23"/>
                <w:color w:val="auto"/>
                <w:vertAlign w:val="superscript"/>
              </w:rPr>
              <w:t>(E)</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34,506</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153,313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163,489</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December 31, 2023</w:t>
            </w: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Outstanding Face</w:t>
            </w:r>
          </w:p>
        </w:tc>
        <w:tc>
          <w:tcPr>
            <w:tcW w:w="140" w:type="dxa"/>
            <w:vAlign w:val="bottom"/>
          </w:tcPr>
          <w:p>
            <w:pPr>
              <w:spacing w:after="0"/>
              <w:rPr>
                <w:sz w:val="13"/>
                <w:szCs w:val="13"/>
                <w:color w:val="auto"/>
              </w:rPr>
            </w:pPr>
          </w:p>
        </w:tc>
        <w:tc>
          <w:tcPr>
            <w:tcW w:w="154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rPr>
              <w:t>Net Fair Value</w:t>
            </w:r>
          </w:p>
        </w:tc>
        <w:tc>
          <w:tcPr>
            <w:tcW w:w="180" w:type="dxa"/>
            <w:vAlign w:val="bottom"/>
          </w:tcPr>
          <w:p>
            <w:pPr>
              <w:spacing w:after="0"/>
              <w:rPr>
                <w:sz w:val="13"/>
                <w:szCs w:val="13"/>
                <w:color w:val="auto"/>
              </w:rPr>
            </w:pPr>
          </w:p>
        </w:tc>
        <w:tc>
          <w:tcPr>
            <w:tcW w:w="14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Carrying Value</w:t>
            </w:r>
            <w:r>
              <w:rPr>
                <w:rFonts w:ascii="Arial" w:cs="Arial" w:eastAsia="Arial" w:hAnsi="Arial"/>
                <w:sz w:val="18"/>
                <w:szCs w:val="18"/>
                <w:b w:val="1"/>
                <w:bCs w:val="1"/>
                <w:color w:val="auto"/>
                <w:vertAlign w:val="superscript"/>
              </w:rPr>
              <w:t>(B)</w:t>
            </w:r>
          </w:p>
        </w:tc>
        <w:tc>
          <w:tcPr>
            <w:tcW w:w="0" w:type="dxa"/>
            <w:vAlign w:val="bottom"/>
          </w:tcPr>
          <w:p>
            <w:pPr>
              <w:spacing w:after="0"/>
              <w:rPr>
                <w:sz w:val="1"/>
                <w:szCs w:val="1"/>
                <w:color w:val="auto"/>
              </w:rPr>
            </w:pPr>
          </w:p>
        </w:tc>
      </w:tr>
      <w:tr>
        <w:trPr>
          <w:trHeight w:val="189"/>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line="189" w:lineRule="exact"/>
              <w:rPr>
                <w:sz w:val="20"/>
                <w:szCs w:val="20"/>
                <w:color w:val="auto"/>
              </w:rPr>
            </w:pPr>
            <w:r>
              <w:rPr>
                <w:rFonts w:ascii="Arial" w:cs="Arial" w:eastAsia="Arial" w:hAnsi="Arial"/>
                <w:sz w:val="14"/>
                <w:szCs w:val="14"/>
                <w:b w:val="1"/>
                <w:bCs w:val="1"/>
                <w:color w:val="auto"/>
                <w:w w:val="97"/>
              </w:rPr>
              <w:t>Amount</w:t>
            </w:r>
            <w:r>
              <w:rPr>
                <w:rFonts w:ascii="Arial" w:cs="Arial" w:eastAsia="Arial" w:hAnsi="Arial"/>
                <w:sz w:val="18"/>
                <w:szCs w:val="18"/>
                <w:b w:val="1"/>
                <w:bCs w:val="1"/>
                <w:color w:val="auto"/>
                <w:w w:val="97"/>
                <w:vertAlign w:val="superscript"/>
              </w:rPr>
              <w:t>(A)</w:t>
            </w:r>
          </w:p>
        </w:tc>
        <w:tc>
          <w:tcPr>
            <w:tcW w:w="14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Adjustment</w:t>
            </w:r>
          </w:p>
        </w:tc>
        <w:tc>
          <w:tcPr>
            <w:tcW w:w="1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Marketable securities, at fair value</w:t>
            </w: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40"/>
              <w:spacing w:after="0" w:line="230" w:lineRule="exact"/>
              <w:rPr>
                <w:sz w:val="20"/>
                <w:szCs w:val="20"/>
                <w:color w:val="auto"/>
              </w:rPr>
            </w:pPr>
            <w:r>
              <w:rPr>
                <w:rFonts w:ascii="Arial" w:cs="Arial" w:eastAsia="Arial" w:hAnsi="Arial"/>
                <w:sz w:val="18"/>
                <w:szCs w:val="18"/>
                <w:color w:val="auto"/>
              </w:rPr>
              <w:t>Investment grade debt securities</w:t>
            </w:r>
            <w:r>
              <w:rPr>
                <w:rFonts w:ascii="Arial" w:cs="Arial" w:eastAsia="Arial" w:hAnsi="Arial"/>
                <w:sz w:val="23"/>
                <w:szCs w:val="23"/>
                <w:color w:val="auto"/>
                <w:vertAlign w:val="superscript"/>
              </w:rPr>
              <w:t>(C)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24,714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24,604</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Below investment grade debt securities</w:t>
            </w:r>
            <w:r>
              <w:rPr>
                <w:rFonts w:ascii="Arial" w:cs="Arial" w:eastAsia="Arial" w:hAnsi="Arial"/>
                <w:sz w:val="23"/>
                <w:szCs w:val="23"/>
                <w:color w:val="auto"/>
                <w:vertAlign w:val="superscript"/>
              </w:rPr>
              <w:t>(D)</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Residual interest securities</w:t>
            </w:r>
            <w:r>
              <w:rPr>
                <w:rFonts w:ascii="Arial" w:cs="Arial" w:eastAsia="Arial" w:hAnsi="Arial"/>
                <w:sz w:val="23"/>
                <w:szCs w:val="23"/>
                <w:color w:val="auto"/>
                <w:vertAlign w:val="superscript"/>
              </w:rPr>
              <w:t>(E)</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11,952</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37,066</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right="20" w:hanging="332"/>
        <w:spacing w:after="0" w:line="252" w:lineRule="auto"/>
        <w:tabs>
          <w:tab w:leader="none" w:pos="3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total outstanding face amount represents the aggregate face amount of the debt securities outstanding at each period end. Excludes residual interest securities and interest-only securities.</w:t>
      </w:r>
    </w:p>
    <w:p>
      <w:pPr>
        <w:spacing w:after="0" w:line="1" w:lineRule="exact"/>
        <w:rPr>
          <w:rFonts w:ascii="Arial" w:cs="Arial" w:eastAsia="Arial" w:hAnsi="Arial"/>
          <w:sz w:val="16"/>
          <w:szCs w:val="16"/>
          <w:color w:val="auto"/>
        </w:rPr>
      </w:pPr>
    </w:p>
    <w:p>
      <w:pPr>
        <w:ind w:left="340" w:right="20" w:hanging="332"/>
        <w:spacing w:after="0" w:line="255" w:lineRule="auto"/>
        <w:tabs>
          <w:tab w:leader="none" w:pos="3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Company elected the fair value option for marketable securities. Therefore, carrying value represents fair value. See Note 11 for additional information regarding the valuation of the Company's marketable securities.</w:t>
      </w:r>
    </w:p>
    <w:p>
      <w:pPr>
        <w:ind w:left="320" w:hanging="312"/>
        <w:spacing w:after="0"/>
        <w:tabs>
          <w:tab w:leader="none" w:pos="32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Represents debt securities rated A- or above by DBRS Morningstar or comparable rating by other rating agencies.</w:t>
      </w:r>
    </w:p>
    <w:p>
      <w:pPr>
        <w:spacing w:after="0" w:line="8" w:lineRule="exact"/>
        <w:rPr>
          <w:rFonts w:ascii="Arial" w:cs="Arial" w:eastAsia="Arial" w:hAnsi="Arial"/>
          <w:sz w:val="16"/>
          <w:szCs w:val="16"/>
          <w:color w:val="auto"/>
        </w:rPr>
      </w:pPr>
    </w:p>
    <w:p>
      <w:pPr>
        <w:ind w:left="320" w:hanging="312"/>
        <w:spacing w:after="0"/>
        <w:tabs>
          <w:tab w:leader="none" w:pos="32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Represents debt securities rated below A- by DBRS Morningstar or comparable rating by other rating agencies.</w:t>
      </w:r>
    </w:p>
    <w:p>
      <w:pPr>
        <w:spacing w:after="0" w:line="5"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Represents residual interests and non-rated securities in securitization that are not considered debt securities, including 15 and 4 non-rated securities with aggregate outstanding face amounts of $15.1 million and $9.9 million at December 31, 2024 and 2023, respectively, and 8 and — interest-only securities based upon aggregate outstanding principal amounts of $9.1 million and $— million at December 31, 2024 and 2023, respectively.</w:t>
      </w:r>
    </w:p>
    <w:p>
      <w:pPr>
        <w:spacing w:after="0" w:line="130"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Digital Assets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significant digital assets held by third-party custodians on behalf of the Company’s customers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and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jc w:val="right"/>
              <w:ind w:right="875"/>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December 31, 2023</w:t>
            </w:r>
          </w:p>
        </w:tc>
      </w:tr>
      <w:tr>
        <w:trPr>
          <w:trHeight w:val="197"/>
        </w:trPr>
        <w:tc>
          <w:tcPr>
            <w:tcW w:w="6320" w:type="dxa"/>
            <w:vAlign w:val="bottom"/>
          </w:tcPr>
          <w:p>
            <w:pPr>
              <w:spacing w:after="0"/>
              <w:rPr>
                <w:sz w:val="17"/>
                <w:szCs w:val="17"/>
                <w:color w:val="auto"/>
              </w:rPr>
            </w:pPr>
          </w:p>
        </w:tc>
        <w:tc>
          <w:tcPr>
            <w:tcW w:w="980" w:type="dxa"/>
            <w:vAlign w:val="bottom"/>
          </w:tcPr>
          <w:p>
            <w:pPr>
              <w:ind w:left="600"/>
              <w:spacing w:after="0"/>
              <w:rPr>
                <w:sz w:val="20"/>
                <w:szCs w:val="20"/>
                <w:color w:val="auto"/>
              </w:rPr>
            </w:pPr>
            <w:r>
              <w:rPr>
                <w:rFonts w:ascii="Arial" w:cs="Arial" w:eastAsia="Arial" w:hAnsi="Arial"/>
                <w:sz w:val="14"/>
                <w:szCs w:val="14"/>
                <w:b w:val="1"/>
                <w:bCs w:val="1"/>
                <w:color w:val="auto"/>
              </w:rPr>
              <w:t>Units</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ind w:left="140"/>
              <w:spacing w:after="0" w:line="197" w:lineRule="exact"/>
              <w:rPr>
                <w:sz w:val="20"/>
                <w:szCs w:val="20"/>
                <w:color w:val="auto"/>
              </w:rPr>
            </w:pPr>
            <w:r>
              <w:rPr>
                <w:rFonts w:ascii="Arial" w:cs="Arial" w:eastAsia="Arial" w:hAnsi="Arial"/>
                <w:sz w:val="14"/>
                <w:szCs w:val="14"/>
                <w:b w:val="1"/>
                <w:bCs w:val="1"/>
                <w:color w:val="auto"/>
              </w:rPr>
              <w:t>Fair Value</w:t>
            </w:r>
            <w:r>
              <w:rPr>
                <w:rFonts w:ascii="Arial" w:cs="Arial" w:eastAsia="Arial" w:hAnsi="Arial"/>
                <w:sz w:val="18"/>
                <w:szCs w:val="18"/>
                <w:b w:val="1"/>
                <w:bCs w:val="1"/>
                <w:color w:val="auto"/>
                <w:vertAlign w:val="superscript"/>
              </w:rPr>
              <w:t>(A)</w:t>
            </w:r>
          </w:p>
        </w:tc>
        <w:tc>
          <w:tcPr>
            <w:tcW w:w="140" w:type="dxa"/>
            <w:vAlign w:val="bottom"/>
          </w:tcPr>
          <w:p>
            <w:pPr>
              <w:spacing w:after="0"/>
              <w:rPr>
                <w:sz w:val="17"/>
                <w:szCs w:val="17"/>
                <w:color w:val="auto"/>
              </w:rPr>
            </w:pPr>
          </w:p>
        </w:tc>
        <w:tc>
          <w:tcPr>
            <w:tcW w:w="1440" w:type="dxa"/>
            <w:vAlign w:val="bottom"/>
          </w:tcPr>
          <w:p>
            <w:pPr>
              <w:jc w:val="center"/>
              <w:ind w:right="57"/>
              <w:spacing w:after="0" w:line="197" w:lineRule="exact"/>
              <w:rPr>
                <w:sz w:val="20"/>
                <w:szCs w:val="20"/>
                <w:color w:val="auto"/>
              </w:rPr>
            </w:pPr>
            <w:r>
              <w:rPr>
                <w:rFonts w:ascii="Arial" w:cs="Arial" w:eastAsia="Arial" w:hAnsi="Arial"/>
                <w:sz w:val="14"/>
                <w:szCs w:val="14"/>
                <w:b w:val="1"/>
                <w:bCs w:val="1"/>
                <w:color w:val="auto"/>
                <w:w w:val="98"/>
              </w:rPr>
              <w:t>Fair Value</w:t>
            </w:r>
            <w:r>
              <w:rPr>
                <w:rFonts w:ascii="Arial" w:cs="Arial" w:eastAsia="Arial" w:hAnsi="Arial"/>
                <w:sz w:val="18"/>
                <w:szCs w:val="18"/>
                <w:b w:val="1"/>
                <w:bCs w:val="1"/>
                <w:color w:val="auto"/>
                <w:w w:val="98"/>
                <w:vertAlign w:val="superscript"/>
              </w:rPr>
              <w:t>(A)</w:t>
            </w:r>
          </w:p>
        </w:tc>
      </w:tr>
      <w:tr>
        <w:trPr>
          <w:trHeight w:val="210"/>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Digital Assets Held as Collateral</w:t>
            </w:r>
          </w:p>
        </w:tc>
        <w:tc>
          <w:tcPr>
            <w:tcW w:w="9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7300" w:type="dxa"/>
            <w:vAlign w:val="bottom"/>
            <w:gridSpan w:val="2"/>
          </w:tcPr>
          <w:p>
            <w:pPr>
              <w:ind w:left="460"/>
              <w:spacing w:after="0"/>
              <w:rPr>
                <w:sz w:val="20"/>
                <w:szCs w:val="20"/>
                <w:color w:val="auto"/>
              </w:rPr>
            </w:pPr>
            <w:r>
              <w:rPr>
                <w:rFonts w:ascii="Arial" w:cs="Arial" w:eastAsia="Arial" w:hAnsi="Arial"/>
                <w:sz w:val="18"/>
                <w:szCs w:val="18"/>
                <w:color w:val="auto"/>
              </w:rPr>
              <w:t>Bitcoin (BTC)</w:t>
            </w:r>
          </w:p>
        </w:tc>
        <w:tc>
          <w:tcPr>
            <w:tcW w:w="600" w:type="dxa"/>
            <w:vAlign w:val="bottom"/>
          </w:tcPr>
          <w:p>
            <w:pPr>
              <w:jc w:val="right"/>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49,593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Ethereum (ETH)</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23"/>
        </w:trPr>
        <w:tc>
          <w:tcPr>
            <w:tcW w:w="7300" w:type="dxa"/>
            <w:vAlign w:val="bottom"/>
            <w:gridSpan w:val="2"/>
          </w:tcPr>
          <w:p>
            <w:pPr>
              <w:ind w:left="240"/>
              <w:spacing w:after="0" w:line="223" w:lineRule="exact"/>
              <w:rPr>
                <w:sz w:val="20"/>
                <w:szCs w:val="20"/>
                <w:color w:val="auto"/>
              </w:rPr>
            </w:pPr>
            <w:r>
              <w:rPr>
                <w:rFonts w:ascii="Arial" w:cs="Arial" w:eastAsia="Arial" w:hAnsi="Arial"/>
                <w:sz w:val="18"/>
                <w:szCs w:val="18"/>
                <w:color w:val="auto"/>
              </w:rPr>
              <w:t>Total digital assets held as collateral</w:t>
            </w:r>
            <w:r>
              <w:rPr>
                <w:rFonts w:ascii="Arial" w:cs="Arial" w:eastAsia="Arial" w:hAnsi="Arial"/>
                <w:sz w:val="23"/>
                <w:szCs w:val="23"/>
                <w:color w:val="auto"/>
                <w:vertAlign w:val="superscript"/>
              </w:rPr>
              <w:t>(B)</w:t>
            </w:r>
          </w:p>
        </w:tc>
        <w:tc>
          <w:tcPr>
            <w:tcW w:w="600" w:type="dxa"/>
            <w:vAlign w:val="bottom"/>
          </w:tcPr>
          <w:p>
            <w:pPr>
              <w:jc w:val="right"/>
              <w:spacing w:after="0"/>
              <w:rPr>
                <w:sz w:val="20"/>
                <w:szCs w:val="20"/>
                <w:color w:val="auto"/>
              </w:rPr>
            </w:pPr>
            <w:r>
              <w:rPr>
                <w:rFonts w:ascii="Arial" w:cs="Arial" w:eastAsia="Arial" w:hAnsi="Arial"/>
                <w:sz w:val="18"/>
                <w:szCs w:val="18"/>
                <w:color w:val="auto"/>
              </w:rPr>
              <w:t>4,988</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64,439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r>
      <w:tr>
        <w:trPr>
          <w:trHeight w:val="20"/>
        </w:trPr>
        <w:tc>
          <w:tcPr>
            <w:tcW w:w="6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240"/>
          </w:cols>
          <w:pgMar w:left="320" w:top="229" w:right="339" w:bottom="1440" w:gutter="0" w:footer="0" w:header="0"/>
        </w:sectPr>
      </w:pPr>
    </w:p>
    <w:bookmarkStart w:id="326" w:name="page327"/>
    <w:bookmarkEnd w:id="326"/>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line="255" w:lineRule="auto"/>
        <w:tabs>
          <w:tab w:leader="none" w:pos="34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Company records digital assets and corresponding liability for digital assets held as collateral at fair value and the Company does not consider the cost basis to be meaningful. See Note 11 for additional information regarding the valuation of these assets and liabilities.</w:t>
      </w:r>
    </w:p>
    <w:p>
      <w:pPr>
        <w:ind w:left="340" w:right="20" w:hanging="332"/>
        <w:spacing w:after="0" w:line="283" w:lineRule="auto"/>
        <w:tabs>
          <w:tab w:leader="none" w:pos="34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Company originates loans collateralized by digital assets and recorded a corresponding $64.4 million liability representing the fair value digital assets owed to the borrower in the event of loan repayment.</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significant digital assets held by the Company and by third-party custodians on behalf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Company at December 31, 2024 and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8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December 31, 2024</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December 31, 2023</w:t>
            </w:r>
          </w:p>
        </w:tc>
      </w:tr>
      <w:tr>
        <w:trPr>
          <w:trHeight w:val="197"/>
        </w:trPr>
        <w:tc>
          <w:tcPr>
            <w:tcW w:w="4680" w:type="dxa"/>
            <w:vAlign w:val="bottom"/>
          </w:tcPr>
          <w:p>
            <w:pPr>
              <w:spacing w:after="0"/>
              <w:rPr>
                <w:sz w:val="17"/>
                <w:szCs w:val="17"/>
                <w:color w:val="auto"/>
              </w:rPr>
            </w:pPr>
          </w:p>
        </w:tc>
        <w:tc>
          <w:tcPr>
            <w:tcW w:w="1660" w:type="dxa"/>
            <w:vAlign w:val="bottom"/>
            <w:gridSpan w:val="2"/>
          </w:tcPr>
          <w:p>
            <w:pPr>
              <w:ind w:left="60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7"/>
                <w:szCs w:val="17"/>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Cost Basis</w:t>
            </w:r>
          </w:p>
        </w:tc>
        <w:tc>
          <w:tcPr>
            <w:tcW w:w="240" w:type="dxa"/>
            <w:vAlign w:val="bottom"/>
          </w:tcPr>
          <w:p>
            <w:pPr>
              <w:spacing w:after="0"/>
              <w:rPr>
                <w:sz w:val="17"/>
                <w:szCs w:val="17"/>
                <w:color w:val="auto"/>
              </w:rPr>
            </w:pPr>
          </w:p>
        </w:tc>
        <w:tc>
          <w:tcPr>
            <w:tcW w:w="1420" w:type="dxa"/>
            <w:vAlign w:val="bottom"/>
            <w:gridSpan w:val="2"/>
          </w:tcPr>
          <w:p>
            <w:pPr>
              <w:ind w:left="140"/>
              <w:spacing w:after="0" w:line="197" w:lineRule="exact"/>
              <w:rPr>
                <w:sz w:val="20"/>
                <w:szCs w:val="20"/>
                <w:color w:val="auto"/>
              </w:rPr>
            </w:pPr>
            <w:r>
              <w:rPr>
                <w:rFonts w:ascii="Arial" w:cs="Arial" w:eastAsia="Arial" w:hAnsi="Arial"/>
                <w:sz w:val="14"/>
                <w:szCs w:val="14"/>
                <w:b w:val="1"/>
                <w:bCs w:val="1"/>
                <w:color w:val="auto"/>
              </w:rPr>
              <w:t>Fair Value</w:t>
            </w:r>
            <w:r>
              <w:rPr>
                <w:rFonts w:ascii="Arial" w:cs="Arial" w:eastAsia="Arial" w:hAnsi="Arial"/>
                <w:sz w:val="18"/>
                <w:szCs w:val="18"/>
                <w:b w:val="1"/>
                <w:bCs w:val="1"/>
                <w:color w:val="auto"/>
                <w:vertAlign w:val="superscript"/>
              </w:rPr>
              <w:t>(A)</w:t>
            </w:r>
          </w:p>
        </w:tc>
        <w:tc>
          <w:tcPr>
            <w:tcW w:w="140" w:type="dxa"/>
            <w:vAlign w:val="bottom"/>
          </w:tcPr>
          <w:p>
            <w:pPr>
              <w:spacing w:after="0"/>
              <w:rPr>
                <w:sz w:val="17"/>
                <w:szCs w:val="17"/>
                <w:color w:val="auto"/>
              </w:rPr>
            </w:pPr>
          </w:p>
        </w:tc>
        <w:tc>
          <w:tcPr>
            <w:tcW w:w="1440" w:type="dxa"/>
            <w:vAlign w:val="bottom"/>
          </w:tcPr>
          <w:p>
            <w:pPr>
              <w:jc w:val="right"/>
              <w:ind w:right="296"/>
              <w:spacing w:after="0" w:line="197" w:lineRule="exact"/>
              <w:rPr>
                <w:sz w:val="20"/>
                <w:szCs w:val="20"/>
                <w:color w:val="auto"/>
              </w:rPr>
            </w:pPr>
            <w:r>
              <w:rPr>
                <w:rFonts w:ascii="Arial" w:cs="Arial" w:eastAsia="Arial" w:hAnsi="Arial"/>
                <w:sz w:val="14"/>
                <w:szCs w:val="14"/>
                <w:b w:val="1"/>
                <w:bCs w:val="1"/>
                <w:color w:val="auto"/>
              </w:rPr>
              <w:t>Fair Value</w:t>
            </w:r>
            <w:r>
              <w:rPr>
                <w:rFonts w:ascii="Arial" w:cs="Arial" w:eastAsia="Arial" w:hAnsi="Arial"/>
                <w:sz w:val="18"/>
                <w:szCs w:val="18"/>
                <w:b w:val="1"/>
                <w:bCs w:val="1"/>
                <w:color w:val="auto"/>
                <w:vertAlign w:val="superscript"/>
              </w:rPr>
              <w:t>(A)</w:t>
            </w:r>
          </w:p>
        </w:tc>
      </w:tr>
      <w:tr>
        <w:trPr>
          <w:trHeight w:val="209"/>
        </w:trPr>
        <w:tc>
          <w:tcPr>
            <w:tcW w:w="468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b w:val="1"/>
                <w:bCs w:val="1"/>
                <w:color w:val="auto"/>
              </w:rPr>
              <w:t>Digital Assets Held for Sale</w:t>
            </w:r>
            <w:r>
              <w:rPr>
                <w:rFonts w:ascii="Arial" w:cs="Arial" w:eastAsia="Arial" w:hAnsi="Arial"/>
                <w:sz w:val="23"/>
                <w:szCs w:val="23"/>
                <w:b w:val="1"/>
                <w:bCs w:val="1"/>
                <w:color w:val="auto"/>
                <w:vertAlign w:val="superscript"/>
              </w:rPr>
              <w:t>(B)</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Solana (SOL)</w:t>
            </w:r>
            <w:r>
              <w:rPr>
                <w:rFonts w:ascii="Arial" w:cs="Arial" w:eastAsia="Arial" w:hAnsi="Arial"/>
                <w:sz w:val="23"/>
                <w:szCs w:val="23"/>
                <w:color w:val="auto"/>
                <w:vertAlign w:val="superscript"/>
              </w:rPr>
              <w:t>(E)</w:t>
            </w:r>
          </w:p>
        </w:tc>
        <w:tc>
          <w:tcPr>
            <w:tcW w:w="1560" w:type="dxa"/>
            <w:vAlign w:val="bottom"/>
          </w:tcPr>
          <w:p>
            <w:pPr>
              <w:jc w:val="right"/>
              <w:spacing w:after="0"/>
              <w:rPr>
                <w:sz w:val="20"/>
                <w:szCs w:val="20"/>
                <w:color w:val="auto"/>
              </w:rPr>
            </w:pPr>
            <w:r>
              <w:rPr>
                <w:rFonts w:ascii="Arial" w:cs="Arial" w:eastAsia="Arial" w:hAnsi="Arial"/>
                <w:sz w:val="18"/>
                <w:szCs w:val="18"/>
                <w:color w:val="auto"/>
              </w:rPr>
              <w:t>95,139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10,110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18,020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USD Coin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2,414,254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80" w:type="dxa"/>
            <w:vAlign w:val="bottom"/>
          </w:tcPr>
          <w:p>
            <w:pPr>
              <w:ind w:left="460"/>
              <w:spacing w:after="0" w:line="230" w:lineRule="exact"/>
              <w:rPr>
                <w:sz w:val="20"/>
                <w:szCs w:val="20"/>
                <w:color w:val="auto"/>
              </w:rPr>
            </w:pPr>
            <w:r>
              <w:rPr>
                <w:rFonts w:ascii="Arial" w:cs="Arial" w:eastAsia="Arial" w:hAnsi="Arial"/>
                <w:sz w:val="18"/>
                <w:szCs w:val="18"/>
                <w:color w:val="auto"/>
              </w:rPr>
              <w:t>Other digital assets</w:t>
            </w:r>
            <w:r>
              <w:rPr>
                <w:rFonts w:ascii="Arial" w:cs="Arial" w:eastAsia="Arial" w:hAnsi="Arial"/>
                <w:sz w:val="23"/>
                <w:szCs w:val="23"/>
                <w:color w:val="auto"/>
                <w:vertAlign w:val="superscript"/>
              </w:rPr>
              <w:t>(C)(D)</w:t>
            </w:r>
          </w:p>
        </w:tc>
        <w:tc>
          <w:tcPr>
            <w:tcW w:w="1660" w:type="dxa"/>
            <w:vAlign w:val="bottom"/>
            <w:gridSpan w:val="2"/>
          </w:tcPr>
          <w:p>
            <w:pPr>
              <w:ind w:left="960"/>
              <w:spacing w:after="0"/>
              <w:rPr>
                <w:sz w:val="20"/>
                <w:szCs w:val="20"/>
                <w:color w:val="auto"/>
              </w:rPr>
            </w:pPr>
            <w:r>
              <w:rPr>
                <w:rFonts w:ascii="Arial" w:cs="Arial" w:eastAsia="Arial" w:hAnsi="Arial"/>
                <w:sz w:val="18"/>
                <w:szCs w:val="18"/>
                <w:color w:val="auto"/>
              </w:rPr>
              <w:t>Various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5,865</w:t>
            </w:r>
          </w:p>
        </w:tc>
      </w:tr>
      <w:tr>
        <w:trPr>
          <w:trHeight w:val="248"/>
        </w:trPr>
        <w:tc>
          <w:tcPr>
            <w:tcW w:w="46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digital assets held for sale</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2,509,392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5,865</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line="252" w:lineRule="auto"/>
        <w:tabs>
          <w:tab w:leader="none" w:pos="34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Company records digital assets held for sale at fair value. See Note 11 for additional information regarding the valuation of these assets and liabilities.</w:t>
      </w:r>
    </w:p>
    <w:p>
      <w:pPr>
        <w:spacing w:after="0" w:line="1" w:lineRule="exact"/>
        <w:rPr>
          <w:rFonts w:ascii="Arial" w:cs="Arial" w:eastAsia="Arial" w:hAnsi="Arial"/>
          <w:sz w:val="16"/>
          <w:szCs w:val="16"/>
          <w:color w:val="auto"/>
        </w:rPr>
      </w:pPr>
    </w:p>
    <w:p>
      <w:pPr>
        <w:ind w:left="340" w:hanging="332"/>
        <w:spacing w:after="0" w:line="255" w:lineRule="auto"/>
        <w:tabs>
          <w:tab w:leader="none" w:pos="34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Digital assets held for sale are included in both Digital assets and Digital assets, non-current in the Combined Consolidated Balance Sheets, dependent on the nature of the underlying asset and related restrictions.</w:t>
      </w:r>
    </w:p>
    <w:p>
      <w:pPr>
        <w:ind w:left="340" w:right="20" w:hanging="332"/>
        <w:spacing w:after="0" w:line="249" w:lineRule="auto"/>
        <w:tabs>
          <w:tab w:leader="none" w:pos="33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Includes various other digital asset balances, none of which individually represented more than 5% of the carrying value of total digital assets held for sale.</w:t>
      </w:r>
    </w:p>
    <w:p>
      <w:pPr>
        <w:ind w:left="340" w:hanging="332"/>
        <w:spacing w:after="0" w:line="255" w:lineRule="auto"/>
        <w:tabs>
          <w:tab w:leader="none" w:pos="33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Includes Hash Tokens (“Hash”), a native utility token used as a medium of exchange that is maintained by an affiliated entity, which is carried at cost on the Combined Consolidated Balance Sheets. See Note 10 for additional information regarding the related party relationship.</w:t>
      </w:r>
    </w:p>
    <w:p>
      <w:pPr>
        <w:ind w:left="340" w:hanging="332"/>
        <w:spacing w:after="0" w:line="283" w:lineRule="auto"/>
        <w:tabs>
          <w:tab w:leader="none" w:pos="34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Includes 94,032 SOL that are subject to a lock-up period through January 2028. Tokens are unlocked on a monthly basis based on a contractual schedule. The locked tokens are not accessible and are staked and earn rewards during the lock up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240"/>
          </w:cols>
          <w:pgMar w:left="320" w:top="229" w:right="339" w:bottom="1440" w:gutter="0" w:footer="0" w:header="0"/>
        </w:sectPr>
      </w:pPr>
    </w:p>
    <w:bookmarkStart w:id="327" w:name="page328"/>
    <w:bookmarkEnd w:id="327"/>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activities involving the Company’s digital assets held as collateral and held for sale for the years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and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Held as Collateral</w:t>
            </w:r>
          </w:p>
        </w:tc>
        <w:tc>
          <w:tcPr>
            <w:tcW w:w="240" w:type="dxa"/>
            <w:vAlign w:val="bottom"/>
          </w:tcPr>
          <w:p>
            <w:pPr>
              <w:spacing w:after="0"/>
              <w:rPr>
                <w:sz w:val="17"/>
                <w:szCs w:val="17"/>
                <w:color w:val="auto"/>
              </w:rPr>
            </w:pPr>
          </w:p>
        </w:tc>
        <w:tc>
          <w:tcPr>
            <w:tcW w:w="1340" w:type="dxa"/>
            <w:vAlign w:val="bottom"/>
          </w:tcPr>
          <w:p>
            <w:pPr>
              <w:jc w:val="right"/>
              <w:ind w:right="251"/>
              <w:spacing w:after="0"/>
              <w:rPr>
                <w:sz w:val="20"/>
                <w:szCs w:val="20"/>
                <w:color w:val="auto"/>
              </w:rPr>
            </w:pPr>
            <w:r>
              <w:rPr>
                <w:rFonts w:ascii="Arial" w:cs="Arial" w:eastAsia="Arial" w:hAnsi="Arial"/>
                <w:sz w:val="14"/>
                <w:szCs w:val="14"/>
                <w:b w:val="1"/>
                <w:bCs w:val="1"/>
                <w:color w:val="auto"/>
              </w:rPr>
              <w:t>Held for Sale</w:t>
            </w:r>
          </w:p>
        </w:tc>
      </w:tr>
      <w:tr>
        <w:trPr>
          <w:trHeight w:val="224"/>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Purchases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817</w:t>
            </w:r>
          </w:p>
        </w:tc>
      </w:tr>
      <w:tr>
        <w:trPr>
          <w:trHeight w:val="229"/>
        </w:trPr>
        <w:tc>
          <w:tcPr>
            <w:tcW w:w="79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Gains</w:t>
            </w:r>
            <w:r>
              <w:rPr>
                <w:rFonts w:ascii="Arial" w:cs="Arial" w:eastAsia="Arial" w:hAnsi="Arial"/>
                <w:sz w:val="23"/>
                <w:szCs w:val="23"/>
                <w:color w:val="auto"/>
                <w:vertAlign w:val="superscript"/>
              </w:rPr>
              <w:t>(A)</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Collateral returned</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 of digital assets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2023</w:t>
            </w: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5,865</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Purchases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26,785</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(16,092)</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Collateral received</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72,512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Contribution from Related Party</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Distributions from Fund I</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547</w:t>
            </w:r>
          </w:p>
        </w:tc>
      </w:tr>
      <w:tr>
        <w:trPr>
          <w:trHeight w:val="229"/>
        </w:trPr>
        <w:tc>
          <w:tcPr>
            <w:tcW w:w="79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Gains</w:t>
            </w:r>
            <w:r>
              <w:rPr>
                <w:rFonts w:ascii="Arial" w:cs="Arial" w:eastAsia="Arial" w:hAnsi="Arial"/>
                <w:sz w:val="23"/>
                <w:szCs w:val="23"/>
                <w:color w:val="auto"/>
                <w:vertAlign w:val="superscript"/>
              </w:rPr>
              <w:t>(A)</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Collateral returned</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 of digital assets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7,910</w:t>
            </w:r>
          </w:p>
        </w:tc>
      </w:tr>
      <w:tr>
        <w:trPr>
          <w:trHeight w:val="248"/>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jc w:val="both"/>
        <w:ind w:left="340" w:hanging="332"/>
        <w:spacing w:after="0" w:line="264" w:lineRule="auto"/>
        <w:tabs>
          <w:tab w:leader="none" w:pos="3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Realized gains and losses incurred on the sale of digital assets held for sale are reflected in Other income (expense), net on the Combined Consolidated Statements of Operations. No realized gains or losses were recorded for digital assets held as collateral, as no sales occurred during the years ended December 31, 2024 and 2023.</w:t>
      </w:r>
    </w:p>
    <w:p>
      <w:pPr>
        <w:spacing w:after="0" w:line="11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u w:val="single" w:color="auto"/>
          <w:color w:val="auto"/>
        </w:rPr>
        <w:t>Safeguarding of Digital Assets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engages a third party to provide custodial services for digital assets, which includes holding the cryptographic key information and working to protect the digital assets from loss or theft. The third-party custodian holds digital assets as custodial assets in an account in the Company’s name for the benefit of borrowers that collateralize their loans using digital assets. The Company maintains internal recordkeeping of the collateral in the form of digital assets, including the amount and type of digital assets owned by each borrower.</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holds the following minority investments in certain entities not considered significant to the Company and recorded within Other non-current assets in the Combined Consolidated Balance Sheets with the Company’s share of net income of equity-method investees recorded as Other revenue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240"/>
          </w:cols>
          <w:pgMar w:left="320" w:top="229" w:right="339" w:bottom="1440" w:gutter="0" w:footer="0" w:header="0"/>
        </w:sectPr>
      </w:pPr>
    </w:p>
    <w:bookmarkStart w:id="328" w:name="page329"/>
    <w:bookmarkEnd w:id="328"/>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Combined Consolidated Statements of Operations. The following table presents the carrying value of these investments at December 31, 2024 and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 Method Investees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7980" w:type="dxa"/>
            <w:vAlign w:val="bottom"/>
          </w:tcPr>
          <w:p>
            <w:pPr>
              <w:ind w:left="240"/>
              <w:spacing w:after="0" w:line="230" w:lineRule="exact"/>
              <w:rPr>
                <w:sz w:val="20"/>
                <w:szCs w:val="20"/>
                <w:color w:val="auto"/>
              </w:rPr>
            </w:pPr>
            <w:r>
              <w:rPr>
                <w:rFonts w:ascii="Arial" w:cs="Arial" w:eastAsia="Arial" w:hAnsi="Arial"/>
                <w:sz w:val="18"/>
                <w:szCs w:val="18"/>
                <w:color w:val="auto"/>
              </w:rPr>
              <w:t>Domestic Solana Fund</w:t>
            </w:r>
            <w:r>
              <w:rPr>
                <w:rFonts w:ascii="Arial" w:cs="Arial" w:eastAsia="Arial" w:hAnsi="Arial"/>
                <w:sz w:val="23"/>
                <w:szCs w:val="23"/>
                <w:color w:val="auto"/>
                <w:vertAlign w:val="superscript"/>
              </w:rPr>
              <w:t>(A)</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5,748</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Reflow</w:t>
            </w:r>
            <w:r>
              <w:rPr>
                <w:rFonts w:ascii="Arial" w:cs="Arial" w:eastAsia="Arial" w:hAnsi="Arial"/>
                <w:sz w:val="23"/>
                <w:szCs w:val="23"/>
                <w:color w:val="auto"/>
                <w:vertAlign w:val="superscript"/>
              </w:rPr>
              <w:t>(B)</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23"/>
        </w:trPr>
        <w:tc>
          <w:tcPr>
            <w:tcW w:w="7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6,668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Measurement Alternative Investments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98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JAM FINTOP</w:t>
            </w:r>
            <w:r>
              <w:rPr>
                <w:rFonts w:ascii="Arial" w:cs="Arial" w:eastAsia="Arial" w:hAnsi="Arial"/>
                <w:sz w:val="23"/>
                <w:szCs w:val="23"/>
                <w:color w:val="auto"/>
                <w:vertAlign w:val="superscript"/>
              </w:rPr>
              <w:t>(C)</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Equity Investments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line="252" w:lineRule="auto"/>
        <w:tabs>
          <w:tab w:leader="none" w:pos="3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Represents a 4.8% equity interest in SOL Opportunity Fund L.P. (“Domestic Solana Fund”) as of December 31, 2024, a domestic fund that invests primarily in Solana tokens.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Represents a 17.3% interest in Reflow Services LLC (“Reflow”) at December 31, 2024 and 2023.</w:t>
      </w:r>
    </w:p>
    <w:p>
      <w:pPr>
        <w:spacing w:after="0" w:line="8" w:lineRule="exact"/>
        <w:rPr>
          <w:rFonts w:ascii="Arial" w:cs="Arial" w:eastAsia="Arial" w:hAnsi="Arial"/>
          <w:sz w:val="16"/>
          <w:szCs w:val="16"/>
          <w:color w:val="auto"/>
        </w:rPr>
      </w:pPr>
    </w:p>
    <w:p>
      <w:pPr>
        <w:ind w:left="340" w:hanging="332"/>
        <w:spacing w:after="0" w:line="283" w:lineRule="auto"/>
        <w:tabs>
          <w:tab w:leader="none" w:pos="33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Represents a 1.0% equity interest in JAM FINTOP Blockchain LP (“JAM FINTOP”) as of December 31, 2024 and 2023, an investment company domiciled in US.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SERVICING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servicing assets at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December 31, 2024</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UPB of Underlying</w:t>
            </w: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Loan Count</w:t>
            </w:r>
          </w:p>
        </w:tc>
        <w:tc>
          <w:tcPr>
            <w:tcW w:w="160" w:type="dxa"/>
            <w:vAlign w:val="bottom"/>
          </w:tcPr>
          <w:p>
            <w:pPr>
              <w:spacing w:after="0"/>
              <w:rPr>
                <w:sz w:val="12"/>
                <w:szCs w:val="12"/>
                <w:color w:val="auto"/>
              </w:rPr>
            </w:pPr>
          </w:p>
        </w:tc>
        <w:tc>
          <w:tcPr>
            <w:tcW w:w="142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Carrying Value(A)</w:t>
            </w:r>
          </w:p>
        </w:tc>
        <w:tc>
          <w:tcPr>
            <w:tcW w:w="0" w:type="dxa"/>
            <w:vAlign w:val="bottom"/>
          </w:tcPr>
          <w:p>
            <w:pPr>
              <w:spacing w:after="0"/>
              <w:rPr>
                <w:sz w:val="1"/>
                <w:szCs w:val="1"/>
                <w:color w:val="auto"/>
              </w:rPr>
            </w:pPr>
          </w:p>
        </w:tc>
      </w:tr>
      <w:tr>
        <w:trPr>
          <w:trHeight w:val="185"/>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Loans</w:t>
            </w:r>
          </w:p>
        </w:tc>
        <w:tc>
          <w:tcPr>
            <w:tcW w:w="1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HELOC loans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7,933,975</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113,413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86,465</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Mortgage loans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162,908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8,096,883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88,497</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December 31, 2023</w:t>
            </w: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6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UPB of Underlying</w:t>
            </w: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Loan Count</w:t>
            </w:r>
          </w:p>
        </w:tc>
        <w:tc>
          <w:tcPr>
            <w:tcW w:w="160" w:type="dxa"/>
            <w:vAlign w:val="bottom"/>
          </w:tcPr>
          <w:p>
            <w:pPr>
              <w:spacing w:after="0"/>
              <w:rPr>
                <w:sz w:val="12"/>
                <w:szCs w:val="12"/>
                <w:color w:val="auto"/>
              </w:rPr>
            </w:pPr>
          </w:p>
        </w:tc>
        <w:tc>
          <w:tcPr>
            <w:tcW w:w="142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Carrying Value(A)</w:t>
            </w:r>
          </w:p>
        </w:tc>
        <w:tc>
          <w:tcPr>
            <w:tcW w:w="0" w:type="dxa"/>
            <w:vAlign w:val="bottom"/>
          </w:tcPr>
          <w:p>
            <w:pPr>
              <w:spacing w:after="0"/>
              <w:rPr>
                <w:sz w:val="1"/>
                <w:szCs w:val="1"/>
                <w:color w:val="auto"/>
              </w:rPr>
            </w:pPr>
          </w:p>
        </w:tc>
      </w:tr>
      <w:tr>
        <w:trPr>
          <w:trHeight w:val="185"/>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Loans</w:t>
            </w:r>
          </w:p>
        </w:tc>
        <w:tc>
          <w:tcPr>
            <w:tcW w:w="1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HELOC loans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5,018,260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53,645</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Mortgage loans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177,339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5,195,599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55,860</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tabs>
          <w:tab w:leader="none" w:pos="3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Company records loan servicing assets at fair value. See Note 11 for additional information regarding the valuation of these assets.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5440"/>
        <w:spacing w:after="0"/>
        <w:rPr>
          <w:rFonts w:ascii="Arial" w:cs="Arial" w:eastAsia="Arial" w:hAnsi="Arial"/>
          <w:sz w:val="16"/>
          <w:szCs w:val="16"/>
          <w:color w:val="auto"/>
        </w:rPr>
      </w:pPr>
      <w:r>
        <w:rPr>
          <w:rFonts w:ascii="Arial" w:cs="Arial" w:eastAsia="Arial" w:hAnsi="Arial"/>
          <w:sz w:val="18"/>
          <w:szCs w:val="18"/>
          <w:color w:val="auto"/>
        </w:rPr>
        <w:t>F-76</w:t>
      </w:r>
    </w:p>
    <w:p>
      <w:pPr>
        <w:sectPr>
          <w:pgSz w:w="11900" w:h="16838" w:orient="portrait"/>
          <w:cols w:equalWidth="0" w:num="1">
            <w:col w:w="11240"/>
          </w:cols>
          <w:pgMar w:left="320" w:top="229" w:right="339" w:bottom="1440" w:gutter="0" w:footer="0" w:header="0"/>
        </w:sectPr>
      </w:pPr>
    </w:p>
    <w:bookmarkStart w:id="329" w:name="page330"/>
    <w:bookmarkEnd w:id="329"/>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includes a rollforward of the Company’s servicing assets for the years ended December 31, 2024 and 2023:</w:t>
      </w:r>
    </w:p>
    <w:p>
      <w:pPr>
        <w:sectPr>
          <w:pgSz w:w="11900" w:h="16838" w:orient="portrait"/>
          <w:cols w:equalWidth="0" w:num="1">
            <w:col w:w="11240"/>
          </w:cols>
          <w:pgMar w:left="320" w:top="229" w:right="339" w:bottom="1440" w:gutter="0" w:footer="0" w:header="0"/>
        </w:sect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 in fair value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460"/>
        <w:spacing w:after="0" w:line="219" w:lineRule="auto"/>
        <w:rPr>
          <w:sz w:val="20"/>
          <w:szCs w:val="20"/>
          <w:color w:val="auto"/>
        </w:rPr>
      </w:pPr>
      <w:r>
        <w:rPr>
          <w:rFonts w:ascii="Arial" w:cs="Arial" w:eastAsia="Arial" w:hAnsi="Arial"/>
          <w:sz w:val="18"/>
          <w:szCs w:val="18"/>
          <w:color w:val="auto"/>
        </w:rPr>
        <w:t>Additions</w:t>
      </w:r>
      <w:r>
        <w:rPr>
          <w:rFonts w:ascii="Arial" w:cs="Arial" w:eastAsia="Arial" w:hAnsi="Arial"/>
          <w:sz w:val="23"/>
          <w:szCs w:val="23"/>
          <w:color w:val="auto"/>
          <w:vertAlign w:val="superscript"/>
        </w:rPr>
        <w:t>(A)</w:t>
      </w:r>
    </w:p>
    <w:p>
      <w:pPr>
        <w:ind w:left="460"/>
        <w:spacing w:after="0" w:line="218" w:lineRule="auto"/>
        <w:rPr>
          <w:sz w:val="20"/>
          <w:szCs w:val="20"/>
          <w:color w:val="auto"/>
        </w:rPr>
      </w:pPr>
      <w:r>
        <w:rPr>
          <w:rFonts w:ascii="Arial" w:cs="Arial" w:eastAsia="Arial" w:hAnsi="Arial"/>
          <w:sz w:val="18"/>
          <w:szCs w:val="18"/>
          <w:color w:val="auto"/>
        </w:rPr>
        <w:t>Realization of cash flows</w:t>
      </w:r>
      <w:r>
        <w:rPr>
          <w:rFonts w:ascii="Arial" w:cs="Arial" w:eastAsia="Arial" w:hAnsi="Arial"/>
          <w:sz w:val="23"/>
          <w:szCs w:val="23"/>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Change in valuation inputs and assumptions</w:t>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impact of change to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December 31, 2023</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 in fair value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460"/>
        <w:spacing w:after="0" w:line="219" w:lineRule="auto"/>
        <w:rPr>
          <w:sz w:val="20"/>
          <w:szCs w:val="20"/>
          <w:color w:val="auto"/>
        </w:rPr>
      </w:pPr>
      <w:r>
        <w:rPr>
          <w:rFonts w:ascii="Arial" w:cs="Arial" w:eastAsia="Arial" w:hAnsi="Arial"/>
          <w:sz w:val="18"/>
          <w:szCs w:val="18"/>
          <w:color w:val="auto"/>
        </w:rPr>
        <w:t>Additions</w:t>
      </w:r>
      <w:r>
        <w:rPr>
          <w:rFonts w:ascii="Arial" w:cs="Arial" w:eastAsia="Arial" w:hAnsi="Arial"/>
          <w:sz w:val="23"/>
          <w:szCs w:val="23"/>
          <w:color w:val="auto"/>
          <w:vertAlign w:val="superscript"/>
        </w:rPr>
        <w:t>(A)</w:t>
      </w:r>
    </w:p>
    <w:p>
      <w:pPr>
        <w:ind w:left="460"/>
        <w:spacing w:after="0" w:line="218" w:lineRule="auto"/>
        <w:rPr>
          <w:sz w:val="20"/>
          <w:szCs w:val="20"/>
          <w:color w:val="auto"/>
        </w:rPr>
      </w:pPr>
      <w:r>
        <w:rPr>
          <w:rFonts w:ascii="Arial" w:cs="Arial" w:eastAsia="Arial" w:hAnsi="Arial"/>
          <w:sz w:val="18"/>
          <w:szCs w:val="18"/>
          <w:color w:val="auto"/>
        </w:rPr>
        <w:t>Realization of cash flows</w:t>
      </w:r>
      <w:r>
        <w:rPr>
          <w:rFonts w:ascii="Arial" w:cs="Arial" w:eastAsia="Arial" w:hAnsi="Arial"/>
          <w:sz w:val="23"/>
          <w:szCs w:val="23"/>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Change in valuation inputs and assumptions</w:t>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impact of change to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December 31, 2024</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tabs>
          <w:tab w:leader="none" w:pos="3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Represents the fair value of servicing rights retained upon sale of originated loans.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Based on the paydown of the underlying loans.</w:t>
      </w:r>
    </w:p>
    <w:p>
      <w:pPr>
        <w:spacing w:after="0" w:line="16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Geographic Concentration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942" w:hanging="942"/>
        <w:spacing w:after="0"/>
        <w:tabs>
          <w:tab w:leader="none" w:pos="94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33,777</w:t>
      </w:r>
    </w:p>
    <w:p>
      <w:pPr>
        <w:spacing w:after="0" w:line="252" w:lineRule="exact"/>
        <w:rPr>
          <w:rFonts w:ascii="Arial" w:cs="Arial" w:eastAsia="Arial" w:hAnsi="Arial"/>
          <w:sz w:val="18"/>
          <w:szCs w:val="18"/>
          <w:color w:val="auto"/>
        </w:rPr>
      </w:pPr>
    </w:p>
    <w:p>
      <w:pPr>
        <w:ind w:left="942"/>
        <w:spacing w:after="0"/>
        <w:rPr>
          <w:rFonts w:ascii="Arial" w:cs="Arial" w:eastAsia="Arial" w:hAnsi="Arial"/>
          <w:sz w:val="18"/>
          <w:szCs w:val="18"/>
          <w:color w:val="auto"/>
        </w:rPr>
      </w:pPr>
      <w:r>
        <w:rPr>
          <w:rFonts w:ascii="Arial" w:cs="Arial" w:eastAsia="Arial" w:hAnsi="Arial"/>
          <w:sz w:val="18"/>
          <w:szCs w:val="18"/>
          <w:color w:val="auto"/>
        </w:rPr>
        <w:t>36,386</w:t>
      </w:r>
    </w:p>
    <w:p>
      <w:pPr>
        <w:spacing w:after="0" w:line="31" w:lineRule="exact"/>
        <w:rPr>
          <w:rFonts w:ascii="Arial" w:cs="Arial" w:eastAsia="Arial" w:hAnsi="Arial"/>
          <w:sz w:val="18"/>
          <w:szCs w:val="18"/>
          <w:color w:val="auto"/>
        </w:rPr>
      </w:pPr>
    </w:p>
    <w:p>
      <w:pPr>
        <w:ind w:left="962"/>
        <w:spacing w:after="0"/>
        <w:rPr>
          <w:rFonts w:ascii="Arial" w:cs="Arial" w:eastAsia="Arial" w:hAnsi="Arial"/>
          <w:sz w:val="18"/>
          <w:szCs w:val="18"/>
          <w:color w:val="auto"/>
        </w:rPr>
      </w:pPr>
      <w:r>
        <w:rPr>
          <w:rFonts w:ascii="Arial" w:cs="Arial" w:eastAsia="Arial" w:hAnsi="Arial"/>
          <w:sz w:val="18"/>
          <w:szCs w:val="18"/>
          <w:color w:val="auto"/>
        </w:rPr>
        <w:t>(9,684)</w:t>
      </w:r>
    </w:p>
    <w:p>
      <w:pPr>
        <w:spacing w:after="0" w:line="22" w:lineRule="exact"/>
        <w:rPr>
          <w:rFonts w:ascii="Arial" w:cs="Arial" w:eastAsia="Arial" w:hAnsi="Arial"/>
          <w:sz w:val="18"/>
          <w:szCs w:val="18"/>
          <w:color w:val="auto"/>
        </w:rPr>
      </w:pPr>
    </w:p>
    <w:p>
      <w:pPr>
        <w:ind w:left="962"/>
        <w:spacing w:after="0"/>
        <w:rPr>
          <w:rFonts w:ascii="Arial" w:cs="Arial" w:eastAsia="Arial" w:hAnsi="Arial"/>
          <w:sz w:val="18"/>
          <w:szCs w:val="18"/>
          <w:color w:val="auto"/>
        </w:rPr>
      </w:pPr>
      <w:r>
        <w:rPr>
          <w:rFonts w:ascii="Arial" w:cs="Arial" w:eastAsia="Arial" w:hAnsi="Arial"/>
          <w:sz w:val="18"/>
          <w:szCs w:val="18"/>
          <w:color w:val="auto"/>
        </w:rPr>
        <w:t>(4,619)</w:t>
      </w:r>
    </w:p>
    <w:p>
      <w:pPr>
        <w:spacing w:after="0" w:line="26" w:lineRule="exact"/>
        <w:rPr>
          <w:rFonts w:ascii="Arial" w:cs="Arial" w:eastAsia="Arial" w:hAnsi="Arial"/>
          <w:sz w:val="18"/>
          <w:szCs w:val="18"/>
          <w:color w:val="auto"/>
        </w:rPr>
      </w:pPr>
    </w:p>
    <w:p>
      <w:pPr>
        <w:ind w:left="942"/>
        <w:spacing w:after="0"/>
        <w:rPr>
          <w:rFonts w:ascii="Arial" w:cs="Arial" w:eastAsia="Arial" w:hAnsi="Arial"/>
          <w:sz w:val="18"/>
          <w:szCs w:val="18"/>
          <w:color w:val="auto"/>
        </w:rPr>
      </w:pPr>
      <w:r>
        <w:rPr>
          <w:rFonts w:ascii="Arial" w:cs="Arial" w:eastAsia="Arial" w:hAnsi="Arial"/>
          <w:sz w:val="18"/>
          <w:szCs w:val="18"/>
          <w:color w:val="auto"/>
        </w:rPr>
        <w:t>22,083</w:t>
      </w:r>
    </w:p>
    <w:p>
      <w:pPr>
        <w:spacing w:after="0" w:line="36" w:lineRule="exact"/>
        <w:rPr>
          <w:rFonts w:ascii="Arial" w:cs="Arial" w:eastAsia="Arial" w:hAnsi="Arial"/>
          <w:sz w:val="18"/>
          <w:szCs w:val="18"/>
          <w:color w:val="auto"/>
        </w:rPr>
      </w:pPr>
    </w:p>
    <w:p>
      <w:pPr>
        <w:ind w:left="942"/>
        <w:spacing w:after="0"/>
        <w:rPr>
          <w:rFonts w:ascii="Arial" w:cs="Arial" w:eastAsia="Arial" w:hAnsi="Arial"/>
          <w:sz w:val="18"/>
          <w:szCs w:val="18"/>
          <w:color w:val="auto"/>
        </w:rPr>
      </w:pPr>
      <w:r>
        <w:rPr>
          <w:rFonts w:ascii="Arial" w:cs="Arial" w:eastAsia="Arial" w:hAnsi="Arial"/>
          <w:sz w:val="18"/>
          <w:szCs w:val="18"/>
          <w:color w:val="auto"/>
        </w:rPr>
        <w:t>55,860</w:t>
      </w:r>
    </w:p>
    <w:p>
      <w:pPr>
        <w:spacing w:after="0" w:line="252" w:lineRule="exact"/>
        <w:rPr>
          <w:rFonts w:ascii="Arial" w:cs="Arial" w:eastAsia="Arial" w:hAnsi="Arial"/>
          <w:sz w:val="18"/>
          <w:szCs w:val="18"/>
          <w:color w:val="auto"/>
        </w:rPr>
      </w:pPr>
    </w:p>
    <w:p>
      <w:pPr>
        <w:ind w:left="942"/>
        <w:spacing w:after="0"/>
        <w:rPr>
          <w:rFonts w:ascii="Arial" w:cs="Arial" w:eastAsia="Arial" w:hAnsi="Arial"/>
          <w:sz w:val="18"/>
          <w:szCs w:val="18"/>
          <w:color w:val="auto"/>
        </w:rPr>
      </w:pPr>
      <w:r>
        <w:rPr>
          <w:rFonts w:ascii="Arial" w:cs="Arial" w:eastAsia="Arial" w:hAnsi="Arial"/>
          <w:sz w:val="18"/>
          <w:szCs w:val="18"/>
          <w:color w:val="auto"/>
        </w:rPr>
        <w:t>50,557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-273050</wp:posOffset>
            </wp:positionV>
            <wp:extent cx="10033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-581660</wp:posOffset>
            </wp:positionV>
            <wp:extent cx="10033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-1164590</wp:posOffset>
            </wp:positionV>
            <wp:extent cx="10033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(19,623)</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12065</wp:posOffset>
            </wp:positionV>
            <wp:extent cx="10033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7" w:lineRule="exact"/>
        <w:rPr>
          <w:sz w:val="20"/>
          <w:szCs w:val="20"/>
          <w:color w:val="auto"/>
        </w:rPr>
      </w:pPr>
    </w:p>
    <w:p>
      <w:pPr>
        <w:ind w:left="942"/>
        <w:spacing w:after="0"/>
        <w:rPr>
          <w:sz w:val="20"/>
          <w:szCs w:val="20"/>
          <w:color w:val="auto"/>
        </w:rPr>
      </w:pPr>
      <w:r>
        <w:rPr>
          <w:rFonts w:ascii="Arial" w:cs="Arial" w:eastAsia="Arial" w:hAnsi="Arial"/>
          <w:sz w:val="18"/>
          <w:szCs w:val="18"/>
          <w:color w:val="auto"/>
        </w:rPr>
        <w:t>32,637</w:t>
      </w:r>
    </w:p>
    <w:p>
      <w:pPr>
        <w:spacing w:after="0" w:line="36" w:lineRule="exact"/>
        <w:rPr>
          <w:sz w:val="20"/>
          <w:szCs w:val="20"/>
          <w:color w:val="auto"/>
        </w:rPr>
      </w:pPr>
    </w:p>
    <w:p>
      <w:pPr>
        <w:ind w:left="942" w:hanging="942"/>
        <w:spacing w:after="0"/>
        <w:tabs>
          <w:tab w:leader="none" w:pos="94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88,497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0033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278" w:lineRule="exact"/>
        <w:rPr>
          <w:sz w:val="20"/>
          <w:szCs w:val="20"/>
          <w:color w:val="auto"/>
        </w:rPr>
      </w:pPr>
    </w:p>
    <w:p>
      <w:pPr>
        <w:sectPr>
          <w:pgSz w:w="11900" w:h="16838" w:orient="portrait"/>
          <w:cols w:equalWidth="0" w:num="2">
            <w:col w:w="8958" w:space="720"/>
            <w:col w:w="1562"/>
          </w:cols>
          <w:pgMar w:left="320" w:top="229" w:right="33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The table below summarizes the geographic concentration of the loans underlying the servicing rights at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3"/>
          </w:tcPr>
          <w:p>
            <w:pPr>
              <w:jc w:val="right"/>
              <w:ind w:right="911"/>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3"/>
          </w:tcPr>
          <w:p>
            <w:pPr>
              <w:jc w:val="right"/>
              <w:ind w:right="931"/>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43"/>
        </w:trPr>
        <w:tc>
          <w:tcPr>
            <w:tcW w:w="4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State</w:t>
            </w:r>
          </w:p>
        </w:tc>
        <w:tc>
          <w:tcPr>
            <w:tcW w:w="200" w:type="dxa"/>
            <w:vAlign w:val="bottom"/>
          </w:tcPr>
          <w:p>
            <w:pPr>
              <w:spacing w:after="0"/>
              <w:rPr>
                <w:sz w:val="12"/>
                <w:szCs w:val="12"/>
                <w:color w:val="auto"/>
              </w:rPr>
            </w:pPr>
          </w:p>
        </w:tc>
        <w:tc>
          <w:tcPr>
            <w:tcW w:w="146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Amount</w:t>
            </w:r>
          </w:p>
        </w:tc>
        <w:tc>
          <w:tcPr>
            <w:tcW w:w="17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 of Total</w:t>
            </w:r>
          </w:p>
        </w:tc>
        <w:tc>
          <w:tcPr>
            <w:tcW w:w="200" w:type="dxa"/>
            <w:vAlign w:val="bottom"/>
          </w:tcPr>
          <w:p>
            <w:pPr>
              <w:spacing w:after="0"/>
              <w:rPr>
                <w:sz w:val="12"/>
                <w:szCs w:val="12"/>
                <w:color w:val="auto"/>
              </w:rPr>
            </w:pPr>
          </w:p>
        </w:tc>
        <w:tc>
          <w:tcPr>
            <w:tcW w:w="14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Amount</w:t>
            </w:r>
          </w:p>
        </w:tc>
        <w:tc>
          <w:tcPr>
            <w:tcW w:w="168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202"/>
        </w:trPr>
        <w:tc>
          <w:tcPr>
            <w:tcW w:w="45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Outstanding</w:t>
            </w:r>
            <w:r>
              <w:rPr>
                <w:rFonts w:ascii="Arial" w:cs="Arial" w:eastAsia="Arial" w:hAnsi="Arial"/>
                <w:sz w:val="9"/>
                <w:szCs w:val="9"/>
                <w:b w:val="1"/>
                <w:bCs w:val="1"/>
                <w:color w:val="auto"/>
              </w:rPr>
              <w:t>(A)</w:t>
            </w:r>
          </w:p>
        </w:tc>
        <w:tc>
          <w:tcPr>
            <w:tcW w:w="17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Outstanding</w:t>
            </w:r>
            <w:r>
              <w:rPr>
                <w:rFonts w:ascii="Arial" w:cs="Arial" w:eastAsia="Arial" w:hAnsi="Arial"/>
                <w:sz w:val="9"/>
                <w:szCs w:val="9"/>
                <w:b w:val="1"/>
                <w:bCs w:val="1"/>
                <w:color w:val="auto"/>
              </w:rPr>
              <w:t>(A)</w:t>
            </w: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2,146,371</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1,449,585</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0" w:type="dxa"/>
            <w:vAlign w:val="bottom"/>
          </w:tcPr>
          <w:p>
            <w:pPr>
              <w:spacing w:after="0"/>
              <w:rPr>
                <w:sz w:val="1"/>
                <w:szCs w:val="1"/>
                <w:color w:val="auto"/>
              </w:rPr>
            </w:pPr>
          </w:p>
        </w:tc>
      </w:tr>
      <w:tr>
        <w:trPr>
          <w:trHeight w:val="229"/>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Florida</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990,404</w:t>
            </w:r>
          </w:p>
        </w:tc>
        <w:tc>
          <w:tcPr>
            <w:tcW w:w="100" w:type="dxa"/>
            <w:vAlign w:val="bottom"/>
          </w:tcPr>
          <w:p>
            <w:pPr>
              <w:spacing w:after="0"/>
              <w:rPr>
                <w:sz w:val="19"/>
                <w:szCs w:val="19"/>
                <w:color w:val="auto"/>
              </w:rPr>
            </w:pPr>
          </w:p>
        </w:tc>
        <w:tc>
          <w:tcPr>
            <w:tcW w:w="1660" w:type="dxa"/>
            <w:vAlign w:val="bottom"/>
          </w:tcPr>
          <w:p>
            <w:pPr>
              <w:jc w:val="right"/>
              <w:ind w:right="15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593,697</w:t>
            </w:r>
          </w:p>
        </w:tc>
        <w:tc>
          <w:tcPr>
            <w:tcW w:w="80" w:type="dxa"/>
            <w:vAlign w:val="bottom"/>
          </w:tcPr>
          <w:p>
            <w:pPr>
              <w:spacing w:after="0"/>
              <w:rPr>
                <w:sz w:val="19"/>
                <w:szCs w:val="19"/>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429,469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270,442</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Georgia</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407,651</w:t>
            </w:r>
          </w:p>
        </w:tc>
        <w:tc>
          <w:tcPr>
            <w:tcW w:w="100" w:type="dxa"/>
            <w:vAlign w:val="bottom"/>
          </w:tcPr>
          <w:p>
            <w:pPr>
              <w:spacing w:after="0"/>
              <w:rPr>
                <w:sz w:val="19"/>
                <w:szCs w:val="19"/>
                <w:color w:val="auto"/>
              </w:rPr>
            </w:pPr>
          </w:p>
        </w:tc>
        <w:tc>
          <w:tcPr>
            <w:tcW w:w="1660" w:type="dxa"/>
            <w:vAlign w:val="bottom"/>
          </w:tcPr>
          <w:p>
            <w:pPr>
              <w:jc w:val="right"/>
              <w:ind w:right="15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278,231</w:t>
            </w:r>
          </w:p>
        </w:tc>
        <w:tc>
          <w:tcPr>
            <w:tcW w:w="80" w:type="dxa"/>
            <w:vAlign w:val="bottom"/>
          </w:tcPr>
          <w:p>
            <w:pPr>
              <w:spacing w:after="0"/>
              <w:rPr>
                <w:sz w:val="19"/>
                <w:szCs w:val="19"/>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Washington</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362,370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261,653</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320,124</w:t>
            </w:r>
          </w:p>
        </w:tc>
        <w:tc>
          <w:tcPr>
            <w:tcW w:w="100" w:type="dxa"/>
            <w:vAlign w:val="bottom"/>
          </w:tcPr>
          <w:p>
            <w:pPr>
              <w:spacing w:after="0"/>
              <w:rPr>
                <w:sz w:val="19"/>
                <w:szCs w:val="19"/>
                <w:color w:val="auto"/>
              </w:rPr>
            </w:pPr>
          </w:p>
        </w:tc>
        <w:tc>
          <w:tcPr>
            <w:tcW w:w="1660" w:type="dxa"/>
            <w:vAlign w:val="bottom"/>
          </w:tcPr>
          <w:p>
            <w:pPr>
              <w:jc w:val="right"/>
              <w:ind w:right="15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211,344</w:t>
            </w:r>
          </w:p>
        </w:tc>
        <w:tc>
          <w:tcPr>
            <w:tcW w:w="80" w:type="dxa"/>
            <w:vAlign w:val="bottom"/>
          </w:tcPr>
          <w:p>
            <w:pPr>
              <w:spacing w:after="0"/>
              <w:rPr>
                <w:sz w:val="19"/>
                <w:szCs w:val="19"/>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North Carolina</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261,013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198,984</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Colorado</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241,844</w:t>
            </w:r>
          </w:p>
        </w:tc>
        <w:tc>
          <w:tcPr>
            <w:tcW w:w="100" w:type="dxa"/>
            <w:vAlign w:val="bottom"/>
          </w:tcPr>
          <w:p>
            <w:pPr>
              <w:spacing w:after="0"/>
              <w:rPr>
                <w:sz w:val="19"/>
                <w:szCs w:val="19"/>
                <w:color w:val="auto"/>
              </w:rPr>
            </w:pPr>
          </w:p>
        </w:tc>
        <w:tc>
          <w:tcPr>
            <w:tcW w:w="1660" w:type="dxa"/>
            <w:vAlign w:val="bottom"/>
          </w:tcPr>
          <w:p>
            <w:pPr>
              <w:jc w:val="right"/>
              <w:ind w:right="15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168,289</w:t>
            </w:r>
          </w:p>
        </w:tc>
        <w:tc>
          <w:tcPr>
            <w:tcW w:w="80" w:type="dxa"/>
            <w:vAlign w:val="bottom"/>
          </w:tcPr>
          <w:p>
            <w:pPr>
              <w:spacing w:after="0"/>
              <w:rPr>
                <w:sz w:val="19"/>
                <w:szCs w:val="19"/>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Virginia</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239,559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156,333</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Ohio</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227,069</w:t>
            </w:r>
          </w:p>
        </w:tc>
        <w:tc>
          <w:tcPr>
            <w:tcW w:w="100" w:type="dxa"/>
            <w:vAlign w:val="bottom"/>
          </w:tcPr>
          <w:p>
            <w:pPr>
              <w:spacing w:after="0"/>
              <w:rPr>
                <w:sz w:val="19"/>
                <w:szCs w:val="19"/>
                <w:color w:val="auto"/>
              </w:rPr>
            </w:pPr>
          </w:p>
        </w:tc>
        <w:tc>
          <w:tcPr>
            <w:tcW w:w="1660" w:type="dxa"/>
            <w:vAlign w:val="bottom"/>
          </w:tcPr>
          <w:p>
            <w:pPr>
              <w:jc w:val="right"/>
              <w:ind w:right="15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141,239</w:t>
            </w:r>
          </w:p>
        </w:tc>
        <w:tc>
          <w:tcPr>
            <w:tcW w:w="80" w:type="dxa"/>
            <w:vAlign w:val="bottom"/>
          </w:tcPr>
          <w:p>
            <w:pPr>
              <w:spacing w:after="0"/>
              <w:rPr>
                <w:sz w:val="19"/>
                <w:szCs w:val="19"/>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Other U.S.</w:t>
            </w:r>
            <w:r>
              <w:rPr>
                <w:rFonts w:ascii="Arial" w:cs="Arial" w:eastAsia="Arial" w:hAnsi="Arial"/>
                <w:sz w:val="23"/>
                <w:szCs w:val="23"/>
                <w:color w:val="auto"/>
                <w:vertAlign w:val="superscript"/>
              </w:rPr>
              <w:t>(B)</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2,471,009</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1,465,802</w:t>
            </w:r>
          </w:p>
        </w:tc>
        <w:tc>
          <w:tcPr>
            <w:tcW w:w="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3"/>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8,096,883</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5,195,599</w:t>
            </w:r>
          </w:p>
        </w:tc>
        <w:tc>
          <w:tcPr>
            <w:tcW w:w="8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340" w:hanging="332"/>
        <w:spacing w:after="0"/>
        <w:tabs>
          <w:tab w:leader="none" w:pos="3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Represents the principal balance of the loans serviced by the Company.</w:t>
      </w:r>
    </w:p>
    <w:p>
      <w:pPr>
        <w:spacing w:after="0" w:line="8" w:lineRule="exact"/>
        <w:rPr>
          <w:rFonts w:ascii="Arial" w:cs="Arial" w:eastAsia="Arial" w:hAnsi="Arial"/>
          <w:sz w:val="16"/>
          <w:szCs w:val="16"/>
          <w:color w:val="auto"/>
        </w:rPr>
      </w:pPr>
    </w:p>
    <w:p>
      <w:pPr>
        <w:ind w:left="340" w:hanging="332"/>
        <w:spacing w:after="0" w:line="283" w:lineRule="auto"/>
        <w:tabs>
          <w:tab w:leader="none" w:pos="3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Company did not service loans in any state or U.S. territory contained in “Other” aggregating to more than 5% of the total amount outstanding of the loans serviced by the Company.</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part of its servicing operations, the Company held principal, interest, and other borrower payments of $198.8 million and $116.9 million at December 31, 2024 and 2023, respectively, due to third-party loan buyers recorded as payables to third-party loan owners in the Combined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240"/>
          </w:cols>
          <w:pgMar w:left="320" w:top="229" w:right="339" w:bottom="1440" w:gutter="0" w:footer="0" w:header="0"/>
          <w:type w:val="continuous"/>
        </w:sectPr>
      </w:pPr>
    </w:p>
    <w:bookmarkStart w:id="330" w:name="page331"/>
    <w:bookmarkEnd w:id="330"/>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makes payments on these arrangements by remitting amounts due from proceeds received from borrower payments on the underlying collateral loans. Additionally, the Company has outstanding liability obligations to repurchase loans that are in early payment default status as of each period end. As of December 31, 2024 and 2023, the total obligation to repurchase loans associated with contractual arrangements was $ 13.8 million and $3.2 million, respectively, recorded as payables to third-party loan owners in the Combined Consolidated Balance Sheets.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loans held by the Company at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December 31, 2024</w:t>
            </w: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December 31, 2023</w:t>
            </w:r>
          </w:p>
        </w:tc>
      </w:tr>
      <w:tr>
        <w:trPr>
          <w:trHeight w:val="197"/>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UPB</w:t>
            </w:r>
          </w:p>
        </w:tc>
        <w:tc>
          <w:tcPr>
            <w:tcW w:w="120" w:type="dxa"/>
            <w:vAlign w:val="bottom"/>
          </w:tcPr>
          <w:p>
            <w:pPr>
              <w:spacing w:after="0"/>
              <w:rPr>
                <w:sz w:val="17"/>
                <w:szCs w:val="17"/>
                <w:color w:val="auto"/>
              </w:rPr>
            </w:pPr>
          </w:p>
        </w:tc>
        <w:tc>
          <w:tcPr>
            <w:tcW w:w="1540" w:type="dxa"/>
            <w:vAlign w:val="bottom"/>
            <w:gridSpan w:val="2"/>
          </w:tcPr>
          <w:p>
            <w:pPr>
              <w:jc w:val="center"/>
              <w:ind w:right="240"/>
              <w:spacing w:after="0" w:line="197" w:lineRule="exact"/>
              <w:rPr>
                <w:sz w:val="20"/>
                <w:szCs w:val="20"/>
                <w:color w:val="auto"/>
              </w:rPr>
            </w:pPr>
            <w:r>
              <w:rPr>
                <w:rFonts w:ascii="Arial" w:cs="Arial" w:eastAsia="Arial" w:hAnsi="Arial"/>
                <w:sz w:val="14"/>
                <w:szCs w:val="14"/>
                <w:b w:val="1"/>
                <w:bCs w:val="1"/>
                <w:color w:val="auto"/>
                <w:w w:val="98"/>
              </w:rPr>
              <w:t>Carrying Value</w:t>
            </w:r>
            <w:r>
              <w:rPr>
                <w:rFonts w:ascii="Arial" w:cs="Arial" w:eastAsia="Arial" w:hAnsi="Arial"/>
                <w:sz w:val="18"/>
                <w:szCs w:val="18"/>
                <w:b w:val="1"/>
                <w:bCs w:val="1"/>
                <w:color w:val="auto"/>
                <w:w w:val="98"/>
                <w:vertAlign w:val="superscript"/>
              </w:rPr>
              <w:t>(A)</w:t>
            </w:r>
          </w:p>
        </w:tc>
        <w:tc>
          <w:tcPr>
            <w:tcW w:w="1640" w:type="dxa"/>
            <w:vAlign w:val="bottom"/>
            <w:gridSpan w:val="2"/>
          </w:tcPr>
          <w:p>
            <w:pPr>
              <w:ind w:left="380"/>
              <w:spacing w:after="0"/>
              <w:rPr>
                <w:sz w:val="20"/>
                <w:szCs w:val="20"/>
                <w:color w:val="auto"/>
              </w:rPr>
            </w:pPr>
            <w:r>
              <w:rPr>
                <w:rFonts w:ascii="Arial" w:cs="Arial" w:eastAsia="Arial" w:hAnsi="Arial"/>
                <w:sz w:val="14"/>
                <w:szCs w:val="14"/>
                <w:b w:val="1"/>
                <w:bCs w:val="1"/>
                <w:color w:val="auto"/>
              </w:rPr>
              <w:t>Loan Count</w:t>
            </w:r>
          </w:p>
        </w:tc>
        <w:tc>
          <w:tcPr>
            <w:tcW w:w="140" w:type="dxa"/>
            <w:vAlign w:val="bottom"/>
          </w:tcPr>
          <w:p>
            <w:pPr>
              <w:spacing w:after="0"/>
              <w:rPr>
                <w:sz w:val="17"/>
                <w:szCs w:val="17"/>
                <w:color w:val="auto"/>
              </w:rPr>
            </w:pPr>
          </w:p>
        </w:tc>
        <w:tc>
          <w:tcPr>
            <w:tcW w:w="1440" w:type="dxa"/>
            <w:vAlign w:val="bottom"/>
          </w:tcPr>
          <w:p>
            <w:pPr>
              <w:jc w:val="right"/>
              <w:ind w:right="135"/>
              <w:spacing w:after="0" w:line="197" w:lineRule="exact"/>
              <w:rPr>
                <w:sz w:val="20"/>
                <w:szCs w:val="20"/>
                <w:color w:val="auto"/>
              </w:rPr>
            </w:pPr>
            <w:r>
              <w:rPr>
                <w:rFonts w:ascii="Arial" w:cs="Arial" w:eastAsia="Arial" w:hAnsi="Arial"/>
                <w:sz w:val="14"/>
                <w:szCs w:val="14"/>
                <w:b w:val="1"/>
                <w:bCs w:val="1"/>
                <w:color w:val="auto"/>
              </w:rPr>
              <w:t>Carrying Value</w:t>
            </w:r>
            <w:r>
              <w:rPr>
                <w:rFonts w:ascii="Arial" w:cs="Arial" w:eastAsia="Arial" w:hAnsi="Arial"/>
                <w:sz w:val="18"/>
                <w:szCs w:val="18"/>
                <w:b w:val="1"/>
                <w:bCs w:val="1"/>
                <w:color w:val="auto"/>
                <w:vertAlign w:val="superscript"/>
              </w:rPr>
              <w:t>(A)</w:t>
            </w:r>
          </w:p>
        </w:tc>
      </w:tr>
      <w:tr>
        <w:trPr>
          <w:trHeight w:val="20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Loans held for sale</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4700" w:type="dxa"/>
            <w:vAlign w:val="bottom"/>
          </w:tcPr>
          <w:p>
            <w:pPr>
              <w:ind w:left="460"/>
              <w:spacing w:after="0"/>
              <w:rPr>
                <w:sz w:val="20"/>
                <w:szCs w:val="20"/>
                <w:color w:val="auto"/>
              </w:rPr>
            </w:pPr>
            <w:r>
              <w:rPr>
                <w:rFonts w:ascii="Arial" w:cs="Arial" w:eastAsia="Arial" w:hAnsi="Arial"/>
                <w:sz w:val="18"/>
                <w:szCs w:val="18"/>
                <w:color w:val="auto"/>
              </w:rPr>
              <w:t>HELOC loans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359,155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366,154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4,582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244,670</w:t>
            </w:r>
          </w:p>
        </w:tc>
      </w:tr>
      <w:tr>
        <w:trPr>
          <w:trHeight w:val="229"/>
        </w:trPr>
        <w:tc>
          <w:tcPr>
            <w:tcW w:w="4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Personal loans(B)</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Borders>
              <w:bottom w:val="single" w:sz="8" w:color="CCEEFF"/>
            </w:tcBorders>
          </w:tcPr>
          <w:p>
            <w:pPr>
              <w:ind w:left="46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(C)</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10,846</w:t>
            </w:r>
          </w:p>
        </w:tc>
      </w:tr>
      <w:tr>
        <w:trPr>
          <w:trHeight w:val="248"/>
        </w:trPr>
        <w:tc>
          <w:tcPr>
            <w:tcW w:w="4700" w:type="dxa"/>
            <w:vAlign w:val="bottom"/>
            <w:tcBorders>
              <w:bottom w:val="single" w:sz="8" w:color="CCEEFF"/>
            </w:tcBorders>
            <w:shd w:val="clear" w:color="auto" w:fill="CCEEFF"/>
          </w:tcPr>
          <w:p>
            <w:pPr>
              <w:ind w:left="240"/>
              <w:spacing w:after="0" w:line="223" w:lineRule="exact"/>
              <w:rPr>
                <w:sz w:val="20"/>
                <w:szCs w:val="20"/>
                <w:color w:val="auto"/>
              </w:rPr>
            </w:pPr>
            <w:r>
              <w:rPr>
                <w:rFonts w:ascii="Arial" w:cs="Arial" w:eastAsia="Arial" w:hAnsi="Arial"/>
                <w:sz w:val="18"/>
                <w:szCs w:val="18"/>
                <w:color w:val="auto"/>
              </w:rPr>
              <w:t>Total loans held for sale</w:t>
            </w:r>
            <w:r>
              <w:rPr>
                <w:rFonts w:ascii="Arial" w:cs="Arial" w:eastAsia="Arial" w:hAnsi="Arial"/>
                <w:sz w:val="23"/>
                <w:szCs w:val="23"/>
                <w:color w:val="auto"/>
                <w:vertAlign w:val="superscript"/>
              </w:rPr>
              <w:t>(D)(E)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395,922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255,516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Loans held for investment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4700" w:type="dxa"/>
            <w:vAlign w:val="bottom"/>
          </w:tcPr>
          <w:p>
            <w:pPr>
              <w:ind w:left="460"/>
              <w:spacing w:after="0"/>
              <w:rPr>
                <w:sz w:val="20"/>
                <w:szCs w:val="20"/>
                <w:color w:val="auto"/>
              </w:rPr>
            </w:pPr>
            <w:r>
              <w:rPr>
                <w:rFonts w:ascii="Arial" w:cs="Arial" w:eastAsia="Arial" w:hAnsi="Arial"/>
                <w:sz w:val="18"/>
                <w:szCs w:val="18"/>
                <w:color w:val="auto"/>
              </w:rPr>
              <w:t>HELOC loans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61,337</w:t>
            </w:r>
          </w:p>
        </w:tc>
      </w:tr>
      <w:tr>
        <w:trPr>
          <w:trHeight w:val="248"/>
        </w:trPr>
        <w:tc>
          <w:tcPr>
            <w:tcW w:w="4700" w:type="dxa"/>
            <w:vAlign w:val="bottom"/>
            <w:tcBorders>
              <w:top w:val="single" w:sz="8" w:color="CCEEFF"/>
              <w:bottom w:val="single" w:sz="8" w:color="CCEEFF"/>
            </w:tcBorders>
            <w:shd w:val="clear" w:color="auto" w:fill="CCEEFF"/>
          </w:tcPr>
          <w:p>
            <w:pPr>
              <w:ind w:left="240"/>
              <w:spacing w:after="0" w:line="223" w:lineRule="exact"/>
              <w:rPr>
                <w:sz w:val="20"/>
                <w:szCs w:val="20"/>
                <w:color w:val="auto"/>
              </w:rPr>
            </w:pPr>
            <w:r>
              <w:rPr>
                <w:rFonts w:ascii="Arial" w:cs="Arial" w:eastAsia="Arial" w:hAnsi="Arial"/>
                <w:sz w:val="18"/>
                <w:szCs w:val="18"/>
                <w:color w:val="auto"/>
              </w:rPr>
              <w:t>Total loans held for investment</w:t>
            </w:r>
            <w:r>
              <w:rPr>
                <w:rFonts w:ascii="Arial" w:cs="Arial" w:eastAsia="Arial" w:hAnsi="Arial"/>
                <w:sz w:val="23"/>
                <w:szCs w:val="23"/>
                <w:color w:val="auto"/>
                <w:vertAlign w:val="superscript"/>
              </w:rPr>
              <w:t>(D)</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61,337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tabs>
          <w:tab w:leader="none" w:pos="3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Company records loans at fair value. See Note 11 for additional information regarding the valuation of these assets.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Loans collateralized by digital assets.</w:t>
      </w:r>
    </w:p>
    <w:p>
      <w:pPr>
        <w:spacing w:after="0" w:line="14" w:lineRule="exact"/>
        <w:rPr>
          <w:rFonts w:ascii="Arial" w:cs="Arial" w:eastAsia="Arial" w:hAnsi="Arial"/>
          <w:sz w:val="16"/>
          <w:szCs w:val="16"/>
          <w:color w:val="auto"/>
        </w:rPr>
      </w:pPr>
    </w:p>
    <w:p>
      <w:pPr>
        <w:ind w:left="320" w:hanging="312"/>
        <w:spacing w:after="0"/>
        <w:tabs>
          <w:tab w:leader="none" w:pos="3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Primarily contains legacy mortgage and other unsecured loans.</w:t>
      </w:r>
    </w:p>
    <w:p>
      <w:pPr>
        <w:spacing w:after="0" w:line="8" w:lineRule="exact"/>
        <w:rPr>
          <w:rFonts w:ascii="Arial" w:cs="Arial" w:eastAsia="Arial" w:hAnsi="Arial"/>
          <w:sz w:val="16"/>
          <w:szCs w:val="16"/>
          <w:color w:val="auto"/>
        </w:rPr>
      </w:pPr>
    </w:p>
    <w:p>
      <w:pPr>
        <w:ind w:left="340" w:hanging="332"/>
        <w:spacing w:after="0" w:line="255" w:lineRule="auto"/>
        <w:tabs>
          <w:tab w:leader="none" w:pos="335" w:val="left"/>
        </w:tabs>
        <w:numPr>
          <w:ilvl w:val="0"/>
          <w:numId w:val="155"/>
        </w:numPr>
        <w:rPr>
          <w:rFonts w:ascii="Arial" w:cs="Arial" w:eastAsia="Arial" w:hAnsi="Arial"/>
          <w:sz w:val="16"/>
          <w:szCs w:val="16"/>
          <w:color w:val="auto"/>
        </w:rPr>
      </w:pPr>
      <w:r>
        <w:rPr>
          <w:rFonts w:ascii="Arial" w:cs="Arial" w:eastAsia="Arial" w:hAnsi="Arial"/>
          <w:sz w:val="16"/>
          <w:szCs w:val="16"/>
          <w:color w:val="auto"/>
        </w:rPr>
        <w:t>Loans are generally placed on non-accrual status when principal or interest is 90 days or more past due. The Company does not consider the average carrying values and interest income recognized (including interest income recognized using a cash-basis method) material.</w:t>
      </w:r>
    </w:p>
    <w:p>
      <w:pPr>
        <w:ind w:left="340" w:hanging="332"/>
        <w:spacing w:after="0" w:line="265" w:lineRule="auto"/>
        <w:tabs>
          <w:tab w:leader="none" w:pos="3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Company placed loans held for sale with an aggregate UPB of $1.2 million and $1.4 million and fair value of $0.8 million and $0.8 million on non-accrual status at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240"/>
          </w:cols>
          <w:pgMar w:left="320" w:top="229" w:right="339" w:bottom="1440" w:gutter="0" w:footer="0" w:header="0"/>
        </w:sectPr>
      </w:pPr>
    </w:p>
    <w:bookmarkStart w:id="331" w:name="page332"/>
    <w:bookmarkEnd w:id="331"/>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table summarizes the past due status and difference between the aggregate UPB and the aggregate carrying value of loans held by the Company.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2024</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2023</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rPr>
              <w:t>Carrying Value</w:t>
            </w:r>
            <w:r>
              <w:rPr>
                <w:rFonts w:ascii="Arial" w:cs="Arial" w:eastAsia="Arial" w:hAnsi="Arial"/>
                <w:sz w:val="17"/>
                <w:szCs w:val="17"/>
                <w:b w:val="1"/>
                <w:bCs w:val="1"/>
                <w:color w:val="auto"/>
                <w:vertAlign w:val="superscript"/>
              </w:rPr>
              <w:t>(A)</w:t>
            </w: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Carrying Value</w:t>
            </w:r>
            <w:r>
              <w:rPr>
                <w:rFonts w:ascii="Arial" w:cs="Arial" w:eastAsia="Arial" w:hAnsi="Arial"/>
                <w:sz w:val="17"/>
                <w:szCs w:val="17"/>
                <w:b w:val="1"/>
                <w:bCs w:val="1"/>
                <w:color w:val="auto"/>
                <w:vertAlign w:val="superscript"/>
              </w:rPr>
              <w:t>(A)</w:t>
            </w:r>
          </w:p>
        </w:tc>
        <w:tc>
          <w:tcPr>
            <w:tcW w:w="0" w:type="dxa"/>
            <w:vAlign w:val="bottom"/>
          </w:tcPr>
          <w:p>
            <w:pPr>
              <w:spacing w:after="0"/>
              <w:rPr>
                <w:sz w:val="1"/>
                <w:szCs w:val="1"/>
                <w:color w:val="auto"/>
              </w:rPr>
            </w:pPr>
          </w:p>
        </w:tc>
      </w:tr>
      <w:tr>
        <w:trPr>
          <w:trHeight w:val="149"/>
        </w:trPr>
        <w:tc>
          <w:tcPr>
            <w:tcW w:w="3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Payment Delinquency</w:t>
            </w:r>
          </w:p>
        </w:tc>
        <w:tc>
          <w:tcPr>
            <w:tcW w:w="280" w:type="dxa"/>
            <w:vAlign w:val="bottom"/>
          </w:tcPr>
          <w:p>
            <w:pPr>
              <w:spacing w:after="0"/>
              <w:rPr>
                <w:sz w:val="12"/>
                <w:szCs w:val="12"/>
                <w:color w:val="auto"/>
              </w:rPr>
            </w:pPr>
          </w:p>
        </w:tc>
        <w:tc>
          <w:tcPr>
            <w:tcW w:w="92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UPB</w:t>
            </w:r>
          </w:p>
        </w:tc>
        <w:tc>
          <w:tcPr>
            <w:tcW w:w="100" w:type="dxa"/>
            <w:vAlign w:val="bottom"/>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Value</w:t>
            </w:r>
            <w:r>
              <w:rPr>
                <w:rFonts w:ascii="Arial" w:cs="Arial" w:eastAsia="Arial" w:hAnsi="Arial"/>
                <w:sz w:val="18"/>
                <w:szCs w:val="18"/>
                <w:b w:val="1"/>
                <w:bCs w:val="1"/>
                <w:color w:val="auto"/>
                <w:vertAlign w:val="superscript"/>
              </w:rPr>
              <w:t>(A)</w:t>
            </w:r>
          </w:p>
        </w:tc>
        <w:tc>
          <w:tcPr>
            <w:tcW w:w="14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Over (Under)</w:t>
            </w:r>
          </w:p>
        </w:tc>
        <w:tc>
          <w:tcPr>
            <w:tcW w:w="300" w:type="dxa"/>
            <w:vAlign w:val="bottom"/>
          </w:tcPr>
          <w:p>
            <w:pPr>
              <w:spacing w:after="0"/>
              <w:rPr>
                <w:sz w:val="12"/>
                <w:szCs w:val="12"/>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UPB</w:t>
            </w:r>
          </w:p>
        </w:tc>
        <w:tc>
          <w:tcPr>
            <w:tcW w:w="100" w:type="dxa"/>
            <w:vAlign w:val="bottom"/>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Value</w:t>
            </w:r>
            <w:r>
              <w:rPr>
                <w:rFonts w:ascii="Arial" w:cs="Arial" w:eastAsia="Arial" w:hAnsi="Arial"/>
                <w:sz w:val="18"/>
                <w:szCs w:val="18"/>
                <w:b w:val="1"/>
                <w:bCs w:val="1"/>
                <w:color w:val="auto"/>
                <w:vertAlign w:val="superscript"/>
              </w:rPr>
              <w:t>(A)</w:t>
            </w:r>
          </w:p>
        </w:tc>
        <w:tc>
          <w:tcPr>
            <w:tcW w:w="140" w:type="dxa"/>
            <w:vAlign w:val="bottom"/>
          </w:tcPr>
          <w:p>
            <w:pPr>
              <w:spacing w:after="0"/>
              <w:rPr>
                <w:sz w:val="12"/>
                <w:szCs w:val="12"/>
                <w:color w:val="auto"/>
              </w:rPr>
            </w:pPr>
          </w:p>
        </w:tc>
        <w:tc>
          <w:tcPr>
            <w:tcW w:w="108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rPr>
              <w:t>Over (Under)</w:t>
            </w:r>
          </w:p>
        </w:tc>
        <w:tc>
          <w:tcPr>
            <w:tcW w:w="0" w:type="dxa"/>
            <w:vAlign w:val="bottom"/>
          </w:tcPr>
          <w:p>
            <w:pPr>
              <w:spacing w:after="0"/>
              <w:rPr>
                <w:sz w:val="1"/>
                <w:szCs w:val="1"/>
                <w:color w:val="auto"/>
              </w:rPr>
            </w:pPr>
          </w:p>
        </w:tc>
      </w:tr>
      <w:tr>
        <w:trPr>
          <w:trHeight w:val="185"/>
        </w:trPr>
        <w:tc>
          <w:tcPr>
            <w:tcW w:w="35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UPB</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UPB</w:t>
            </w:r>
          </w:p>
        </w:tc>
        <w:tc>
          <w:tcPr>
            <w:tcW w:w="0" w:type="dxa"/>
            <w:vAlign w:val="bottom"/>
          </w:tcPr>
          <w:p>
            <w:pPr>
              <w:spacing w:after="0"/>
              <w:rPr>
                <w:sz w:val="1"/>
                <w:szCs w:val="1"/>
                <w:color w:val="auto"/>
              </w:rPr>
            </w:pPr>
          </w:p>
        </w:tc>
      </w:tr>
      <w:tr>
        <w:trPr>
          <w:trHeight w:val="223"/>
        </w:trPr>
        <w:tc>
          <w:tcPr>
            <w:tcW w:w="3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Loans held for sale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373,876</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383,551</w:t>
            </w: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9,675</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243,284</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249,171</w:t>
            </w: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5,886</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30 to 59 days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29"/>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60 to 89 days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90 days or more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Forbearance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loans held for sale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395,922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255,516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Loans held for investment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64,685</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59,164</w:t>
            </w: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(5,521)</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30 to 59 days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60 to 89 days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90 days or more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29"/>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Forbearance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loans held for investment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(6,648)</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tabs>
          <w:tab w:leader="none" w:pos="3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Company records loans at fair value. See Note 11 for additional information regarding the valuation of these assets.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5440"/>
        <w:spacing w:after="0"/>
        <w:rPr>
          <w:rFonts w:ascii="Arial" w:cs="Arial" w:eastAsia="Arial" w:hAnsi="Arial"/>
          <w:sz w:val="16"/>
          <w:szCs w:val="16"/>
          <w:color w:val="auto"/>
        </w:rPr>
      </w:pPr>
      <w:r>
        <w:rPr>
          <w:rFonts w:ascii="Arial" w:cs="Arial" w:eastAsia="Arial" w:hAnsi="Arial"/>
          <w:sz w:val="18"/>
          <w:szCs w:val="18"/>
          <w:color w:val="auto"/>
        </w:rPr>
        <w:t>F-79</w:t>
      </w:r>
    </w:p>
    <w:p>
      <w:pPr>
        <w:sectPr>
          <w:pgSz w:w="11900" w:h="16838" w:orient="portrait"/>
          <w:cols w:equalWidth="0" w:num="1">
            <w:col w:w="11240"/>
          </w:cols>
          <w:pgMar w:left="320" w:top="229" w:right="339" w:bottom="1440" w:gutter="0" w:footer="0" w:header="0"/>
        </w:sectPr>
      </w:pPr>
    </w:p>
    <w:bookmarkStart w:id="332" w:name="page333"/>
    <w:bookmarkEnd w:id="332"/>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includes a rollforward of the Company’s loans for the years ended December 31, 2024 and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Loans held for sale</w:t>
            </w:r>
          </w:p>
        </w:tc>
        <w:tc>
          <w:tcPr>
            <w:tcW w:w="200" w:type="dxa"/>
            <w:vAlign w:val="bottom"/>
          </w:tcPr>
          <w:p>
            <w:pPr>
              <w:spacing w:after="0"/>
              <w:rPr>
                <w:sz w:val="14"/>
                <w:szCs w:val="14"/>
                <w:color w:val="auto"/>
              </w:rPr>
            </w:pPr>
          </w:p>
        </w:tc>
        <w:tc>
          <w:tcPr>
            <w:tcW w:w="1380" w:type="dxa"/>
            <w:vAlign w:val="bottom"/>
          </w:tcPr>
          <w:p>
            <w:pPr>
              <w:jc w:val="right"/>
              <w:ind w:right="212"/>
              <w:spacing w:after="0"/>
              <w:rPr>
                <w:sz w:val="20"/>
                <w:szCs w:val="20"/>
                <w:color w:val="auto"/>
              </w:rPr>
            </w:pPr>
            <w:r>
              <w:rPr>
                <w:rFonts w:ascii="Arial" w:cs="Arial" w:eastAsia="Arial" w:hAnsi="Arial"/>
                <w:sz w:val="14"/>
                <w:szCs w:val="14"/>
                <w:b w:val="1"/>
                <w:bCs w:val="1"/>
                <w:color w:val="auto"/>
              </w:rPr>
              <w:t>Loans held for</w:t>
            </w:r>
          </w:p>
        </w:tc>
        <w:tc>
          <w:tcPr>
            <w:tcW w:w="0" w:type="dxa"/>
            <w:vAlign w:val="bottom"/>
          </w:tcPr>
          <w:p>
            <w:pPr>
              <w:spacing w:after="0"/>
              <w:rPr>
                <w:sz w:val="1"/>
                <w:szCs w:val="1"/>
                <w:color w:val="auto"/>
              </w:rPr>
            </w:pPr>
          </w:p>
        </w:tc>
      </w:tr>
      <w:tr>
        <w:trPr>
          <w:trHeight w:val="185"/>
        </w:trPr>
        <w:tc>
          <w:tcPr>
            <w:tcW w:w="7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312"/>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117,364</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Transfers from Held for Sale to Held for Investment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(22,279)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22,279</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Transfers from Held for Investment to Held for Sale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(53,241)</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1,541,757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Originations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1,978,144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Sales, net of repurchases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(3,250,098)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Principal payments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(20,617)</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line="230" w:lineRule="exact"/>
              <w:rPr>
                <w:sz w:val="20"/>
                <w:szCs w:val="20"/>
                <w:color w:val="auto"/>
              </w:rPr>
            </w:pPr>
            <w:r>
              <w:rPr>
                <w:rFonts w:ascii="Arial" w:cs="Arial" w:eastAsia="Arial" w:hAnsi="Arial"/>
                <w:sz w:val="18"/>
                <w:szCs w:val="18"/>
                <w:color w:val="auto"/>
              </w:rPr>
              <w:t>Change in fair value</w:t>
            </w:r>
            <w:r>
              <w:rPr>
                <w:rFonts w:ascii="Arial" w:cs="Arial" w:eastAsia="Arial" w:hAnsi="Arial"/>
                <w:sz w:val="23"/>
                <w:szCs w:val="23"/>
                <w:color w:val="auto"/>
                <w:vertAlign w:val="superscript"/>
              </w:rPr>
              <w:t>(A)</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(7,499)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Loans not yet repurchased</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2023</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255,516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61,337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Transfers from Held for Investment to Held for Sale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(58,835)</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1,972,209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Originations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3,164,966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Sales, net of repurchases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(4,659,777)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Principal payments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(11,642)</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line="230" w:lineRule="exact"/>
              <w:rPr>
                <w:sz w:val="20"/>
                <w:szCs w:val="20"/>
                <w:color w:val="auto"/>
              </w:rPr>
            </w:pPr>
            <w:r>
              <w:rPr>
                <w:rFonts w:ascii="Arial" w:cs="Arial" w:eastAsia="Arial" w:hAnsi="Arial"/>
                <w:sz w:val="18"/>
                <w:szCs w:val="18"/>
                <w:color w:val="auto"/>
              </w:rPr>
              <w:t>Change in fair value</w:t>
            </w:r>
            <w:r>
              <w:rPr>
                <w:rFonts w:ascii="Arial" w:cs="Arial" w:eastAsia="Arial" w:hAnsi="Arial"/>
                <w:sz w:val="23"/>
                <w:szCs w:val="23"/>
                <w:color w:val="auto"/>
                <w:vertAlign w:val="superscript"/>
              </w:rPr>
              <w:t>(A)</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6,648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Loans not yet repurchased</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 Change in fair value of loans are reflected in Gain on sale of loans, net on the Combined Consolidated Statements of Operations.</w:t>
      </w:r>
    </w:p>
    <w:p>
      <w:pPr>
        <w:spacing w:after="0" w:line="14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top five loan originators for the years ended December 31, 2024 and 2023 originated $1.5 billion and $1.3 billion unpaid principal balance of loans, or 75.4% and 85.3%, of total unpaid principal balance of loans purchased by the Company, representing 9.1% and 8.8% of total revenue, respectively.</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top five loan purchasers for the years ended December 31, 2024 and 2023 purchased $2.4 billion and $ 2.2 billion unpaid principal balance of loans, or 60.7% and 92.6%, of total unpaid principal balance of loans sold by the Company, excluding $498.8 million and $720.2 million UPB securitized, representing 18.1% and 23.7% of total revenue,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240"/>
          </w:cols>
          <w:pgMar w:left="320" w:top="229" w:right="339" w:bottom="1440" w:gutter="0" w:footer="0" w:header="0"/>
        </w:sectPr>
      </w:pPr>
    </w:p>
    <w:bookmarkStart w:id="333" w:name="page334"/>
    <w:bookmarkEnd w:id="333"/>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summarized components of debt for the years ended December 31, 2024 and 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December 31, 2024</w:t>
            </w: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December 31, 2023</w:t>
            </w: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vMerge w:val="restart"/>
          </w:tcPr>
          <w:p>
            <w:pPr>
              <w:jc w:val="right"/>
              <w:ind w:right="29"/>
              <w:spacing w:after="0"/>
              <w:rPr>
                <w:sz w:val="20"/>
                <w:szCs w:val="20"/>
                <w:color w:val="auto"/>
              </w:rPr>
            </w:pPr>
            <w:r>
              <w:rPr>
                <w:rFonts w:ascii="Arial" w:cs="Arial" w:eastAsia="Arial" w:hAnsi="Arial"/>
                <w:sz w:val="11"/>
                <w:szCs w:val="11"/>
                <w:b w:val="1"/>
                <w:bCs w:val="1"/>
                <w:color w:val="auto"/>
                <w:w w:val="92"/>
              </w:rPr>
              <w:t>Carrying Value</w:t>
            </w:r>
            <w:r>
              <w:rPr>
                <w:rFonts w:ascii="Arial" w:cs="Arial" w:eastAsia="Arial" w:hAnsi="Arial"/>
                <w:sz w:val="14"/>
                <w:szCs w:val="14"/>
                <w:b w:val="1"/>
                <w:bCs w:val="1"/>
                <w:color w:val="auto"/>
                <w:w w:val="92"/>
                <w:vertAlign w:val="superscript"/>
              </w:rPr>
              <w:t>(A)</w:t>
            </w:r>
          </w:p>
        </w:tc>
        <w:tc>
          <w:tcPr>
            <w:tcW w:w="100" w:type="dxa"/>
            <w:vAlign w:val="bottom"/>
          </w:tcPr>
          <w:p>
            <w:pPr>
              <w:spacing w:after="0"/>
              <w:rPr>
                <w:sz w:val="9"/>
                <w:szCs w:val="9"/>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9"/>
              </w:rPr>
              <w:t>Facility Inception Date</w:t>
            </w: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5"/>
              </w:rPr>
              <w:t>Final Stated Maturity</w:t>
            </w:r>
            <w:r>
              <w:rPr>
                <w:rFonts w:ascii="Arial" w:cs="Arial" w:eastAsia="Arial" w:hAnsi="Arial"/>
                <w:sz w:val="14"/>
                <w:szCs w:val="14"/>
                <w:b w:val="1"/>
                <w:bCs w:val="1"/>
                <w:color w:val="auto"/>
                <w:w w:val="95"/>
                <w:vertAlign w:val="superscript"/>
              </w:rPr>
              <w:t>(B)</w:t>
            </w:r>
          </w:p>
        </w:tc>
        <w:tc>
          <w:tcPr>
            <w:tcW w:w="1300" w:type="dxa"/>
            <w:vAlign w:val="bottom"/>
            <w:gridSpan w:val="2"/>
          </w:tcPr>
          <w:p>
            <w:pPr>
              <w:jc w:val="center"/>
              <w:ind w:right="80"/>
              <w:spacing w:after="0" w:line="109" w:lineRule="exact"/>
              <w:rPr>
                <w:sz w:val="20"/>
                <w:szCs w:val="20"/>
                <w:color w:val="auto"/>
              </w:rPr>
            </w:pPr>
            <w:r>
              <w:rPr>
                <w:rFonts w:ascii="Arial" w:cs="Arial" w:eastAsia="Arial" w:hAnsi="Arial"/>
                <w:sz w:val="11"/>
                <w:szCs w:val="11"/>
                <w:b w:val="1"/>
                <w:bCs w:val="1"/>
                <w:color w:val="auto"/>
                <w:w w:val="97"/>
              </w:rPr>
              <w:t>Weighted Average</w:t>
            </w:r>
          </w:p>
        </w:tc>
        <w:tc>
          <w:tcPr>
            <w:tcW w:w="1160" w:type="dxa"/>
            <w:vAlign w:val="bottom"/>
            <w:gridSpan w:val="3"/>
          </w:tcPr>
          <w:p>
            <w:pPr>
              <w:jc w:val="center"/>
              <w:ind w:right="120"/>
              <w:spacing w:after="0" w:line="109" w:lineRule="exact"/>
              <w:rPr>
                <w:sz w:val="20"/>
                <w:szCs w:val="20"/>
                <w:color w:val="auto"/>
              </w:rPr>
            </w:pPr>
            <w:r>
              <w:rPr>
                <w:rFonts w:ascii="Arial" w:cs="Arial" w:eastAsia="Arial" w:hAnsi="Arial"/>
                <w:sz w:val="11"/>
                <w:szCs w:val="11"/>
                <w:b w:val="1"/>
                <w:bCs w:val="1"/>
                <w:color w:val="auto"/>
                <w:w w:val="97"/>
              </w:rPr>
              <w:t>Collateral Carrying</w:t>
            </w:r>
          </w:p>
        </w:tc>
        <w:tc>
          <w:tcPr>
            <w:tcW w:w="120" w:type="dxa"/>
            <w:vAlign w:val="bottom"/>
          </w:tcPr>
          <w:p>
            <w:pPr>
              <w:spacing w:after="0"/>
              <w:rPr>
                <w:sz w:val="9"/>
                <w:szCs w:val="9"/>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1"/>
                <w:szCs w:val="11"/>
                <w:b w:val="1"/>
                <w:bCs w:val="1"/>
                <w:color w:val="auto"/>
                <w:w w:val="97"/>
              </w:rPr>
              <w:t>Carrying Value</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8"/>
              </w:rPr>
              <w:t>Funding Cost</w:t>
            </w:r>
          </w:p>
        </w:tc>
        <w:tc>
          <w:tcPr>
            <w:tcW w:w="24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5"/>
              </w:rPr>
              <w:t>Value</w:t>
            </w: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Funding Debt</w:t>
            </w: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460"/>
              <w:spacing w:after="0" w:line="202" w:lineRule="exact"/>
              <w:rPr>
                <w:sz w:val="20"/>
                <w:szCs w:val="20"/>
                <w:color w:val="auto"/>
              </w:rPr>
            </w:pPr>
            <w:r>
              <w:rPr>
                <w:rFonts w:ascii="Arial" w:cs="Arial" w:eastAsia="Arial" w:hAnsi="Arial"/>
                <w:sz w:val="14"/>
                <w:szCs w:val="14"/>
                <w:color w:val="auto"/>
              </w:rPr>
              <w:t>Warehouse Facility 1</w:t>
            </w:r>
            <w:r>
              <w:rPr>
                <w:rFonts w:ascii="Arial" w:cs="Arial" w:eastAsia="Arial" w:hAnsi="Arial"/>
                <w:sz w:val="18"/>
                <w:szCs w:val="18"/>
                <w:color w:val="auto"/>
                <w:vertAlign w:val="superscript"/>
              </w:rPr>
              <w:t>(C)</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28,286</w:t>
            </w:r>
          </w:p>
        </w:tc>
        <w:tc>
          <w:tcPr>
            <w:tcW w:w="10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color w:val="auto"/>
              </w:rPr>
              <w:t>August 2020</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rPr>
              <w:t>November 2025</w:t>
            </w:r>
          </w:p>
        </w:tc>
        <w:tc>
          <w:tcPr>
            <w:tcW w:w="1200" w:type="dxa"/>
            <w:vAlign w:val="bottom"/>
          </w:tcPr>
          <w:p>
            <w:pPr>
              <w:jc w:val="right"/>
              <w:spacing w:after="0"/>
              <w:rPr>
                <w:sz w:val="20"/>
                <w:szCs w:val="20"/>
                <w:color w:val="auto"/>
              </w:rPr>
            </w:pPr>
            <w:r>
              <w:rPr>
                <w:rFonts w:ascii="Arial" w:cs="Arial" w:eastAsia="Arial" w:hAnsi="Arial"/>
                <w:sz w:val="14"/>
                <w:szCs w:val="14"/>
                <w:color w:val="auto"/>
              </w:rPr>
              <w:t>9.3 %</w:t>
            </w:r>
          </w:p>
        </w:tc>
        <w:tc>
          <w:tcPr>
            <w:tcW w:w="100" w:type="dxa"/>
            <w:vAlign w:val="bottom"/>
          </w:tcPr>
          <w:p>
            <w:pPr>
              <w:spacing w:after="0"/>
              <w:rPr>
                <w:sz w:val="17"/>
                <w:szCs w:val="17"/>
                <w:color w:val="auto"/>
              </w:rPr>
            </w:pPr>
          </w:p>
        </w:tc>
        <w:tc>
          <w:tcPr>
            <w:tcW w:w="240" w:type="dxa"/>
            <w:vAlign w:val="bottom"/>
          </w:tcPr>
          <w:p>
            <w:pPr>
              <w:jc w:val="right"/>
              <w:ind w:right="77"/>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33,214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12,400</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460"/>
              <w:spacing w:after="0" w:line="202" w:lineRule="exact"/>
              <w:rPr>
                <w:sz w:val="20"/>
                <w:szCs w:val="20"/>
                <w:color w:val="auto"/>
              </w:rPr>
            </w:pPr>
            <w:r>
              <w:rPr>
                <w:rFonts w:ascii="Arial" w:cs="Arial" w:eastAsia="Arial" w:hAnsi="Arial"/>
                <w:sz w:val="14"/>
                <w:szCs w:val="14"/>
                <w:color w:val="auto"/>
              </w:rPr>
              <w:t>Warehouse Facility 2</w:t>
            </w:r>
            <w:r>
              <w:rPr>
                <w:rFonts w:ascii="Arial" w:cs="Arial" w:eastAsia="Arial" w:hAnsi="Arial"/>
                <w:sz w:val="18"/>
                <w:szCs w:val="18"/>
                <w:color w:val="auto"/>
                <w:vertAlign w:val="superscript"/>
              </w:rPr>
              <w:t>(D)</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61,007</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November 2022</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May 2025</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147,629</w:t>
            </w:r>
          </w:p>
        </w:tc>
        <w:tc>
          <w:tcPr>
            <w:tcW w:w="0" w:type="dxa"/>
            <w:vAlign w:val="bottom"/>
          </w:tcPr>
          <w:p>
            <w:pPr>
              <w:spacing w:after="0"/>
              <w:rPr>
                <w:sz w:val="1"/>
                <w:szCs w:val="1"/>
                <w:color w:val="auto"/>
              </w:rPr>
            </w:pPr>
          </w:p>
        </w:tc>
      </w:tr>
      <w:tr>
        <w:trPr>
          <w:trHeight w:val="203"/>
        </w:trPr>
        <w:tc>
          <w:tcPr>
            <w:tcW w:w="3320" w:type="dxa"/>
            <w:vAlign w:val="bottom"/>
          </w:tcPr>
          <w:p>
            <w:pPr>
              <w:ind w:left="460"/>
              <w:spacing w:after="0" w:line="202" w:lineRule="exact"/>
              <w:rPr>
                <w:sz w:val="20"/>
                <w:szCs w:val="20"/>
                <w:color w:val="auto"/>
              </w:rPr>
            </w:pPr>
            <w:r>
              <w:rPr>
                <w:rFonts w:ascii="Arial" w:cs="Arial" w:eastAsia="Arial" w:hAnsi="Arial"/>
                <w:sz w:val="14"/>
                <w:szCs w:val="14"/>
                <w:color w:val="auto"/>
              </w:rPr>
              <w:t>Warehouse Facility 3</w:t>
            </w:r>
            <w:r>
              <w:rPr>
                <w:rFonts w:ascii="Arial" w:cs="Arial" w:eastAsia="Arial" w:hAnsi="Arial"/>
                <w:sz w:val="18"/>
                <w:szCs w:val="18"/>
                <w:color w:val="auto"/>
                <w:vertAlign w:val="superscript"/>
              </w:rPr>
              <w:t>(E)</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26,227</w:t>
            </w:r>
          </w:p>
        </w:tc>
        <w:tc>
          <w:tcPr>
            <w:tcW w:w="10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color w:val="auto"/>
              </w:rPr>
              <w:t>October 2023</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rPr>
              <w:t>October 2025</w:t>
            </w: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24,827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21,300</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460"/>
              <w:spacing w:after="0" w:line="202" w:lineRule="exact"/>
              <w:rPr>
                <w:sz w:val="20"/>
                <w:szCs w:val="20"/>
                <w:color w:val="auto"/>
              </w:rPr>
            </w:pPr>
            <w:r>
              <w:rPr>
                <w:rFonts w:ascii="Arial" w:cs="Arial" w:eastAsia="Arial" w:hAnsi="Arial"/>
                <w:sz w:val="14"/>
                <w:szCs w:val="14"/>
                <w:color w:val="auto"/>
              </w:rPr>
              <w:t>Warehouse Facility 4</w:t>
            </w:r>
            <w:r>
              <w:rPr>
                <w:rFonts w:ascii="Arial" w:cs="Arial" w:eastAsia="Arial" w:hAnsi="Arial"/>
                <w:sz w:val="18"/>
                <w:szCs w:val="18"/>
                <w:color w:val="auto"/>
                <w:vertAlign w:val="superscript"/>
              </w:rPr>
              <w:t>(F)</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68,426</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February 2023</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January 2026</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5,944</w:t>
            </w:r>
          </w:p>
        </w:tc>
        <w:tc>
          <w:tcPr>
            <w:tcW w:w="0" w:type="dxa"/>
            <w:vAlign w:val="bottom"/>
          </w:tcPr>
          <w:p>
            <w:pPr>
              <w:spacing w:after="0"/>
              <w:rPr>
                <w:sz w:val="1"/>
                <w:szCs w:val="1"/>
                <w:color w:val="auto"/>
              </w:rPr>
            </w:pPr>
          </w:p>
        </w:tc>
      </w:tr>
      <w:tr>
        <w:trPr>
          <w:trHeight w:val="203"/>
        </w:trPr>
        <w:tc>
          <w:tcPr>
            <w:tcW w:w="3320" w:type="dxa"/>
            <w:vAlign w:val="bottom"/>
          </w:tcPr>
          <w:p>
            <w:pPr>
              <w:ind w:left="460"/>
              <w:spacing w:after="0" w:line="202" w:lineRule="exact"/>
              <w:rPr>
                <w:sz w:val="20"/>
                <w:szCs w:val="20"/>
                <w:color w:val="auto"/>
              </w:rPr>
            </w:pPr>
            <w:r>
              <w:rPr>
                <w:rFonts w:ascii="Arial" w:cs="Arial" w:eastAsia="Arial" w:hAnsi="Arial"/>
                <w:sz w:val="14"/>
                <w:szCs w:val="14"/>
                <w:color w:val="auto"/>
              </w:rPr>
              <w:t>Warehouse Facility 5</w:t>
            </w:r>
            <w:r>
              <w:rPr>
                <w:rFonts w:ascii="Arial" w:cs="Arial" w:eastAsia="Arial" w:hAnsi="Arial"/>
                <w:sz w:val="18"/>
                <w:szCs w:val="18"/>
                <w:color w:val="auto"/>
                <w:vertAlign w:val="superscript"/>
              </w:rPr>
              <w:t>(G)</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21,697</w:t>
            </w:r>
          </w:p>
        </w:tc>
        <w:tc>
          <w:tcPr>
            <w:tcW w:w="10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color w:val="auto"/>
              </w:rPr>
              <w:t>October 2023</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21,216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22,600</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460"/>
              <w:spacing w:after="0" w:line="202" w:lineRule="exact"/>
              <w:rPr>
                <w:sz w:val="20"/>
                <w:szCs w:val="20"/>
                <w:color w:val="auto"/>
              </w:rPr>
            </w:pPr>
            <w:r>
              <w:rPr>
                <w:rFonts w:ascii="Arial" w:cs="Arial" w:eastAsia="Arial" w:hAnsi="Arial"/>
                <w:sz w:val="14"/>
                <w:szCs w:val="14"/>
                <w:color w:val="auto"/>
              </w:rPr>
              <w:t>REIT Warehouse</w:t>
            </w:r>
            <w:r>
              <w:rPr>
                <w:rFonts w:ascii="Arial" w:cs="Arial" w:eastAsia="Arial" w:hAnsi="Arial"/>
                <w:sz w:val="18"/>
                <w:szCs w:val="18"/>
                <w:color w:val="auto"/>
                <w:vertAlign w:val="superscript"/>
              </w:rPr>
              <w:t>(H)</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99,182</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October 2024</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October 2025</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320" w:type="dxa"/>
            <w:vAlign w:val="bottom"/>
          </w:tcPr>
          <w:p>
            <w:pPr>
              <w:ind w:left="460"/>
              <w:spacing w:after="0" w:line="202" w:lineRule="exact"/>
              <w:rPr>
                <w:sz w:val="20"/>
                <w:szCs w:val="20"/>
                <w:color w:val="auto"/>
              </w:rPr>
            </w:pPr>
            <w:r>
              <w:rPr>
                <w:rFonts w:ascii="Arial" w:cs="Arial" w:eastAsia="Arial" w:hAnsi="Arial"/>
                <w:sz w:val="14"/>
                <w:szCs w:val="14"/>
                <w:color w:val="auto"/>
              </w:rPr>
              <w:t>Warehouse Facility 6</w:t>
            </w:r>
            <w:r>
              <w:rPr>
                <w:rFonts w:ascii="Arial" w:cs="Arial" w:eastAsia="Arial" w:hAnsi="Arial"/>
                <w:sz w:val="18"/>
                <w:szCs w:val="18"/>
                <w:color w:val="auto"/>
                <w:vertAlign w:val="superscript"/>
              </w:rPr>
              <w:t>(I)</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color w:val="auto"/>
              </w:rPr>
              <w:t>May 2024</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rPr>
              <w:t>May 2026</w:t>
            </w:r>
          </w:p>
        </w:tc>
        <w:tc>
          <w:tcPr>
            <w:tcW w:w="1300" w:type="dxa"/>
            <w:vAlign w:val="bottom"/>
            <w:gridSpan w:val="2"/>
          </w:tcPr>
          <w:p>
            <w:pPr>
              <w:ind w:left="900"/>
              <w:spacing w:after="0"/>
              <w:rPr>
                <w:sz w:val="20"/>
                <w:szCs w:val="20"/>
                <w:color w:val="auto"/>
              </w:rPr>
            </w:pPr>
            <w:r>
              <w:rPr>
                <w:rFonts w:ascii="Arial" w:cs="Arial" w:eastAsia="Arial" w:hAnsi="Arial"/>
                <w:sz w:val="14"/>
                <w:szCs w:val="14"/>
                <w:color w:val="auto"/>
              </w:rPr>
              <w:t>n.m.</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460"/>
              <w:spacing w:after="0" w:line="202" w:lineRule="exact"/>
              <w:rPr>
                <w:sz w:val="20"/>
                <w:szCs w:val="20"/>
                <w:color w:val="auto"/>
              </w:rPr>
            </w:pPr>
            <w:r>
              <w:rPr>
                <w:rFonts w:ascii="Arial" w:cs="Arial" w:eastAsia="Arial" w:hAnsi="Arial"/>
                <w:sz w:val="14"/>
                <w:szCs w:val="14"/>
                <w:color w:val="auto"/>
              </w:rPr>
              <w:t>Warehouse Facility 7</w:t>
            </w:r>
            <w:r>
              <w:rPr>
                <w:rFonts w:ascii="Arial" w:cs="Arial" w:eastAsia="Arial" w:hAnsi="Arial"/>
                <w:sz w:val="18"/>
                <w:szCs w:val="18"/>
                <w:color w:val="auto"/>
                <w:vertAlign w:val="superscript"/>
              </w:rPr>
              <w:t>(J)</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February 2023</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August 2025</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320" w:type="dxa"/>
            <w:vAlign w:val="bottom"/>
          </w:tcPr>
          <w:p>
            <w:pPr>
              <w:ind w:left="460"/>
              <w:spacing w:after="0" w:line="202" w:lineRule="exact"/>
              <w:rPr>
                <w:sz w:val="20"/>
                <w:szCs w:val="20"/>
                <w:color w:val="auto"/>
              </w:rPr>
            </w:pPr>
            <w:r>
              <w:rPr>
                <w:rFonts w:ascii="Arial" w:cs="Arial" w:eastAsia="Arial" w:hAnsi="Arial"/>
                <w:sz w:val="14"/>
                <w:szCs w:val="14"/>
                <w:color w:val="auto"/>
              </w:rPr>
              <w:t>Warehouse Facility 8</w:t>
            </w:r>
            <w:r>
              <w:rPr>
                <w:rFonts w:ascii="Arial" w:cs="Arial" w:eastAsia="Arial" w:hAnsi="Arial"/>
                <w:sz w:val="18"/>
                <w:szCs w:val="18"/>
                <w:color w:val="auto"/>
                <w:vertAlign w:val="superscript"/>
              </w:rPr>
              <w:t>(K)</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color w:val="auto"/>
              </w:rPr>
              <w:t>March 2022</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rPr>
              <w:t>December 2024</w:t>
            </w:r>
          </w:p>
        </w:tc>
        <w:tc>
          <w:tcPr>
            <w:tcW w:w="13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54,270</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460"/>
              <w:spacing w:after="0" w:line="202" w:lineRule="exact"/>
              <w:rPr>
                <w:sz w:val="20"/>
                <w:szCs w:val="20"/>
                <w:color w:val="auto"/>
              </w:rPr>
            </w:pPr>
            <w:r>
              <w:rPr>
                <w:rFonts w:ascii="Arial" w:cs="Arial" w:eastAsia="Arial" w:hAnsi="Arial"/>
                <w:sz w:val="14"/>
                <w:szCs w:val="14"/>
                <w:color w:val="auto"/>
              </w:rPr>
              <w:t>Warehouse Facility 9</w:t>
            </w:r>
            <w:r>
              <w:rPr>
                <w:rFonts w:ascii="Arial" w:cs="Arial" w:eastAsia="Arial" w:hAnsi="Arial"/>
                <w:sz w:val="18"/>
                <w:szCs w:val="18"/>
                <w:color w:val="auto"/>
                <w:vertAlign w:val="superscript"/>
              </w:rPr>
              <w:t>(L)</w:t>
            </w: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861</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March 2024</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March 2025</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320" w:type="dxa"/>
            <w:vAlign w:val="bottom"/>
          </w:tcPr>
          <w:p>
            <w:pPr>
              <w:ind w:left="240"/>
              <w:spacing w:after="0"/>
              <w:rPr>
                <w:sz w:val="20"/>
                <w:szCs w:val="20"/>
                <w:color w:val="auto"/>
              </w:rPr>
            </w:pPr>
            <w:r>
              <w:rPr>
                <w:rFonts w:ascii="Arial" w:cs="Arial" w:eastAsia="Arial" w:hAnsi="Arial"/>
                <w:sz w:val="14"/>
                <w:szCs w:val="14"/>
                <w:color w:val="auto"/>
              </w:rPr>
              <w:t>Total funding debt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305,294</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264,143</w:t>
            </w:r>
          </w:p>
        </w:tc>
        <w:tc>
          <w:tcPr>
            <w:tcW w:w="0" w:type="dxa"/>
            <w:vAlign w:val="bottom"/>
          </w:tcPr>
          <w:p>
            <w:pPr>
              <w:spacing w:after="0"/>
              <w:rPr>
                <w:sz w:val="1"/>
                <w:szCs w:val="1"/>
                <w:color w:val="auto"/>
              </w:rPr>
            </w:pPr>
          </w:p>
        </w:tc>
      </w:tr>
      <w:tr>
        <w:trPr>
          <w:trHeight w:val="274"/>
        </w:trPr>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MSR Financing</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320" w:type="dxa"/>
            <w:vAlign w:val="bottom"/>
            <w:shd w:val="clear" w:color="auto" w:fill="CCEEFF"/>
          </w:tcPr>
          <w:p>
            <w:pPr>
              <w:ind w:left="460"/>
              <w:spacing w:after="0" w:line="203" w:lineRule="exact"/>
              <w:rPr>
                <w:sz w:val="20"/>
                <w:szCs w:val="20"/>
                <w:color w:val="auto"/>
              </w:rPr>
            </w:pPr>
            <w:r>
              <w:rPr>
                <w:rFonts w:ascii="Arial" w:cs="Arial" w:eastAsia="Arial" w:hAnsi="Arial"/>
                <w:sz w:val="14"/>
                <w:szCs w:val="14"/>
                <w:color w:val="auto"/>
              </w:rPr>
              <w:t>Lender 1</w:t>
            </w:r>
            <w:r>
              <w:rPr>
                <w:rFonts w:ascii="Arial" w:cs="Arial" w:eastAsia="Arial" w:hAnsi="Arial"/>
                <w:sz w:val="18"/>
                <w:szCs w:val="18"/>
                <w:color w:val="auto"/>
                <w:vertAlign w:val="superscript"/>
              </w:rPr>
              <w:t>(M)</w:t>
            </w: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39,781</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June 2024</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June 2026</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69,542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320" w:type="dxa"/>
            <w:vAlign w:val="bottom"/>
          </w:tcPr>
          <w:p>
            <w:pPr>
              <w:ind w:left="240"/>
              <w:spacing w:after="0"/>
              <w:rPr>
                <w:sz w:val="20"/>
                <w:szCs w:val="20"/>
                <w:color w:val="auto"/>
              </w:rPr>
            </w:pPr>
            <w:r>
              <w:rPr>
                <w:rFonts w:ascii="Arial" w:cs="Arial" w:eastAsia="Arial" w:hAnsi="Arial"/>
                <w:sz w:val="14"/>
                <w:szCs w:val="14"/>
                <w:color w:val="auto"/>
              </w:rPr>
              <w:t>Total MSR Financing</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39,781</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Financed Retained Interests</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320" w:type="dxa"/>
            <w:vAlign w:val="bottom"/>
            <w:shd w:val="clear" w:color="auto" w:fill="CCEEFF"/>
          </w:tcPr>
          <w:p>
            <w:pPr>
              <w:ind w:left="460"/>
              <w:spacing w:after="0" w:line="203" w:lineRule="exact"/>
              <w:rPr>
                <w:sz w:val="20"/>
                <w:szCs w:val="20"/>
                <w:color w:val="auto"/>
              </w:rPr>
            </w:pPr>
            <w:r>
              <w:rPr>
                <w:rFonts w:ascii="Arial" w:cs="Arial" w:eastAsia="Arial" w:hAnsi="Arial"/>
                <w:sz w:val="14"/>
                <w:szCs w:val="14"/>
                <w:color w:val="auto"/>
              </w:rPr>
              <w:t>Financed retained interests</w:t>
            </w:r>
            <w:r>
              <w:rPr>
                <w:rFonts w:ascii="Arial" w:cs="Arial" w:eastAsia="Arial" w:hAnsi="Arial"/>
                <w:sz w:val="18"/>
                <w:szCs w:val="18"/>
                <w:color w:val="auto"/>
                <w:vertAlign w:val="superscript"/>
              </w:rPr>
              <w:t>(N)</w:t>
            </w: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128,101</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April 2023</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Various(O)</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128,982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25,048</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Financed Retained Interests</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128,101</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25,048</w:t>
            </w:r>
          </w:p>
        </w:tc>
        <w:tc>
          <w:tcPr>
            <w:tcW w:w="0" w:type="dxa"/>
            <w:vAlign w:val="bottom"/>
          </w:tcPr>
          <w:p>
            <w:pPr>
              <w:spacing w:after="0"/>
              <w:rPr>
                <w:sz w:val="1"/>
                <w:szCs w:val="1"/>
                <w:color w:val="auto"/>
              </w:rPr>
            </w:pPr>
          </w:p>
        </w:tc>
      </w:tr>
      <w:tr>
        <w:trPr>
          <w:trHeight w:val="225"/>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Debt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473,176</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289,191</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line="252" w:lineRule="auto"/>
        <w:tabs>
          <w:tab w:leader="none" w:pos="3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Net of deferred financing costs. At December 31, 2024 and 2023 deferred financing costs were $1.7 million and $0.6 million, respectively. During the years ended December 31, 2024 and 2023, the Company amortized $1.0 million and $0.3 million of deferred financing costs, respectively.</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Debt obligations with a stated maturity through the date of issuance of the combined financial statements were refinanced, extended or repaid.</w:t>
      </w:r>
    </w:p>
    <w:p>
      <w:pPr>
        <w:spacing w:after="0" w:line="8" w:lineRule="exact"/>
        <w:rPr>
          <w:rFonts w:ascii="Arial" w:cs="Arial" w:eastAsia="Arial" w:hAnsi="Arial"/>
          <w:sz w:val="16"/>
          <w:szCs w:val="16"/>
          <w:color w:val="auto"/>
        </w:rPr>
      </w:pPr>
    </w:p>
    <w:p>
      <w:pPr>
        <w:ind w:left="340" w:hanging="332"/>
        <w:spacing w:after="0" w:line="255" w:lineRule="auto"/>
        <w:tabs>
          <w:tab w:leader="none" w:pos="33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Warehouse Facility 1 bears variable interest at an annual benchmark rate of Secured Financing Overnight Rate (“SOFR”) plus a spread of 4.9% at December 31, 2024.</w:t>
      </w:r>
    </w:p>
    <w:p>
      <w:pPr>
        <w:ind w:left="340" w:hanging="332"/>
        <w:spacing w:after="0" w:line="252" w:lineRule="auto"/>
        <w:tabs>
          <w:tab w:leader="none" w:pos="33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Warehouse Facility 2 bears interest at an annual benchmark rate of SOFR plus a spread of 4.0% at December 31, 2024. The facility also carries a 50 bps exit fee on non-ABS loans repurchased.</w:t>
      </w:r>
    </w:p>
    <w:p>
      <w:pPr>
        <w:spacing w:after="0" w:line="1" w:lineRule="exact"/>
        <w:rPr>
          <w:rFonts w:ascii="Arial" w:cs="Arial" w:eastAsia="Arial" w:hAnsi="Arial"/>
          <w:sz w:val="16"/>
          <w:szCs w:val="16"/>
          <w:color w:val="auto"/>
        </w:rPr>
      </w:pPr>
    </w:p>
    <w:p>
      <w:pPr>
        <w:jc w:val="both"/>
        <w:ind w:left="340" w:hanging="332"/>
        <w:spacing w:after="0" w:line="252" w:lineRule="auto"/>
        <w:tabs>
          <w:tab w:leader="none" w:pos="3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Under Warehouse Facility 3, the interest accrued under the loans is payable to the lender during the period the loans are held, and the Company will pay a variable exit fee, which is determined on a quarterly basis as follows: (i) the first $50 million of principal balance repurchased is subject to a 0.5% exit fee, and (ii) amounts in excess of $50 million are subject to an exit fee that are between 0.125% to 1.50% of the price at which the Company securitizes repurchased loans or otherwise agreed between the Company and the lender for repurchased loans not securitized.</w:t>
      </w:r>
    </w:p>
    <w:p>
      <w:pPr>
        <w:ind w:left="340" w:hanging="332"/>
        <w:spacing w:after="0" w:line="255" w:lineRule="auto"/>
        <w:tabs>
          <w:tab w:leader="none" w:pos="331" w:val="left"/>
        </w:tabs>
        <w:numPr>
          <w:ilvl w:val="0"/>
          <w:numId w:val="157"/>
        </w:numPr>
        <w:rPr>
          <w:rFonts w:ascii="Arial" w:cs="Arial" w:eastAsia="Arial" w:hAnsi="Arial"/>
          <w:sz w:val="16"/>
          <w:szCs w:val="16"/>
          <w:color w:val="auto"/>
        </w:rPr>
      </w:pPr>
      <w:r>
        <w:rPr>
          <w:rFonts w:ascii="Arial" w:cs="Arial" w:eastAsia="Arial" w:hAnsi="Arial"/>
          <w:sz w:val="16"/>
          <w:szCs w:val="16"/>
          <w:color w:val="auto"/>
        </w:rPr>
        <w:t>Warehouse Facility 4 bears variable interest at an annual benchmark rate of SOFR plus a spread between 3.5% and 7.5%. A portion of the facility is also subject to a 0.5% non-use fee.</w:t>
      </w:r>
    </w:p>
    <w:p>
      <w:pPr>
        <w:ind w:left="320" w:hanging="312"/>
        <w:spacing w:after="0"/>
        <w:tabs>
          <w:tab w:leader="none" w:pos="32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Under Warehouse Facility 5, the interest accrued under the loans is payable to the lender during the period the loans are held.</w:t>
      </w:r>
    </w:p>
    <w:p>
      <w:pPr>
        <w:spacing w:after="0" w:line="14" w:lineRule="exact"/>
        <w:rPr>
          <w:rFonts w:ascii="Arial" w:cs="Arial" w:eastAsia="Arial" w:hAnsi="Arial"/>
          <w:sz w:val="16"/>
          <w:szCs w:val="16"/>
          <w:color w:val="auto"/>
        </w:rPr>
      </w:pPr>
    </w:p>
    <w:p>
      <w:pPr>
        <w:ind w:left="320" w:hanging="312"/>
        <w:spacing w:after="0"/>
        <w:tabs>
          <w:tab w:leader="none" w:pos="32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Under the REIT Warehouse, the interest accrued under the loans is payable to the lender during the period the loans are held.</w:t>
      </w:r>
    </w:p>
    <w:p>
      <w:pPr>
        <w:spacing w:after="0" w:line="8" w:lineRule="exact"/>
        <w:rPr>
          <w:rFonts w:ascii="Arial" w:cs="Arial" w:eastAsia="Arial" w:hAnsi="Arial"/>
          <w:sz w:val="16"/>
          <w:szCs w:val="16"/>
          <w:color w:val="auto"/>
        </w:rPr>
      </w:pPr>
    </w:p>
    <w:p>
      <w:pPr>
        <w:ind w:left="340" w:right="20" w:hanging="332"/>
        <w:spacing w:after="0" w:line="265" w:lineRule="auto"/>
        <w:tabs>
          <w:tab w:leader="none" w:pos="331" w:val="left"/>
        </w:tabs>
        <w:numPr>
          <w:ilvl w:val="0"/>
          <w:numId w:val="157"/>
        </w:numPr>
        <w:rPr>
          <w:rFonts w:ascii="Arial" w:cs="Arial" w:eastAsia="Arial" w:hAnsi="Arial"/>
          <w:sz w:val="16"/>
          <w:szCs w:val="16"/>
          <w:color w:val="auto"/>
        </w:rPr>
      </w:pPr>
      <w:r>
        <w:rPr>
          <w:rFonts w:ascii="Arial" w:cs="Arial" w:eastAsia="Arial" w:hAnsi="Arial"/>
          <w:sz w:val="16"/>
          <w:szCs w:val="16"/>
          <w:color w:val="auto"/>
        </w:rPr>
        <w:t>Warehouse Facility 6 bears interest at an annual benchmark rate of SOFR, plus a spread of 3.5% at December 31, 2024. The facility also carries a 0.5% exit fee on all loans repurchased from the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240"/>
          </w:cols>
          <w:pgMar w:left="320" w:top="229" w:right="339" w:bottom="1440" w:gutter="0" w:footer="0" w:header="0"/>
        </w:sectPr>
      </w:pPr>
    </w:p>
    <w:bookmarkStart w:id="334" w:name="page335"/>
    <w:bookmarkEnd w:id="334"/>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hanging="332"/>
        <w:spacing w:after="0"/>
        <w:tabs>
          <w:tab w:leader="none" w:pos="34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Warehouse Facility 7 bears interest at an annual benchmark rate of SOFR, plus a spread of 3.5% at December 31, 2024.</w:t>
      </w:r>
    </w:p>
    <w:p>
      <w:pPr>
        <w:spacing w:after="0" w:line="21" w:lineRule="exact"/>
        <w:rPr>
          <w:rFonts w:ascii="Arial" w:cs="Arial" w:eastAsia="Arial" w:hAnsi="Arial"/>
          <w:sz w:val="16"/>
          <w:szCs w:val="16"/>
          <w:color w:val="auto"/>
        </w:rPr>
      </w:pPr>
    </w:p>
    <w:p>
      <w:pPr>
        <w:ind w:left="340" w:hanging="332"/>
        <w:spacing w:after="0"/>
        <w:tabs>
          <w:tab w:leader="none" w:pos="34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Warehouse Facility 8 was closed during the year ended December 31, 2024 and the date of closure is the final stated maturity date.</w:t>
      </w:r>
    </w:p>
    <w:p>
      <w:pPr>
        <w:spacing w:after="0" w:line="14" w:lineRule="exact"/>
        <w:rPr>
          <w:rFonts w:ascii="Arial" w:cs="Arial" w:eastAsia="Arial" w:hAnsi="Arial"/>
          <w:sz w:val="16"/>
          <w:szCs w:val="16"/>
          <w:color w:val="auto"/>
        </w:rPr>
      </w:pPr>
    </w:p>
    <w:p>
      <w:pPr>
        <w:ind w:left="320" w:hanging="312"/>
        <w:spacing w:after="0"/>
        <w:tabs>
          <w:tab w:leader="none" w:pos="32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Under Warehouse Facility 9 the interest accrued under the loans is payable to the lender during the period the loans are held.</w:t>
      </w:r>
    </w:p>
    <w:p>
      <w:pPr>
        <w:spacing w:after="0" w:line="8" w:lineRule="exact"/>
        <w:rPr>
          <w:rFonts w:ascii="Arial" w:cs="Arial" w:eastAsia="Arial" w:hAnsi="Arial"/>
          <w:sz w:val="16"/>
          <w:szCs w:val="16"/>
          <w:color w:val="auto"/>
        </w:rPr>
      </w:pPr>
    </w:p>
    <w:p>
      <w:pPr>
        <w:jc w:val="both"/>
        <w:ind w:left="340" w:hanging="332"/>
        <w:spacing w:after="0" w:line="254" w:lineRule="auto"/>
        <w:tabs>
          <w:tab w:leader="none" w:pos="34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On June 7, 2024, the Company entered into a Loan and Security Agreement, as amended from time to time, (the “MSR Financing Agreement”) to provide the Company a senior secured financing facility in the form of a promissory note (the “MSR Facility”). The obligations of the Company under the MSR Financing Agreement are secured by the eligible servicing assets, which include servicing fees related to loan servicing rights owned by, or delegated to, the Company. Borrowings under the MSR Financing Agreement bear interest at 16.5% per annum.</w:t>
      </w:r>
    </w:p>
    <w:p>
      <w:pPr>
        <w:ind w:left="340" w:hanging="332"/>
        <w:spacing w:after="0" w:line="255" w:lineRule="auto"/>
        <w:tabs>
          <w:tab w:leader="none" w:pos="33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Under the Retained Interest Facility, the interest accrued on the securities and beneficial interests is payable to the lender during the period the loans are held plus a spread of 50 - 55bps depending on the tranche pledged.</w:t>
      </w:r>
    </w:p>
    <w:p>
      <w:pPr>
        <w:ind w:left="340" w:hanging="332"/>
        <w:spacing w:after="0" w:line="270" w:lineRule="auto"/>
        <w:tabs>
          <w:tab w:leader="none" w:pos="331"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maturities of financed retained interests align with the terms of the underlying securities. The financed retained interest have maturity dates of August 2027 through March 2036.</w:t>
      </w:r>
    </w:p>
    <w:p>
      <w:pPr>
        <w:spacing w:after="0" w:line="11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Maturities</w:t>
      </w:r>
    </w:p>
    <w:p>
      <w:pPr>
        <w:spacing w:after="0" w:line="169"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Contractual maturities of recourse and nonrecourse debt obligations at December 31,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tcPr>
          <w:p>
            <w:pPr>
              <w:jc w:val="right"/>
              <w:ind w:right="4316"/>
              <w:spacing w:after="0"/>
              <w:rPr>
                <w:sz w:val="20"/>
                <w:szCs w:val="20"/>
                <w:color w:val="auto"/>
              </w:rPr>
            </w:pPr>
            <w:r>
              <w:rPr>
                <w:rFonts w:ascii="Arial" w:cs="Arial" w:eastAsia="Arial" w:hAnsi="Arial"/>
                <w:sz w:val="14"/>
                <w:szCs w:val="14"/>
                <w:b w:val="1"/>
                <w:bCs w:val="1"/>
                <w:color w:val="auto"/>
              </w:rPr>
              <w:t>Years Ending December 31,</w:t>
            </w:r>
          </w:p>
        </w:tc>
        <w:tc>
          <w:tcPr>
            <w:tcW w:w="280" w:type="dxa"/>
            <w:vAlign w:val="bottom"/>
          </w:tcPr>
          <w:p>
            <w:pPr>
              <w:spacing w:after="0"/>
              <w:rPr>
                <w:sz w:val="17"/>
                <w:szCs w:val="17"/>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Recourse</w:t>
            </w:r>
          </w:p>
        </w:tc>
        <w:tc>
          <w:tcPr>
            <w:tcW w:w="240" w:type="dxa"/>
            <w:vAlign w:val="bottom"/>
          </w:tcPr>
          <w:p>
            <w:pPr>
              <w:spacing w:after="0"/>
              <w:rPr>
                <w:sz w:val="17"/>
                <w:szCs w:val="17"/>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Nonrecourse</w:t>
            </w:r>
          </w:p>
        </w:tc>
        <w:tc>
          <w:tcPr>
            <w:tcW w:w="380" w:type="dxa"/>
            <w:vAlign w:val="bottom"/>
          </w:tcPr>
          <w:p>
            <w:pPr>
              <w:spacing w:after="0"/>
              <w:rPr>
                <w:sz w:val="17"/>
                <w:szCs w:val="17"/>
                <w:color w:val="auto"/>
              </w:rPr>
            </w:pPr>
          </w:p>
        </w:tc>
        <w:tc>
          <w:tcPr>
            <w:tcW w:w="1200" w:type="dxa"/>
            <w:vAlign w:val="bottom"/>
          </w:tcPr>
          <w:p>
            <w:pPr>
              <w:jc w:val="right"/>
              <w:ind w:right="535"/>
              <w:spacing w:after="0"/>
              <w:rPr>
                <w:sz w:val="20"/>
                <w:szCs w:val="20"/>
                <w:color w:val="auto"/>
              </w:rPr>
            </w:pPr>
            <w:r>
              <w:rPr>
                <w:rFonts w:ascii="Arial" w:cs="Arial" w:eastAsia="Arial" w:hAnsi="Arial"/>
                <w:sz w:val="14"/>
                <w:szCs w:val="14"/>
                <w:b w:val="1"/>
                <w:bCs w:val="1"/>
                <w:color w:val="auto"/>
              </w:rPr>
              <w:t>Total</w:t>
            </w:r>
          </w:p>
        </w:tc>
      </w:tr>
      <w:tr>
        <w:trPr>
          <w:trHeight w:val="224"/>
        </w:trPr>
        <w:tc>
          <w:tcPr>
            <w:tcW w:w="6320" w:type="dxa"/>
            <w:vAlign w:val="bottom"/>
            <w:tcBorders>
              <w:top w:val="single" w:sz="8" w:color="CCEEFF"/>
            </w:tcBorders>
            <w:shd w:val="clear" w:color="auto" w:fill="CCEEFF"/>
          </w:tcPr>
          <w:p>
            <w:pPr>
              <w:jc w:val="right"/>
              <w:ind w:right="5596"/>
              <w:spacing w:after="0"/>
              <w:rPr>
                <w:sz w:val="20"/>
                <w:szCs w:val="20"/>
                <w:color w:val="auto"/>
              </w:rPr>
            </w:pPr>
            <w:r>
              <w:rPr>
                <w:rFonts w:ascii="Arial" w:cs="Arial" w:eastAsia="Arial" w:hAnsi="Arial"/>
                <w:sz w:val="18"/>
                <w:szCs w:val="18"/>
                <w:color w:val="auto"/>
              </w:rPr>
              <w:t>2025</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61,868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153,717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215,585</w:t>
            </w:r>
          </w:p>
        </w:tc>
      </w:tr>
      <w:tr>
        <w:trPr>
          <w:trHeight w:val="229"/>
        </w:trPr>
        <w:tc>
          <w:tcPr>
            <w:tcW w:w="6320" w:type="dxa"/>
            <w:vAlign w:val="bottom"/>
          </w:tcPr>
          <w:p>
            <w:pPr>
              <w:jc w:val="right"/>
              <w:ind w:right="5596"/>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108,568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108,568</w:t>
            </w:r>
          </w:p>
        </w:tc>
      </w:tr>
      <w:tr>
        <w:trPr>
          <w:trHeight w:val="248"/>
        </w:trPr>
        <w:tc>
          <w:tcPr>
            <w:tcW w:w="63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324,153</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Borrowing Capacity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borrowing capacity of committed debt facilities at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196"/>
        </w:trPr>
        <w:tc>
          <w:tcPr>
            <w:tcW w:w="6320" w:type="dxa"/>
            <w:vAlign w:val="bottom"/>
          </w:tcPr>
          <w:p>
            <w:pPr>
              <w:spacing w:after="0"/>
              <w:rPr>
                <w:sz w:val="17"/>
                <w:szCs w:val="17"/>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Borrowing Capacity</w:t>
            </w:r>
          </w:p>
        </w:tc>
        <w:tc>
          <w:tcPr>
            <w:tcW w:w="1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Balance Outstanding</w:t>
            </w:r>
          </w:p>
        </w:tc>
        <w:tc>
          <w:tcPr>
            <w:tcW w:w="120" w:type="dxa"/>
            <w:vAlign w:val="bottom"/>
          </w:tcPr>
          <w:p>
            <w:pPr>
              <w:spacing w:after="0"/>
              <w:rPr>
                <w:sz w:val="17"/>
                <w:szCs w:val="17"/>
                <w:color w:val="auto"/>
              </w:rPr>
            </w:pPr>
          </w:p>
        </w:tc>
        <w:tc>
          <w:tcPr>
            <w:tcW w:w="1460" w:type="dxa"/>
            <w:vAlign w:val="bottom"/>
          </w:tcPr>
          <w:p>
            <w:pPr>
              <w:jc w:val="right"/>
              <w:ind w:right="32"/>
              <w:spacing w:after="0"/>
              <w:rPr>
                <w:sz w:val="20"/>
                <w:szCs w:val="20"/>
                <w:color w:val="auto"/>
              </w:rPr>
            </w:pPr>
            <w:r>
              <w:rPr>
                <w:rFonts w:ascii="Arial" w:cs="Arial" w:eastAsia="Arial" w:hAnsi="Arial"/>
                <w:sz w:val="14"/>
                <w:szCs w:val="14"/>
                <w:b w:val="1"/>
                <w:bCs w:val="1"/>
                <w:color w:val="auto"/>
              </w:rPr>
              <w:t>Available Financing</w:t>
            </w:r>
          </w:p>
        </w:tc>
      </w:tr>
      <w:tr>
        <w:trPr>
          <w:trHeight w:val="210"/>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Funding Debt</w:t>
            </w:r>
          </w:p>
        </w:tc>
        <w:tc>
          <w:tcPr>
            <w:tcW w:w="4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30"/>
        </w:trPr>
        <w:tc>
          <w:tcPr>
            <w:tcW w:w="6320" w:type="dxa"/>
            <w:vAlign w:val="bottom"/>
          </w:tcPr>
          <w:p>
            <w:pPr>
              <w:ind w:left="240"/>
              <w:spacing w:after="0"/>
              <w:rPr>
                <w:sz w:val="20"/>
                <w:szCs w:val="20"/>
                <w:color w:val="auto"/>
              </w:rPr>
            </w:pPr>
            <w:r>
              <w:rPr>
                <w:rFonts w:ascii="Arial" w:cs="Arial" w:eastAsia="Arial" w:hAnsi="Arial"/>
                <w:sz w:val="18"/>
                <w:szCs w:val="18"/>
                <w:color w:val="auto"/>
              </w:rPr>
              <w:t>Warehouse Facility 1</w:t>
            </w: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28,286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221,714</w:t>
            </w:r>
          </w:p>
        </w:tc>
      </w:tr>
      <w:tr>
        <w:trPr>
          <w:trHeight w:val="230"/>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Warehouse Facility 2</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288,993</w:t>
            </w:r>
          </w:p>
        </w:tc>
      </w:tr>
      <w:tr>
        <w:trPr>
          <w:trHeight w:val="230"/>
        </w:trPr>
        <w:tc>
          <w:tcPr>
            <w:tcW w:w="6320" w:type="dxa"/>
            <w:vAlign w:val="bottom"/>
          </w:tcPr>
          <w:p>
            <w:pPr>
              <w:ind w:left="240"/>
              <w:spacing w:after="0"/>
              <w:rPr>
                <w:sz w:val="20"/>
                <w:szCs w:val="20"/>
                <w:color w:val="auto"/>
              </w:rPr>
            </w:pPr>
            <w:r>
              <w:rPr>
                <w:rFonts w:ascii="Arial" w:cs="Arial" w:eastAsia="Arial" w:hAnsi="Arial"/>
                <w:sz w:val="18"/>
                <w:szCs w:val="18"/>
                <w:color w:val="auto"/>
              </w:rPr>
              <w:t>Warehouse Facility 3</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26,227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73,773</w:t>
            </w:r>
          </w:p>
        </w:tc>
      </w:tr>
      <w:tr>
        <w:trPr>
          <w:trHeight w:val="229"/>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Warehouse Facility 4</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266,732</w:t>
            </w:r>
          </w:p>
        </w:tc>
      </w:tr>
      <w:tr>
        <w:trPr>
          <w:trHeight w:val="230"/>
        </w:trPr>
        <w:tc>
          <w:tcPr>
            <w:tcW w:w="6320" w:type="dxa"/>
            <w:vAlign w:val="bottom"/>
          </w:tcPr>
          <w:p>
            <w:pPr>
              <w:ind w:left="240"/>
              <w:spacing w:after="0"/>
              <w:rPr>
                <w:sz w:val="20"/>
                <w:szCs w:val="20"/>
                <w:color w:val="auto"/>
              </w:rPr>
            </w:pPr>
            <w:r>
              <w:rPr>
                <w:rFonts w:ascii="Arial" w:cs="Arial" w:eastAsia="Arial" w:hAnsi="Arial"/>
                <w:sz w:val="18"/>
                <w:szCs w:val="18"/>
                <w:color w:val="auto"/>
              </w:rPr>
              <w:t>REIT</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99,204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50,796</w:t>
            </w:r>
          </w:p>
        </w:tc>
      </w:tr>
      <w:tr>
        <w:trPr>
          <w:trHeight w:val="230"/>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Warehouse Facility 6</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r>
      <w:tr>
        <w:trPr>
          <w:trHeight w:val="230"/>
        </w:trPr>
        <w:tc>
          <w:tcPr>
            <w:tcW w:w="6320" w:type="dxa"/>
            <w:vAlign w:val="bottom"/>
          </w:tcPr>
          <w:p>
            <w:pPr>
              <w:ind w:left="240"/>
              <w:spacing w:after="0"/>
              <w:rPr>
                <w:sz w:val="20"/>
                <w:szCs w:val="20"/>
                <w:color w:val="auto"/>
              </w:rPr>
            </w:pPr>
            <w:r>
              <w:rPr>
                <w:rFonts w:ascii="Arial" w:cs="Arial" w:eastAsia="Arial" w:hAnsi="Arial"/>
                <w:sz w:val="18"/>
                <w:szCs w:val="18"/>
                <w:color w:val="auto"/>
              </w:rPr>
              <w:t>Warehouse Facility 7</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Warehouse Facility 9</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9,689</w:t>
            </w:r>
          </w:p>
        </w:tc>
      </w:tr>
      <w:tr>
        <w:trPr>
          <w:trHeight w:val="270"/>
        </w:trPr>
        <w:tc>
          <w:tcPr>
            <w:tcW w:w="6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MSR Financing</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6320" w:type="dxa"/>
            <w:vAlign w:val="bottom"/>
          </w:tcPr>
          <w:p>
            <w:pPr>
              <w:ind w:left="240"/>
              <w:spacing w:after="0"/>
              <w:rPr>
                <w:sz w:val="20"/>
                <w:szCs w:val="20"/>
                <w:color w:val="auto"/>
              </w:rPr>
            </w:pPr>
            <w:r>
              <w:rPr>
                <w:rFonts w:ascii="Arial" w:cs="Arial" w:eastAsia="Arial" w:hAnsi="Arial"/>
                <w:sz w:val="18"/>
                <w:szCs w:val="18"/>
                <w:color w:val="auto"/>
              </w:rPr>
              <w:t>Lender 1</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3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Financed Retained Interests</w:t>
            </w: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Retained Interest Facility</w:t>
            </w: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129,005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120,995</w:t>
            </w:r>
          </w:p>
        </w:tc>
      </w:tr>
      <w:tr>
        <w:trPr>
          <w:trHeight w:val="223"/>
        </w:trPr>
        <w:tc>
          <w:tcPr>
            <w:tcW w:w="6320" w:type="dxa"/>
            <w:vAlign w:val="bottom"/>
          </w:tcPr>
          <w:p>
            <w:pPr>
              <w:spacing w:after="0"/>
              <w:rPr>
                <w:sz w:val="19"/>
                <w:szCs w:val="19"/>
                <w:color w:val="auto"/>
              </w:rPr>
            </w:pP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1,736,850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453,158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1,283,692</w:t>
            </w:r>
          </w:p>
        </w:tc>
      </w:tr>
      <w:tr>
        <w:trPr>
          <w:trHeight w:val="20"/>
        </w:trPr>
        <w:tc>
          <w:tcPr>
            <w:tcW w:w="6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Certain debt obligations are subject to customary loan covenants, such as minimum tangible net worth, minimum liquidity, maximum leverage ratios, required range of net income or loss during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240"/>
          </w:cols>
          <w:pgMar w:left="320" w:top="229" w:right="339" w:bottom="1440" w:gutter="0" w:footer="0" w:header="0"/>
        </w:sectPr>
      </w:pPr>
    </w:p>
    <w:bookmarkStart w:id="335" w:name="page336"/>
    <w:bookmarkEnd w:id="335"/>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periods, and periodic financial reporting requirements, and event of default provisions, including event of default provisions triggered by certain specified declines in the Company’s equity or a failure to maintain a specified tangible net worth, liquidity or indebtedness to tangible net worth ratio. The Company was in compliance with all of its debt covenants at December 31, 2024.</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Facilities</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following summarizes the debt facilities the Company entered into or amended during the years ended December 31, 2024 and 2023.</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Warehouse Facility 1</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 May 2023, the Company amended its Warehouse Facility 1 to increase the maximum borrowings available to be issued through the facility from $200.0 million to $250.0 million.</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Warehouse Facility 2</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September 2023, the Company amended Warehouse Facility 2 to increase the maximum combined borrowings, available to be issued through the facility of $100.0 million, and existing borrowings that were previously under a separate facility, to $400.0 million. In December 2024, the Company amended Warehouse Facility 2 to reduce the maximum combined borrowing available to be issued through the facility to $350 million.</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Warehouse Facility 3</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February 2024, the Company amended Warehouse Facility 3 to adjust the maximum borrowings available to be issued through the facility of $100.0 million to $ 150.0 million for the period February 1, 2024 through April 30, 2024 and $ 100.0 million thereafter. The warehouse facility was further amended in February 2024 to adjust the maximum borrowings available to be issued through the facility of $200.0 million for the period February 1, 2024 through April 30, 2024 and $100.0 million thereafter.</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Warehouse Facility 4</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February 2023, the Company entered into a warehouse facility, Warehouse Facility 4, that has maximum borrowings available to be issued through the facility of $200.0 million. In March 2024, the Company amended Warehouse Facility 4 to establish a second class of buyer under the facility, with Class A Buyers providing a maximum borrowings available to be issued of $300.0 million and Class B Buyers providing a maximum borrowings available to be issued of $35.3 million, for a maximum combined borrowings of 335.3 million.</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REIT Warehouse</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 October 2024, the Company entered into a secured warehouse credit facility, the REIT Warehouse, with a maximum note balance available to be issued through the facility of $150.0 million.</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MSR Facility</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June 2024, the Company entered into the MSR Financing Agreement with Lender 1 to provide Figure a senior secured financing facility, the MSR Facility. The MSR Facility has a limit of $30.0 million in the form of a promissory note. In September 2024, the Company entered into an amendment to its existing agreement with Lender 1, which increased the borrowing capacity to $40.0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EQUITY</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These financial statements combine the capital structures and operations of FTI and Markets, both of which issued common and convertible preferred shares as well as equity awards in the form of options on and after the Reorganization (Note 2). In addition to common and preferred shares, FTI issued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240"/>
          </w:cols>
          <w:pgMar w:left="320" w:top="229" w:right="339" w:bottom="1440" w:gutter="0" w:footer="0" w:header="0"/>
        </w:sectPr>
      </w:pPr>
    </w:p>
    <w:bookmarkStart w:id="336" w:name="page337"/>
    <w:bookmarkEnd w:id="336"/>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awards in the form of restricted stock awards (“RSAs”) and Markets issued warrants. Unless otherwise stated, the terms of each equity instrument applies to each respective entity.</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equity instruments at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2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December 31, 2024</w:t>
            </w: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r>
        <w:trPr>
          <w:trHeight w:val="238"/>
        </w:trPr>
        <w:tc>
          <w:tcPr>
            <w:tcW w:w="34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Issued and Outstanding</w:t>
            </w:r>
            <w:r>
              <w:rPr>
                <w:rFonts w:ascii="Arial" w:cs="Arial" w:eastAsia="Arial" w:hAnsi="Arial"/>
                <w:sz w:val="18"/>
                <w:szCs w:val="18"/>
                <w:b w:val="1"/>
                <w:bCs w:val="1"/>
                <w:color w:val="auto"/>
                <w:vertAlign w:val="superscript"/>
              </w:rPr>
              <w:t>(A)</w:t>
            </w:r>
          </w:p>
        </w:tc>
        <w:tc>
          <w:tcPr>
            <w:tcW w:w="1440" w:type="dxa"/>
            <w:vAlign w:val="bottom"/>
            <w:tcBorders>
              <w:bottom w:val="single" w:sz="8" w:color="auto"/>
            </w:tcBorders>
          </w:tcPr>
          <w:p>
            <w:pPr>
              <w:spacing w:after="0"/>
              <w:rPr>
                <w:sz w:val="20"/>
                <w:szCs w:val="20"/>
                <w:color w:val="auto"/>
              </w:rPr>
            </w:pPr>
          </w:p>
        </w:tc>
      </w:tr>
      <w:tr>
        <w:trPr>
          <w:trHeight w:val="237"/>
        </w:trPr>
        <w:tc>
          <w:tcPr>
            <w:tcW w:w="3420" w:type="dxa"/>
            <w:vAlign w:val="bottom"/>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Authorized Shares</w:t>
            </w:r>
          </w:p>
        </w:tc>
        <w:tc>
          <w:tcPr>
            <w:tcW w:w="1500" w:type="dxa"/>
            <w:vAlign w:val="bottom"/>
          </w:tcPr>
          <w:p>
            <w:pPr>
              <w:jc w:val="right"/>
              <w:ind w:right="334"/>
              <w:spacing w:after="0"/>
              <w:rPr>
                <w:sz w:val="20"/>
                <w:szCs w:val="20"/>
                <w:color w:val="auto"/>
              </w:rPr>
            </w:pPr>
            <w:r>
              <w:rPr>
                <w:rFonts w:ascii="Arial" w:cs="Arial" w:eastAsia="Arial" w:hAnsi="Arial"/>
                <w:sz w:val="14"/>
                <w:szCs w:val="14"/>
                <w:b w:val="1"/>
                <w:bCs w:val="1"/>
                <w:color w:val="auto"/>
              </w:rPr>
              <w:t>Shares</w:t>
            </w:r>
            <w:r>
              <w:rPr>
                <w:rFonts w:ascii="Arial" w:cs="Arial" w:eastAsia="Arial" w:hAnsi="Arial"/>
                <w:sz w:val="18"/>
                <w:szCs w:val="18"/>
                <w:b w:val="1"/>
                <w:bCs w:val="1"/>
                <w:color w:val="auto"/>
                <w:vertAlign w:val="superscript"/>
              </w:rPr>
              <w:t>(B)</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ind w:left="400"/>
              <w:spacing w:after="0"/>
              <w:rPr>
                <w:sz w:val="20"/>
                <w:szCs w:val="20"/>
                <w:color w:val="auto"/>
              </w:rPr>
            </w:pPr>
            <w:r>
              <w:rPr>
                <w:rFonts w:ascii="Arial" w:cs="Arial" w:eastAsia="Arial" w:hAnsi="Arial"/>
                <w:sz w:val="14"/>
                <w:szCs w:val="14"/>
                <w:b w:val="1"/>
                <w:bCs w:val="1"/>
                <w:color w:val="auto"/>
              </w:rPr>
              <w:t>Warrants</w:t>
            </w:r>
          </w:p>
        </w:tc>
        <w:tc>
          <w:tcPr>
            <w:tcW w:w="1540" w:type="dxa"/>
            <w:vAlign w:val="bottom"/>
            <w:gridSpan w:val="2"/>
          </w:tcPr>
          <w:p>
            <w:pPr>
              <w:ind w:left="440"/>
              <w:spacing w:after="0"/>
              <w:rPr>
                <w:sz w:val="20"/>
                <w:szCs w:val="20"/>
                <w:color w:val="auto"/>
              </w:rPr>
            </w:pPr>
            <w:r>
              <w:rPr>
                <w:rFonts w:ascii="Arial" w:cs="Arial" w:eastAsia="Arial" w:hAnsi="Arial"/>
                <w:sz w:val="14"/>
                <w:szCs w:val="14"/>
                <w:b w:val="1"/>
                <w:bCs w:val="1"/>
                <w:color w:val="auto"/>
              </w:rPr>
              <w:t>Options</w:t>
            </w: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RSA</w:t>
            </w:r>
          </w:p>
        </w:tc>
      </w:tr>
      <w:tr>
        <w:trPr>
          <w:trHeight w:val="209"/>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9"/>
        </w:trPr>
        <w:tc>
          <w:tcPr>
            <w:tcW w:w="3420" w:type="dxa"/>
            <w:vAlign w:val="bottom"/>
          </w:tcPr>
          <w:p>
            <w:pPr>
              <w:ind w:left="460"/>
              <w:spacing w:after="0"/>
              <w:rPr>
                <w:sz w:val="20"/>
                <w:szCs w:val="20"/>
                <w:color w:val="auto"/>
              </w:rPr>
            </w:pPr>
            <w:r>
              <w:rPr>
                <w:rFonts w:ascii="Arial" w:cs="Arial" w:eastAsia="Arial" w:hAnsi="Arial"/>
                <w:sz w:val="18"/>
                <w:szCs w:val="18"/>
                <w:color w:val="auto"/>
              </w:rPr>
              <w:t>FTI</w:t>
            </w:r>
          </w:p>
        </w:tc>
        <w:tc>
          <w:tcPr>
            <w:tcW w:w="1560" w:type="dxa"/>
            <w:vAlign w:val="bottom"/>
          </w:tcPr>
          <w:p>
            <w:pPr>
              <w:jc w:val="right"/>
              <w:spacing w:after="0"/>
              <w:rPr>
                <w:sz w:val="20"/>
                <w:szCs w:val="20"/>
                <w:color w:val="auto"/>
              </w:rPr>
            </w:pPr>
            <w:r>
              <w:rPr>
                <w:rFonts w:ascii="Arial" w:cs="Arial" w:eastAsia="Arial" w:hAnsi="Arial"/>
                <w:sz w:val="18"/>
                <w:szCs w:val="18"/>
                <w:color w:val="auto"/>
              </w:rPr>
              <w:t>202,800,000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48,918,728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29,648,570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44,973,456</w:t>
            </w:r>
          </w:p>
        </w:tc>
      </w:tr>
      <w:tr>
        <w:trPr>
          <w:trHeight w:val="230"/>
        </w:trPr>
        <w:tc>
          <w:tcPr>
            <w:tcW w:w="34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Markets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188,540,000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101,071,089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11,811,451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420" w:type="dxa"/>
            <w:vAlign w:val="bottom"/>
          </w:tcPr>
          <w:p>
            <w:pPr>
              <w:ind w:left="240"/>
              <w:spacing w:after="0"/>
              <w:rPr>
                <w:sz w:val="20"/>
                <w:szCs w:val="20"/>
                <w:color w:val="auto"/>
              </w:rPr>
            </w:pPr>
            <w:r>
              <w:rPr>
                <w:rFonts w:ascii="Arial" w:cs="Arial" w:eastAsia="Arial" w:hAnsi="Arial"/>
                <w:sz w:val="18"/>
                <w:szCs w:val="18"/>
                <w:color w:val="auto"/>
              </w:rPr>
              <w:t>Total Common Stock</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391,340,000</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149,989,817</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41,460,021</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44,973,456</w:t>
            </w: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34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Convertible Preferred Stock</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34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FTI</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104,575,110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104,575,110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20" w:type="dxa"/>
            <w:vAlign w:val="bottom"/>
          </w:tcPr>
          <w:p>
            <w:pPr>
              <w:ind w:left="460"/>
              <w:spacing w:after="0"/>
              <w:rPr>
                <w:sz w:val="20"/>
                <w:szCs w:val="20"/>
                <w:color w:val="auto"/>
              </w:rPr>
            </w:pPr>
            <w:r>
              <w:rPr>
                <w:rFonts w:ascii="Arial" w:cs="Arial" w:eastAsia="Arial" w:hAnsi="Arial"/>
                <w:sz w:val="18"/>
                <w:szCs w:val="18"/>
                <w:color w:val="auto"/>
              </w:rPr>
              <w:t>Markets</w:t>
            </w:r>
          </w:p>
        </w:tc>
        <w:tc>
          <w:tcPr>
            <w:tcW w:w="1560" w:type="dxa"/>
            <w:vAlign w:val="bottom"/>
          </w:tcPr>
          <w:p>
            <w:pPr>
              <w:jc w:val="right"/>
              <w:spacing w:after="0"/>
              <w:rPr>
                <w:sz w:val="20"/>
                <w:szCs w:val="20"/>
                <w:color w:val="auto"/>
              </w:rPr>
            </w:pPr>
            <w:r>
              <w:rPr>
                <w:rFonts w:ascii="Arial" w:cs="Arial" w:eastAsia="Arial" w:hAnsi="Arial"/>
                <w:sz w:val="18"/>
                <w:szCs w:val="18"/>
                <w:color w:val="auto"/>
              </w:rPr>
              <w:t>56,573,362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36,326,136</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6,850,717</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34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Convertible Preferred Stock</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161,148,472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140,901,246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6,850,717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420"/>
        </w:trPr>
        <w:tc>
          <w:tcPr>
            <w:tcW w:w="342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9"/>
              </w:rPr>
              <w:t>December 31, 2023</w:t>
            </w:r>
            <w:r>
              <w:rPr>
                <w:rFonts w:ascii="Arial" w:cs="Arial" w:eastAsia="Arial" w:hAnsi="Arial"/>
                <w:sz w:val="18"/>
                <w:szCs w:val="18"/>
                <w:b w:val="1"/>
                <w:bCs w:val="1"/>
                <w:color w:val="auto"/>
                <w:w w:val="99"/>
                <w:vertAlign w:val="superscript"/>
              </w:rPr>
              <w:t>(C)</w:t>
            </w: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236"/>
        </w:trPr>
        <w:tc>
          <w:tcPr>
            <w:tcW w:w="34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Issued and Outstanding</w:t>
            </w:r>
            <w:r>
              <w:rPr>
                <w:rFonts w:ascii="Arial" w:cs="Arial" w:eastAsia="Arial" w:hAnsi="Arial"/>
                <w:sz w:val="18"/>
                <w:szCs w:val="18"/>
                <w:b w:val="1"/>
                <w:bCs w:val="1"/>
                <w:color w:val="auto"/>
                <w:vertAlign w:val="superscript"/>
              </w:rPr>
              <w:t>(A)</w:t>
            </w:r>
          </w:p>
        </w:tc>
        <w:tc>
          <w:tcPr>
            <w:tcW w:w="1440" w:type="dxa"/>
            <w:vAlign w:val="bottom"/>
            <w:tcBorders>
              <w:bottom w:val="single" w:sz="8" w:color="auto"/>
            </w:tcBorders>
          </w:tcPr>
          <w:p>
            <w:pPr>
              <w:spacing w:after="0"/>
              <w:rPr>
                <w:sz w:val="20"/>
                <w:szCs w:val="20"/>
                <w:color w:val="auto"/>
              </w:rPr>
            </w:pPr>
          </w:p>
        </w:tc>
      </w:tr>
      <w:tr>
        <w:trPr>
          <w:trHeight w:val="237"/>
        </w:trPr>
        <w:tc>
          <w:tcPr>
            <w:tcW w:w="3420" w:type="dxa"/>
            <w:vAlign w:val="bottom"/>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Authorized Shares</w:t>
            </w:r>
          </w:p>
        </w:tc>
        <w:tc>
          <w:tcPr>
            <w:tcW w:w="1500" w:type="dxa"/>
            <w:vAlign w:val="bottom"/>
          </w:tcPr>
          <w:p>
            <w:pPr>
              <w:jc w:val="right"/>
              <w:ind w:right="334"/>
              <w:spacing w:after="0"/>
              <w:rPr>
                <w:sz w:val="20"/>
                <w:szCs w:val="20"/>
                <w:color w:val="auto"/>
              </w:rPr>
            </w:pPr>
            <w:r>
              <w:rPr>
                <w:rFonts w:ascii="Arial" w:cs="Arial" w:eastAsia="Arial" w:hAnsi="Arial"/>
                <w:sz w:val="14"/>
                <w:szCs w:val="14"/>
                <w:b w:val="1"/>
                <w:bCs w:val="1"/>
                <w:color w:val="auto"/>
              </w:rPr>
              <w:t>Shares</w:t>
            </w:r>
            <w:r>
              <w:rPr>
                <w:rFonts w:ascii="Arial" w:cs="Arial" w:eastAsia="Arial" w:hAnsi="Arial"/>
                <w:sz w:val="18"/>
                <w:szCs w:val="18"/>
                <w:b w:val="1"/>
                <w:bCs w:val="1"/>
                <w:color w:val="auto"/>
                <w:vertAlign w:val="superscript"/>
              </w:rPr>
              <w:t>(B)</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ind w:left="400"/>
              <w:spacing w:after="0"/>
              <w:rPr>
                <w:sz w:val="20"/>
                <w:szCs w:val="20"/>
                <w:color w:val="auto"/>
              </w:rPr>
            </w:pPr>
            <w:r>
              <w:rPr>
                <w:rFonts w:ascii="Arial" w:cs="Arial" w:eastAsia="Arial" w:hAnsi="Arial"/>
                <w:sz w:val="14"/>
                <w:szCs w:val="14"/>
                <w:b w:val="1"/>
                <w:bCs w:val="1"/>
                <w:color w:val="auto"/>
              </w:rPr>
              <w:t>Warrants</w:t>
            </w:r>
          </w:p>
        </w:tc>
        <w:tc>
          <w:tcPr>
            <w:tcW w:w="1540" w:type="dxa"/>
            <w:vAlign w:val="bottom"/>
            <w:gridSpan w:val="2"/>
          </w:tcPr>
          <w:p>
            <w:pPr>
              <w:ind w:left="440"/>
              <w:spacing w:after="0"/>
              <w:rPr>
                <w:sz w:val="20"/>
                <w:szCs w:val="20"/>
                <w:color w:val="auto"/>
              </w:rPr>
            </w:pPr>
            <w:r>
              <w:rPr>
                <w:rFonts w:ascii="Arial" w:cs="Arial" w:eastAsia="Arial" w:hAnsi="Arial"/>
                <w:sz w:val="14"/>
                <w:szCs w:val="14"/>
                <w:b w:val="1"/>
                <w:bCs w:val="1"/>
                <w:color w:val="auto"/>
              </w:rPr>
              <w:t>Options</w:t>
            </w: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RSA</w:t>
            </w:r>
          </w:p>
        </w:tc>
      </w:tr>
      <w:tr>
        <w:trPr>
          <w:trHeight w:val="210"/>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3420" w:type="dxa"/>
            <w:vAlign w:val="bottom"/>
          </w:tcPr>
          <w:p>
            <w:pPr>
              <w:ind w:left="240"/>
              <w:spacing w:after="0"/>
              <w:rPr>
                <w:sz w:val="20"/>
                <w:szCs w:val="20"/>
                <w:color w:val="auto"/>
              </w:rPr>
            </w:pPr>
            <w:r>
              <w:rPr>
                <w:rFonts w:ascii="Arial" w:cs="Arial" w:eastAsia="Arial" w:hAnsi="Arial"/>
                <w:sz w:val="18"/>
                <w:szCs w:val="18"/>
                <w:color w:val="auto"/>
              </w:rPr>
              <w:t>FTI</w:t>
            </w:r>
          </w:p>
        </w:tc>
        <w:tc>
          <w:tcPr>
            <w:tcW w:w="1560" w:type="dxa"/>
            <w:vAlign w:val="bottom"/>
          </w:tcPr>
          <w:p>
            <w:pPr>
              <w:jc w:val="right"/>
              <w:spacing w:after="0"/>
              <w:rPr>
                <w:sz w:val="20"/>
                <w:szCs w:val="20"/>
                <w:color w:val="auto"/>
              </w:rPr>
            </w:pPr>
            <w:r>
              <w:rPr>
                <w:rFonts w:ascii="Arial" w:cs="Arial" w:eastAsia="Arial" w:hAnsi="Arial"/>
                <w:sz w:val="18"/>
                <w:szCs w:val="18"/>
                <w:color w:val="auto"/>
              </w:rPr>
              <w:t>197,100,000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51,618,208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19,807,404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39,098,606</w:t>
            </w: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Convertible Preferred Stock</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9"/>
        </w:trPr>
        <w:tc>
          <w:tcPr>
            <w:tcW w:w="3420" w:type="dxa"/>
            <w:vAlign w:val="bottom"/>
          </w:tcPr>
          <w:p>
            <w:pPr>
              <w:ind w:left="240"/>
              <w:spacing w:after="0"/>
              <w:rPr>
                <w:sz w:val="20"/>
                <w:szCs w:val="20"/>
                <w:color w:val="auto"/>
              </w:rPr>
            </w:pPr>
            <w:r>
              <w:rPr>
                <w:rFonts w:ascii="Arial" w:cs="Arial" w:eastAsia="Arial" w:hAnsi="Arial"/>
                <w:sz w:val="18"/>
                <w:szCs w:val="18"/>
                <w:color w:val="auto"/>
              </w:rPr>
              <w:t>FTI</w:t>
            </w:r>
          </w:p>
        </w:tc>
        <w:tc>
          <w:tcPr>
            <w:tcW w:w="1560" w:type="dxa"/>
            <w:vAlign w:val="bottom"/>
          </w:tcPr>
          <w:p>
            <w:pPr>
              <w:jc w:val="right"/>
              <w:spacing w:after="0"/>
              <w:rPr>
                <w:sz w:val="20"/>
                <w:szCs w:val="20"/>
                <w:color w:val="auto"/>
              </w:rPr>
            </w:pPr>
            <w:r>
              <w:rPr>
                <w:rFonts w:ascii="Arial" w:cs="Arial" w:eastAsia="Arial" w:hAnsi="Arial"/>
                <w:sz w:val="18"/>
                <w:szCs w:val="18"/>
                <w:color w:val="auto"/>
              </w:rPr>
              <w:t>106,615,302</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104,575,110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line="252" w:lineRule="auto"/>
        <w:tabs>
          <w:tab w:leader="none" w:pos="34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Except for common and convertible preferred shares, amounts represent the gross common or convertible preferred shares issuable upon exercise or vesting.</w:t>
      </w:r>
    </w:p>
    <w:p>
      <w:pPr>
        <w:spacing w:after="0" w:line="1" w:lineRule="exact"/>
        <w:rPr>
          <w:rFonts w:ascii="Arial" w:cs="Arial" w:eastAsia="Arial" w:hAnsi="Arial"/>
          <w:sz w:val="16"/>
          <w:szCs w:val="16"/>
          <w:color w:val="auto"/>
        </w:rPr>
      </w:pPr>
    </w:p>
    <w:p>
      <w:pPr>
        <w:jc w:val="both"/>
        <w:ind w:left="340" w:hanging="332"/>
        <w:spacing w:after="0" w:line="254" w:lineRule="auto"/>
        <w:tabs>
          <w:tab w:leader="none" w:pos="34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Par value of $0.00001 per share. The holders of each share of common stock are entitled to voting rights equal to one vote for each share of common stock. The holder of each share of preferred stock is entitled to voting rights equal to the number of shares of common stock into which each share of preferred stock converts at the stated conversion rate. Common shareholders of each of FTI and Markets may elect five and ten members to the respective entity’s Board of Directors. Except for FTI’s Series C-2 and D convertible preferred stock, each series of convertible preferred stock, as a group, is entitled to elect one member to each respective entity’s Board of Directors (Series C and C-1 elect a single member to FTI’s Board of Director as a group). Any remaining members to the respective entity’s Board of Directors are elected by common and preferred shareholders, on an as-converted basis, as a single group. At December 31, 2024, no common or convertible preferred dividends have been declared by either FTI or Markets.</w:t>
      </w:r>
    </w:p>
    <w:p>
      <w:pPr>
        <w:ind w:left="320" w:hanging="312"/>
        <w:spacing w:after="0"/>
        <w:tabs>
          <w:tab w:leader="none" w:pos="32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Applicable to FT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240"/>
          </w:cols>
          <w:pgMar w:left="320" w:top="229" w:right="339" w:bottom="1440" w:gutter="0" w:footer="0" w:header="0"/>
        </w:sectPr>
      </w:pPr>
    </w:p>
    <w:bookmarkStart w:id="337" w:name="page338"/>
    <w:bookmarkEnd w:id="337"/>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table includes information regarding each series of FTI’s and Markets’ convertible preferred stock at December 31, 2024 and 2023:</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280" w:type="dxa"/>
            <w:vAlign w:val="bottom"/>
          </w:tcPr>
          <w:p>
            <w:pPr>
              <w:spacing w:after="0"/>
              <w:rPr>
                <w:sz w:val="13"/>
                <w:szCs w:val="13"/>
                <w:color w:val="auto"/>
              </w:rPr>
            </w:pPr>
          </w:p>
        </w:tc>
        <w:tc>
          <w:tcPr>
            <w:tcW w:w="258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98"/>
              </w:rPr>
              <w:t>Number of Shares Outstanding</w:t>
            </w:r>
          </w:p>
        </w:tc>
        <w:tc>
          <w:tcPr>
            <w:tcW w:w="300" w:type="dxa"/>
            <w:vAlign w:val="bottom"/>
          </w:tcPr>
          <w:p>
            <w:pPr>
              <w:spacing w:after="0"/>
              <w:rPr>
                <w:sz w:val="13"/>
                <w:szCs w:val="13"/>
                <w:color w:val="auto"/>
              </w:rPr>
            </w:pPr>
          </w:p>
        </w:tc>
        <w:tc>
          <w:tcPr>
            <w:tcW w:w="2200" w:type="dxa"/>
            <w:vAlign w:val="bottom"/>
            <w:gridSpan w:val="4"/>
          </w:tcPr>
          <w:p>
            <w:pPr>
              <w:jc w:val="right"/>
              <w:ind w:right="590"/>
              <w:spacing w:after="0"/>
              <w:rPr>
                <w:sz w:val="20"/>
                <w:szCs w:val="20"/>
                <w:color w:val="auto"/>
              </w:rPr>
            </w:pPr>
            <w:r>
              <w:rPr>
                <w:rFonts w:ascii="Arial" w:cs="Arial" w:eastAsia="Arial" w:hAnsi="Arial"/>
                <w:sz w:val="11"/>
                <w:szCs w:val="11"/>
                <w:b w:val="1"/>
                <w:bCs w:val="1"/>
                <w:color w:val="auto"/>
              </w:rPr>
              <w:t>Liquidation Preference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7"/>
              </w:rPr>
              <w:t>Per Share</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280" w:type="dxa"/>
            <w:vAlign w:val="bottom"/>
          </w:tcPr>
          <w:p>
            <w:pPr>
              <w:spacing w:after="0"/>
              <w:rPr>
                <w:sz w:val="15"/>
                <w:szCs w:val="15"/>
                <w:color w:val="auto"/>
              </w:rPr>
            </w:pPr>
          </w:p>
        </w:tc>
        <w:tc>
          <w:tcPr>
            <w:tcW w:w="1620" w:type="dxa"/>
            <w:vAlign w:val="bottom"/>
            <w:tcBorders>
              <w:top w:val="single" w:sz="8" w:color="auto"/>
              <w:bottom w:val="single" w:sz="8" w:color="auto"/>
            </w:tcBorders>
            <w:gridSpan w:val="3"/>
          </w:tcPr>
          <w:p>
            <w:pPr>
              <w:jc w:val="center"/>
              <w:ind w:left="813"/>
              <w:spacing w:after="0"/>
              <w:rPr>
                <w:sz w:val="20"/>
                <w:szCs w:val="20"/>
                <w:color w:val="auto"/>
              </w:rPr>
            </w:pPr>
            <w:r>
              <w:rPr>
                <w:rFonts w:ascii="Arial" w:cs="Arial" w:eastAsia="Arial" w:hAnsi="Arial"/>
                <w:sz w:val="11"/>
                <w:szCs w:val="11"/>
                <w:b w:val="1"/>
                <w:bCs w:val="1"/>
                <w:color w:val="auto"/>
                <w:w w:val="97"/>
              </w:rPr>
              <w:t>December 31,</w:t>
            </w:r>
          </w:p>
        </w:tc>
        <w:tc>
          <w:tcPr>
            <w:tcW w:w="88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gridSpan w:val="3"/>
          </w:tcPr>
          <w:p>
            <w:pPr>
              <w:jc w:val="right"/>
              <w:ind w:right="8"/>
              <w:spacing w:after="0"/>
              <w:rPr>
                <w:sz w:val="20"/>
                <w:szCs w:val="20"/>
                <w:color w:val="auto"/>
              </w:rPr>
            </w:pPr>
            <w:r>
              <w:rPr>
                <w:rFonts w:ascii="Arial" w:cs="Arial" w:eastAsia="Arial" w:hAnsi="Arial"/>
                <w:sz w:val="11"/>
                <w:szCs w:val="11"/>
                <w:b w:val="1"/>
                <w:bCs w:val="1"/>
                <w:color w:val="auto"/>
              </w:rPr>
              <w:t>December 31,</w:t>
            </w:r>
          </w:p>
        </w:tc>
        <w:tc>
          <w:tcPr>
            <w:tcW w:w="8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80" w:type="dxa"/>
            <w:vAlign w:val="bottom"/>
          </w:tcPr>
          <w:p>
            <w:pPr>
              <w:spacing w:after="0"/>
              <w:rPr>
                <w:sz w:val="16"/>
                <w:szCs w:val="16"/>
                <w:color w:val="auto"/>
              </w:rPr>
            </w:pPr>
          </w:p>
        </w:tc>
        <w:tc>
          <w:tcPr>
            <w:tcW w:w="1200" w:type="dxa"/>
            <w:vAlign w:val="bottom"/>
          </w:tcPr>
          <w:p>
            <w:pPr>
              <w:jc w:val="right"/>
              <w:ind w:right="413"/>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ind w:right="410"/>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413"/>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ind w:right="410"/>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70"/>
              <w:spacing w:after="0"/>
              <w:rPr>
                <w:sz w:val="20"/>
                <w:szCs w:val="20"/>
                <w:color w:val="auto"/>
              </w:rPr>
            </w:pPr>
            <w:r>
              <w:rPr>
                <w:rFonts w:ascii="Arial" w:cs="Arial" w:eastAsia="Arial" w:hAnsi="Arial"/>
                <w:sz w:val="11"/>
                <w:szCs w:val="11"/>
                <w:b w:val="1"/>
                <w:bCs w:val="1"/>
                <w:color w:val="auto"/>
                <w:w w:val="93"/>
              </w:rPr>
              <w:t>Liquidation Price</w:t>
            </w:r>
            <w:r>
              <w:rPr>
                <w:rFonts w:ascii="Arial" w:cs="Arial" w:eastAsia="Arial" w:hAnsi="Arial"/>
                <w:sz w:val="14"/>
                <w:szCs w:val="14"/>
                <w:b w:val="1"/>
                <w:bCs w:val="1"/>
                <w:color w:val="auto"/>
                <w:w w:val="93"/>
                <w:vertAlign w:val="superscript"/>
              </w:rPr>
              <w:t>(A)</w:t>
            </w:r>
          </w:p>
        </w:tc>
        <w:tc>
          <w:tcPr>
            <w:tcW w:w="2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4"/>
              </w:rPr>
              <w:t>Dividends</w:t>
            </w:r>
            <w:r>
              <w:rPr>
                <w:rFonts w:ascii="Arial" w:cs="Arial" w:eastAsia="Arial" w:hAnsi="Arial"/>
                <w:sz w:val="14"/>
                <w:szCs w:val="14"/>
                <w:b w:val="1"/>
                <w:bCs w:val="1"/>
                <w:color w:val="auto"/>
                <w:w w:val="94"/>
                <w:vertAlign w:val="superscript"/>
              </w:rPr>
              <w:t>(B)</w:t>
            </w:r>
          </w:p>
        </w:tc>
        <w:tc>
          <w:tcPr>
            <w:tcW w:w="100" w:type="dxa"/>
            <w:vAlign w:val="bottom"/>
          </w:tcPr>
          <w:p>
            <w:pPr>
              <w:spacing w:after="0"/>
              <w:rPr>
                <w:sz w:val="16"/>
                <w:szCs w:val="16"/>
                <w:color w:val="auto"/>
              </w:rPr>
            </w:pPr>
          </w:p>
        </w:tc>
        <w:tc>
          <w:tcPr>
            <w:tcW w:w="1100" w:type="dxa"/>
            <w:vAlign w:val="bottom"/>
          </w:tcPr>
          <w:p>
            <w:pPr>
              <w:jc w:val="right"/>
              <w:ind w:right="50"/>
              <w:spacing w:after="0"/>
              <w:rPr>
                <w:sz w:val="20"/>
                <w:szCs w:val="20"/>
                <w:color w:val="auto"/>
              </w:rPr>
            </w:pPr>
            <w:r>
              <w:rPr>
                <w:rFonts w:ascii="Arial" w:cs="Arial" w:eastAsia="Arial" w:hAnsi="Arial"/>
                <w:sz w:val="11"/>
                <w:szCs w:val="11"/>
                <w:b w:val="1"/>
                <w:bCs w:val="1"/>
                <w:color w:val="auto"/>
                <w:w w:val="95"/>
              </w:rPr>
              <w:t>Conversion Rate</w:t>
            </w:r>
            <w:r>
              <w:rPr>
                <w:rFonts w:ascii="Arial" w:cs="Arial" w:eastAsia="Arial" w:hAnsi="Arial"/>
                <w:sz w:val="14"/>
                <w:szCs w:val="14"/>
                <w:b w:val="1"/>
                <w:bCs w:val="1"/>
                <w:color w:val="auto"/>
                <w:w w:val="95"/>
                <w:vertAlign w:val="superscript"/>
              </w:rPr>
              <w:t>(C)</w:t>
            </w:r>
          </w:p>
        </w:tc>
        <w:tc>
          <w:tcPr>
            <w:tcW w:w="0" w:type="dxa"/>
            <w:vAlign w:val="bottom"/>
          </w:tcPr>
          <w:p>
            <w:pPr>
              <w:spacing w:after="0"/>
              <w:rPr>
                <w:sz w:val="1"/>
                <w:szCs w:val="1"/>
                <w:color w:val="auto"/>
              </w:rPr>
            </w:pPr>
          </w:p>
        </w:tc>
      </w:tr>
      <w:tr>
        <w:trPr>
          <w:trHeight w:val="183"/>
        </w:trPr>
        <w:tc>
          <w:tcPr>
            <w:tcW w:w="228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4"/>
                <w:szCs w:val="14"/>
                <w:b w:val="1"/>
                <w:bCs w:val="1"/>
                <w:color w:val="auto"/>
              </w:rPr>
              <w:t>FTI</w:t>
            </w:r>
            <w:r>
              <w:rPr>
                <w:rFonts w:ascii="Arial" w:cs="Arial" w:eastAsia="Arial" w:hAnsi="Arial"/>
                <w:sz w:val="18"/>
                <w:szCs w:val="18"/>
                <w:b w:val="1"/>
                <w:bCs w:val="1"/>
                <w:color w:val="auto"/>
                <w:vertAlign w:val="superscript"/>
              </w:rPr>
              <w:t>(D)</w:t>
            </w: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80" w:type="dxa"/>
            <w:vAlign w:val="bottom"/>
          </w:tcPr>
          <w:p>
            <w:pPr>
              <w:ind w:left="360"/>
              <w:spacing w:after="0"/>
              <w:rPr>
                <w:sz w:val="20"/>
                <w:szCs w:val="20"/>
                <w:color w:val="auto"/>
              </w:rPr>
            </w:pPr>
            <w:r>
              <w:rPr>
                <w:rFonts w:ascii="Arial" w:cs="Arial" w:eastAsia="Arial" w:hAnsi="Arial"/>
                <w:sz w:val="14"/>
                <w:szCs w:val="14"/>
                <w:color w:val="auto"/>
              </w:rPr>
              <w:t>Series Seed</w:t>
            </w:r>
          </w:p>
        </w:tc>
        <w:tc>
          <w:tcPr>
            <w:tcW w:w="1200" w:type="dxa"/>
            <w:vAlign w:val="bottom"/>
          </w:tcPr>
          <w:p>
            <w:pPr>
              <w:jc w:val="right"/>
              <w:spacing w:after="0"/>
              <w:rPr>
                <w:sz w:val="20"/>
                <w:szCs w:val="20"/>
                <w:color w:val="auto"/>
              </w:rPr>
            </w:pPr>
            <w:r>
              <w:rPr>
                <w:rFonts w:ascii="Arial" w:cs="Arial" w:eastAsia="Arial" w:hAnsi="Arial"/>
                <w:sz w:val="14"/>
                <w:szCs w:val="14"/>
                <w:color w:val="auto"/>
              </w:rPr>
              <w:t>16,100,540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16,100,540</w:t>
            </w:r>
          </w:p>
        </w:tc>
        <w:tc>
          <w:tcPr>
            <w:tcW w:w="8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3"/>
              <w:spacing w:after="0"/>
              <w:rPr>
                <w:sz w:val="20"/>
                <w:szCs w:val="20"/>
                <w:color w:val="auto"/>
              </w:rPr>
            </w:pPr>
            <w:r>
              <w:rPr>
                <w:rFonts w:ascii="Arial" w:cs="Arial" w:eastAsia="Arial" w:hAnsi="Arial"/>
                <w:sz w:val="14"/>
                <w:szCs w:val="14"/>
                <w:color w:val="auto"/>
              </w:rPr>
              <w:t>16,947</w:t>
            </w:r>
          </w:p>
        </w:tc>
        <w:tc>
          <w:tcPr>
            <w:tcW w:w="100" w:type="dxa"/>
            <w:vAlign w:val="bottom"/>
          </w:tcPr>
          <w:p>
            <w:pPr>
              <w:spacing w:after="0"/>
              <w:rPr>
                <w:sz w:val="17"/>
                <w:szCs w:val="17"/>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16,947</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1.05</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07"/>
        </w:trPr>
        <w:tc>
          <w:tcPr>
            <w:tcW w:w="2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Series A</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32,860,461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32,860,461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41,759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41,759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1.27</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98"/>
        </w:trPr>
        <w:tc>
          <w:tcPr>
            <w:tcW w:w="2280" w:type="dxa"/>
            <w:vAlign w:val="bottom"/>
          </w:tcPr>
          <w:p>
            <w:pPr>
              <w:ind w:left="360"/>
              <w:spacing w:after="0"/>
              <w:rPr>
                <w:sz w:val="20"/>
                <w:szCs w:val="20"/>
                <w:color w:val="auto"/>
              </w:rPr>
            </w:pPr>
            <w:r>
              <w:rPr>
                <w:rFonts w:ascii="Arial" w:cs="Arial" w:eastAsia="Arial" w:hAnsi="Arial"/>
                <w:sz w:val="14"/>
                <w:szCs w:val="14"/>
                <w:color w:val="auto"/>
              </w:rPr>
              <w:t>Series B</w:t>
            </w:r>
          </w:p>
        </w:tc>
        <w:tc>
          <w:tcPr>
            <w:tcW w:w="1200" w:type="dxa"/>
            <w:vAlign w:val="bottom"/>
          </w:tcPr>
          <w:p>
            <w:pPr>
              <w:jc w:val="right"/>
              <w:spacing w:after="0"/>
              <w:rPr>
                <w:sz w:val="20"/>
                <w:szCs w:val="20"/>
                <w:color w:val="auto"/>
              </w:rPr>
            </w:pPr>
            <w:r>
              <w:rPr>
                <w:rFonts w:ascii="Arial" w:cs="Arial" w:eastAsia="Arial" w:hAnsi="Arial"/>
                <w:sz w:val="14"/>
                <w:szCs w:val="14"/>
                <w:color w:val="auto"/>
              </w:rPr>
              <w:t>29,448,787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29,448,787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13"/>
              <w:spacing w:after="0"/>
              <w:rPr>
                <w:sz w:val="20"/>
                <w:szCs w:val="20"/>
                <w:color w:val="auto"/>
              </w:rPr>
            </w:pPr>
            <w:r>
              <w:rPr>
                <w:rFonts w:ascii="Arial" w:cs="Arial" w:eastAsia="Arial" w:hAnsi="Arial"/>
                <w:sz w:val="14"/>
                <w:szCs w:val="14"/>
                <w:color w:val="auto"/>
              </w:rPr>
              <w:t>73,519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73,519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2.50</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07"/>
        </w:trPr>
        <w:tc>
          <w:tcPr>
            <w:tcW w:w="2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Series C-1</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504,081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504,081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3,050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6.05</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198"/>
        </w:trPr>
        <w:tc>
          <w:tcPr>
            <w:tcW w:w="2280" w:type="dxa"/>
            <w:vAlign w:val="bottom"/>
          </w:tcPr>
          <w:p>
            <w:pPr>
              <w:ind w:left="360"/>
              <w:spacing w:after="0"/>
              <w:rPr>
                <w:sz w:val="20"/>
                <w:szCs w:val="20"/>
                <w:color w:val="auto"/>
              </w:rPr>
            </w:pPr>
            <w:r>
              <w:rPr>
                <w:rFonts w:ascii="Arial" w:cs="Arial" w:eastAsia="Arial" w:hAnsi="Arial"/>
                <w:sz w:val="14"/>
                <w:szCs w:val="14"/>
                <w:color w:val="auto"/>
              </w:rPr>
              <w:t>Series C-2</w:t>
            </w:r>
          </w:p>
        </w:tc>
        <w:tc>
          <w:tcPr>
            <w:tcW w:w="1200" w:type="dxa"/>
            <w:vAlign w:val="bottom"/>
          </w:tcPr>
          <w:p>
            <w:pPr>
              <w:jc w:val="right"/>
              <w:spacing w:after="0"/>
              <w:rPr>
                <w:sz w:val="20"/>
                <w:szCs w:val="20"/>
                <w:color w:val="auto"/>
              </w:rPr>
            </w:pPr>
            <w:r>
              <w:rPr>
                <w:rFonts w:ascii="Arial" w:cs="Arial" w:eastAsia="Arial" w:hAnsi="Arial"/>
                <w:sz w:val="14"/>
                <w:szCs w:val="14"/>
                <w:color w:val="auto"/>
              </w:rPr>
              <w:t>1,983,287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1,983,287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13"/>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15,000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7.56</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0.61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7.56</w:t>
            </w:r>
          </w:p>
        </w:tc>
        <w:tc>
          <w:tcPr>
            <w:tcW w:w="0" w:type="dxa"/>
            <w:vAlign w:val="bottom"/>
          </w:tcPr>
          <w:p>
            <w:pPr>
              <w:spacing w:after="0"/>
              <w:rPr>
                <w:sz w:val="1"/>
                <w:szCs w:val="1"/>
                <w:color w:val="auto"/>
              </w:rPr>
            </w:pPr>
          </w:p>
        </w:tc>
      </w:tr>
      <w:tr>
        <w:trPr>
          <w:trHeight w:val="207"/>
        </w:trPr>
        <w:tc>
          <w:tcPr>
            <w:tcW w:w="2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Series C</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11,238,629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11,238,629</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85,000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85,000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7.56</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0" w:type="dxa"/>
            <w:vAlign w:val="bottom"/>
          </w:tcPr>
          <w:p>
            <w:pPr>
              <w:spacing w:after="0"/>
              <w:rPr>
                <w:sz w:val="1"/>
                <w:szCs w:val="1"/>
                <w:color w:val="auto"/>
              </w:rPr>
            </w:pPr>
          </w:p>
        </w:tc>
      </w:tr>
      <w:tr>
        <w:trPr>
          <w:trHeight w:val="198"/>
        </w:trPr>
        <w:tc>
          <w:tcPr>
            <w:tcW w:w="22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Series 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12,439,325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12,439,325</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219,999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219,999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17.69</w:t>
            </w:r>
          </w:p>
        </w:tc>
        <w:tc>
          <w:tcPr>
            <w:tcW w:w="2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17.69</w:t>
            </w:r>
          </w:p>
        </w:tc>
        <w:tc>
          <w:tcPr>
            <w:tcW w:w="0" w:type="dxa"/>
            <w:vAlign w:val="bottom"/>
          </w:tcPr>
          <w:p>
            <w:pPr>
              <w:spacing w:after="0"/>
              <w:rPr>
                <w:sz w:val="1"/>
                <w:szCs w:val="1"/>
                <w:color w:val="auto"/>
              </w:rPr>
            </w:pPr>
          </w:p>
        </w:tc>
      </w:tr>
      <w:tr>
        <w:trPr>
          <w:trHeight w:val="225"/>
        </w:trPr>
        <w:tc>
          <w:tcPr>
            <w:tcW w:w="2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104,575,110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104,575,110</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455,275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455,275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Markets</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28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Series Seed</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36,326,136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n.a.</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73,292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2.02</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jc w:val="both"/>
        <w:ind w:left="340" w:hanging="332"/>
        <w:spacing w:after="0" w:line="252" w:lineRule="auto"/>
        <w:tabs>
          <w:tab w:leader="none" w:pos="34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In the event of any liquidation, dissolution, or winding up of the issuing entity, either voluntary or involuntary, the holders of preferred stock are entitled to receive, prior to and in preference over holders of common stock, an amount equal to the original issuance price as adjusted for dividends, stock splits, combinations, recapitalizations, or similar adjustments. If the issuing entity’s legally available assets are insufficient to satisfy the preferred stock liquidation preference, the funds will be distributed ratably among the preferred stock stockholders in proportion to their full liquidation preference. Following the above payments, all remaining legally available assets of the issuing entity, if any, are distributed to the holders of common and preferred stock on an as-converted basis.</w:t>
      </w:r>
    </w:p>
    <w:p>
      <w:pPr>
        <w:spacing w:after="0" w:line="1" w:lineRule="exact"/>
        <w:rPr>
          <w:rFonts w:ascii="Arial" w:cs="Arial" w:eastAsia="Arial" w:hAnsi="Arial"/>
          <w:sz w:val="16"/>
          <w:szCs w:val="16"/>
          <w:color w:val="auto"/>
        </w:rPr>
      </w:pPr>
    </w:p>
    <w:p>
      <w:pPr>
        <w:jc w:val="both"/>
        <w:ind w:left="340" w:right="20" w:hanging="332"/>
        <w:spacing w:after="0" w:line="255" w:lineRule="auto"/>
        <w:tabs>
          <w:tab w:leader="none" w:pos="34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holders of preferred stock are entitled to receive dividends, when and if declared by the issuing entity’s Board of Directors, out of any of the issuing entity’s funds or assets legally available. The holders of preferred stock are entitled to receive dividends prior to, and in preference of, dividends declared on common stock. Dividends are non-cumulative and paid on a pari passu basis, with any additional dividends paid ratably among holders of common stock and preferred stock on an as-converted basis.</w:t>
      </w:r>
    </w:p>
    <w:p>
      <w:pPr>
        <w:spacing w:after="0" w:line="1" w:lineRule="exact"/>
        <w:rPr>
          <w:rFonts w:ascii="Arial" w:cs="Arial" w:eastAsia="Arial" w:hAnsi="Arial"/>
          <w:sz w:val="16"/>
          <w:szCs w:val="16"/>
          <w:color w:val="auto"/>
        </w:rPr>
      </w:pPr>
    </w:p>
    <w:p>
      <w:pPr>
        <w:jc w:val="both"/>
        <w:ind w:left="340" w:hanging="332"/>
        <w:spacing w:after="0" w:line="254" w:lineRule="auto"/>
        <w:tabs>
          <w:tab w:leader="none" w:pos="33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Each share of preferred stock is convertible to common stock, at the option of the holder, at any time after the date of issuance at a specified rate. Each share of preferred stock will automatically convert into shares of common stock, at the then-effective conversion rate, upon the earlier of: (i) a qualifying initial public offering with aggregate gross proceeds exceeding $50.0 million or, (ii) upon the issuing entity’s receipt of written consent by the holders of a majority of the then-outstanding shares of preferred stock, voting as a single class, on an as-converted basis.</w:t>
      </w:r>
    </w:p>
    <w:p>
      <w:pPr>
        <w:ind w:left="320" w:hanging="312"/>
        <w:spacing w:after="0"/>
        <w:tabs>
          <w:tab w:leader="none" w:pos="3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share information presented applies to FTI and FT at December 31, 2024 and 2023, respectively.</w:t>
      </w:r>
    </w:p>
    <w:p>
      <w:pPr>
        <w:spacing w:after="0" w:line="15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Common Stock</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2024, as part of the Reorganization, the Company issued 74,121,957 common shares at a par value of $0.0001 per share as part of the formation of Markets. As part of the Reorganization certain employees were granted the ability to transfer outstanding common stock of FTI to the Company in the total amount of 3,667,229 shares in exchange for an equitable amount of common stock of Markets in the total amount of 25,876,894 shares. The shares received by the Company were returned to the authorized pool of shares available to be issued.</w:t>
      </w:r>
    </w:p>
    <w:p>
      <w:pPr>
        <w:spacing w:after="0" w:line="1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 December 2024, the Company voluntarily redeemed 186,054 common shares at a weighted average price of $5.38 per share and immediately retired the common shares, reducing common shares authorized for issuance by the same amount.</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6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In March 2024, the Company issued 36,326,136 convertible preferred shares of Markets at a price of $2.02 per share for proceeds of $73.3 million, net of issuance costs totaling $1.5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240"/>
          </w:cols>
          <w:pgMar w:left="320" w:top="229" w:right="339" w:bottom="1440" w:gutter="0" w:footer="0" w:header="0"/>
        </w:sectPr>
      </w:pPr>
    </w:p>
    <w:bookmarkStart w:id="338" w:name="page339"/>
    <w:bookmarkEnd w:id="338"/>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Protection Provisions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long as 12,000,000 and 20,907,534 shares of preferred stock of FTI and Markets, respectively, remain outstanding, a simple majority vote of the aggregate outstanding convertible preferred shares on an as-converted basis are necessary to consummate certain transactions for each respective entity, including but not limited to: creating any senior or pari passu security to the preferred stock; amending any provision of the Certificate of Incorporation or Bylaws that would alter the privileges, preferences or voting rights granted to preferred stock; declaring or paying any dividend or distribution with respect to preferred stock or common stock; changing the authorized number of members on the Board of Directors, or entering into any transaction deemed to be a liquidation or dissolution of the issuing entity; authorizing a new class or series of equity security have rights with respect to payment upon liquidation senior to any series of the preferred stock; or conduct any initial coin offering or token offering in which the issuing does not retain a majority of the proceeds or tokens following such offering.</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Warrants</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2024, the Company issued warrants to purchase up to 1,926,762, 1,926,762, and 7,707,069 preferred shares to an existing convertible preferred shareholder in exchange for a software license, one year of software development services, and up to two years of other services, respectively, for a total of 11,560,593 preferred shares issuable. In each case, the convertible preferred warrant holder may exercise at an exercise price of $0.65 per convertible preferred share within a 5-year period after issuance. Warrants for services provided by the convertible preferred shareholder not related to software are granted and immediately vest monthly.</w:t>
      </w:r>
    </w:p>
    <w:p>
      <w:pPr>
        <w:spacing w:after="0" w:line="1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March 2024, the convertible preferred warrant holder delivered the licensed software, and the Company capitalized the licensed software acquired of $3.0 million, representing the fair value of the warrants to purchase 1,926,762 convertible preferred share at that time, and a corresponding increase in additional paid-in capital.</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year ended December 31, 2024, the Company recognized equity-based compensation expense within Technology and product development expense in the Combined Consolidated Statements of Operations of (a) $2.3 million of the $3.0 million grant-date fair value of the warrants to purchase up to 1,926,762 preferred shares related to software development services and (b) $4.2 million grant-date fair value of the warrants to purchase up to 2,997,194 preferred shares related to other services provided by the convertible preferred warrant holder.</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warrants were valued at the grant date using the Black-Scholes option pricing model with the following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4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5"/>
          </w:tcPr>
          <w:p>
            <w:pPr>
              <w:jc w:val="center"/>
              <w:ind w:left="214"/>
              <w:spacing w:after="0"/>
              <w:rPr>
                <w:sz w:val="20"/>
                <w:szCs w:val="20"/>
                <w:color w:val="auto"/>
              </w:rPr>
            </w:pPr>
            <w:r>
              <w:rPr>
                <w:rFonts w:ascii="Arial" w:cs="Arial" w:eastAsia="Arial" w:hAnsi="Arial"/>
                <w:sz w:val="14"/>
                <w:szCs w:val="14"/>
                <w:b w:val="1"/>
                <w:bCs w:val="1"/>
                <w:color w:val="auto"/>
              </w:rPr>
              <w:t>Year ended December 31, 2024</w:t>
            </w: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040" w:type="dxa"/>
            <w:vAlign w:val="bottom"/>
          </w:tcPr>
          <w:p>
            <w:pPr>
              <w:spacing w:after="0"/>
              <w:rPr>
                <w:sz w:val="12"/>
                <w:szCs w:val="12"/>
                <w:color w:val="auto"/>
              </w:rPr>
            </w:pPr>
          </w:p>
        </w:tc>
        <w:tc>
          <w:tcPr>
            <w:tcW w:w="106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Low</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rPr>
              <w:t>High</w:t>
            </w:r>
          </w:p>
        </w:tc>
        <w:tc>
          <w:tcPr>
            <w:tcW w:w="1360" w:type="dxa"/>
            <w:vAlign w:val="bottom"/>
          </w:tcPr>
          <w:p>
            <w:pPr>
              <w:jc w:val="right"/>
              <w:ind w:right="456"/>
              <w:spacing w:after="0" w:line="147"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85"/>
        </w:trPr>
        <w:tc>
          <w:tcPr>
            <w:tcW w:w="60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3"/>
            <w:vMerge w:val="continue"/>
          </w:tcPr>
          <w:p>
            <w:pPr>
              <w:spacing w:after="0"/>
              <w:rPr>
                <w:sz w:val="16"/>
                <w:szCs w:val="16"/>
                <w:color w:val="auto"/>
              </w:rPr>
            </w:pPr>
          </w:p>
        </w:tc>
        <w:tc>
          <w:tcPr>
            <w:tcW w:w="1360" w:type="dxa"/>
            <w:vAlign w:val="bottom"/>
          </w:tcPr>
          <w:p>
            <w:pPr>
              <w:jc w:val="right"/>
              <w:ind w:right="476"/>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0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60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9"/>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2080" w:type="dxa"/>
            <w:vAlign w:val="bottom"/>
            <w:gridSpan w:val="3"/>
          </w:tcPr>
          <w:p>
            <w:pPr>
              <w:ind w:left="1340"/>
              <w:spacing w:after="0"/>
              <w:rPr>
                <w:sz w:val="20"/>
                <w:szCs w:val="20"/>
                <w:color w:val="auto"/>
              </w:rPr>
            </w:pPr>
            <w:r>
              <w:rPr>
                <w:rFonts w:ascii="Arial" w:cs="Arial" w:eastAsia="Arial" w:hAnsi="Arial"/>
                <w:sz w:val="18"/>
                <w:szCs w:val="18"/>
                <w:color w:val="auto"/>
              </w:rPr>
              <w:t>n.a.</w:t>
            </w:r>
          </w:p>
        </w:tc>
        <w:tc>
          <w:tcPr>
            <w:tcW w:w="13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240"/>
          </w:cols>
          <w:pgMar w:left="320" w:top="229" w:right="339" w:bottom="1440" w:gutter="0" w:footer="0" w:header="0"/>
        </w:sectPr>
      </w:pPr>
    </w:p>
    <w:bookmarkStart w:id="339" w:name="page340"/>
    <w:bookmarkEnd w:id="339"/>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warrants activity during the year ended December 31,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 of Warrants</w:t>
            </w:r>
          </w:p>
        </w:tc>
        <w:tc>
          <w:tcPr>
            <w:tcW w:w="16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Pr>
          <w:p>
            <w:pPr>
              <w:spacing w:after="0"/>
              <w:rPr>
                <w:sz w:val="14"/>
                <w:szCs w:val="14"/>
                <w:color w:val="auto"/>
              </w:rPr>
            </w:pPr>
          </w:p>
        </w:tc>
        <w:tc>
          <w:tcPr>
            <w:tcW w:w="1480" w:type="dxa"/>
            <w:vAlign w:val="bottom"/>
          </w:tcPr>
          <w:p>
            <w:pPr>
              <w:jc w:val="right"/>
              <w:ind w:right="75"/>
              <w:spacing w:after="0"/>
              <w:rPr>
                <w:sz w:val="20"/>
                <w:szCs w:val="20"/>
                <w:color w:val="auto"/>
              </w:rPr>
            </w:pPr>
            <w:r>
              <w:rPr>
                <w:rFonts w:ascii="Arial" w:cs="Arial" w:eastAsia="Arial" w:hAnsi="Arial"/>
                <w:sz w:val="14"/>
                <w:szCs w:val="14"/>
                <w:b w:val="1"/>
                <w:bCs w:val="1"/>
                <w:color w:val="auto"/>
              </w:rPr>
              <w:t>Fair Value on Grant</w:t>
            </w:r>
          </w:p>
        </w:tc>
        <w:tc>
          <w:tcPr>
            <w:tcW w:w="0" w:type="dxa"/>
            <w:vAlign w:val="bottom"/>
          </w:tcPr>
          <w:p>
            <w:pPr>
              <w:spacing w:after="0"/>
              <w:rPr>
                <w:sz w:val="1"/>
                <w:szCs w:val="1"/>
                <w:color w:val="auto"/>
              </w:rPr>
            </w:pPr>
          </w:p>
        </w:tc>
      </w:tr>
      <w:tr>
        <w:trPr>
          <w:trHeight w:val="185"/>
        </w:trPr>
        <w:tc>
          <w:tcPr>
            <w:tcW w:w="620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Exercise Price</w:t>
            </w:r>
          </w:p>
        </w:tc>
        <w:tc>
          <w:tcPr>
            <w:tcW w:w="140" w:type="dxa"/>
            <w:vAlign w:val="bottom"/>
          </w:tcPr>
          <w:p>
            <w:pPr>
              <w:spacing w:after="0"/>
              <w:rPr>
                <w:sz w:val="16"/>
                <w:szCs w:val="16"/>
                <w:color w:val="auto"/>
              </w:rPr>
            </w:pPr>
          </w:p>
        </w:tc>
        <w:tc>
          <w:tcPr>
            <w:tcW w:w="1480" w:type="dxa"/>
            <w:vAlign w:val="bottom"/>
          </w:tcPr>
          <w:p>
            <w:pPr>
              <w:jc w:val="right"/>
              <w:ind w:right="575"/>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2023</w:t>
            </w:r>
          </w:p>
        </w:tc>
        <w:tc>
          <w:tcPr>
            <w:tcW w:w="1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4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(A)</w:t>
            </w:r>
          </w:p>
        </w:tc>
        <w:tc>
          <w:tcPr>
            <w:tcW w:w="1620" w:type="dxa"/>
            <w:vAlign w:val="bottom"/>
          </w:tcPr>
          <w:p>
            <w:pPr>
              <w:jc w:val="right"/>
              <w:spacing w:after="0"/>
              <w:rPr>
                <w:sz w:val="20"/>
                <w:szCs w:val="20"/>
                <w:color w:val="auto"/>
              </w:rPr>
            </w:pPr>
            <w:r>
              <w:rPr>
                <w:rFonts w:ascii="Arial" w:cs="Arial" w:eastAsia="Arial" w:hAnsi="Arial"/>
                <w:sz w:val="18"/>
                <w:szCs w:val="18"/>
                <w:color w:val="auto"/>
              </w:rPr>
              <w:t>6,850,717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10,215</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Exercised</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tcPr>
          <w:p>
            <w:pPr>
              <w:ind w:left="240"/>
              <w:spacing w:after="0"/>
              <w:rPr>
                <w:sz w:val="20"/>
                <w:szCs w:val="20"/>
                <w:color w:val="auto"/>
              </w:rPr>
            </w:pPr>
            <w:r>
              <w:rPr>
                <w:rFonts w:ascii="Arial" w:cs="Arial" w:eastAsia="Arial" w:hAnsi="Arial"/>
                <w:sz w:val="18"/>
                <w:szCs w:val="18"/>
                <w:color w:val="auto"/>
              </w:rPr>
              <w:t>Forfeited and cancelled</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20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Outstanding at December 31, 2024</w:t>
            </w:r>
            <w:r>
              <w:rPr>
                <w:rFonts w:ascii="Arial" w:cs="Arial" w:eastAsia="Arial" w:hAnsi="Arial"/>
                <w:sz w:val="23"/>
                <w:szCs w:val="23"/>
                <w:color w:val="auto"/>
                <w:vertAlign w:val="superscript"/>
              </w:rPr>
              <w:t>(B)</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6,850,717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10,215</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00" w:type="dxa"/>
            <w:vAlign w:val="bottom"/>
          </w:tcPr>
          <w:p>
            <w:pPr>
              <w:ind w:left="20"/>
              <w:spacing w:after="0" w:line="203" w:lineRule="exact"/>
              <w:rPr>
                <w:sz w:val="20"/>
                <w:szCs w:val="20"/>
                <w:color w:val="auto"/>
              </w:rPr>
            </w:pPr>
            <w:r>
              <w:rPr>
                <w:rFonts w:ascii="Arial" w:cs="Arial" w:eastAsia="Arial" w:hAnsi="Arial"/>
                <w:sz w:val="18"/>
                <w:szCs w:val="18"/>
                <w:color w:val="auto"/>
              </w:rPr>
              <w:t>Exercisable at December 31, 2024</w:t>
            </w:r>
            <w:r>
              <w:rPr>
                <w:rFonts w:ascii="Arial" w:cs="Arial" w:eastAsia="Arial" w:hAnsi="Arial"/>
                <w:sz w:val="23"/>
                <w:szCs w:val="23"/>
                <w:color w:val="auto"/>
                <w:vertAlign w:val="superscript"/>
              </w:rPr>
              <w:t>(B)(C)</w:t>
            </w:r>
          </w:p>
        </w:tc>
        <w:tc>
          <w:tcPr>
            <w:tcW w:w="1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4,923,955</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7,199</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6"/>
                <w:szCs w:val="16"/>
                <w:color w:val="auto"/>
              </w:rPr>
              <w:t>_______________</w:t>
            </w: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9"/>
        </w:trPr>
        <w:tc>
          <w:tcPr>
            <w:tcW w:w="620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340" w:hanging="332"/>
        <w:spacing w:after="0" w:line="254" w:lineRule="auto"/>
        <w:tabs>
          <w:tab w:leader="none" w:pos="34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Company granted warrants to purchase up to 1,926,762 convertible preferred shares for the First Warrant, as well as warrants to purchase up to 1,926,762 convertible preferred shares for the Second Warrant. With respect to the Third Warrant, only 2,997,194 of the 7,707,069 warrants for convertible preferred shares have been granted by the Company through December 31, 2024. Future grants related to the Third Warrant will be made to the holder based on future monthly levels of service to be provided to the Company.</w:t>
      </w:r>
    </w:p>
    <w:p>
      <w:pPr>
        <w:jc w:val="both"/>
        <w:ind w:left="340" w:hanging="332"/>
        <w:spacing w:after="0" w:line="252" w:lineRule="auto"/>
        <w:tabs>
          <w:tab w:leader="none" w:pos="34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At December 31, 2024, the weighted-average grant date fair values for outstanding warrants and exercisable warrants were $1.49 and $1.46, and the intrinsic value for outstanding warrants and exercisable warrants was $5.8 million and $4.0 million, respectively. At December 31, 2024, total compensation cost related to granted, but nonvested, warrants not yet recognized was $0.7 million and is expected to be recognized on a weighted-average period of 0.2 years.</w:t>
      </w:r>
    </w:p>
    <w:p>
      <w:pPr>
        <w:ind w:left="320" w:hanging="312"/>
        <w:spacing w:after="0"/>
        <w:tabs>
          <w:tab w:leader="none" w:pos="32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Exercisable warrants have a weighted average exercise period of 2.5 years at December 31, 2024.</w:t>
      </w:r>
    </w:p>
    <w:p>
      <w:pPr>
        <w:spacing w:after="0" w:line="16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Equity-Based Compensation</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grants equity-based compensation in the form of options, and RSAs to its officers, employees, and other service providers under the terms of the applicable equity incentive plans for the purpose of providing incentives and rewards for service or performance that align the interest of grantees with the long-term growth and profitability of the Company.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amount of stock-based compensation expense related to equity-based compensation recognized in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Combined Consolidated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264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For the Years Ended</w:t>
            </w:r>
          </w:p>
        </w:tc>
        <w:tc>
          <w:tcPr>
            <w:tcW w:w="620" w:type="dxa"/>
            <w:vAlign w:val="bottom"/>
          </w:tcPr>
          <w:p>
            <w:pPr>
              <w:spacing w:after="0"/>
              <w:rPr>
                <w:sz w:val="17"/>
                <w:szCs w:val="17"/>
                <w:color w:val="auto"/>
              </w:rPr>
            </w:pPr>
          </w:p>
        </w:tc>
      </w:tr>
      <w:tr>
        <w:trPr>
          <w:trHeight w:val="203"/>
        </w:trPr>
        <w:tc>
          <w:tcPr>
            <w:tcW w:w="79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r>
      <w:tr>
        <w:trPr>
          <w:trHeight w:val="224"/>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35,423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804</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product development</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Operations and processing</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equity-based compensation expense</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45,310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13,450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Equity Incentive Plans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2018, the Company adopted the 2018 Equity Incentive Plan (“2018 Plan”) that authorized the Company to grant up to 52,346,283 common stock of FTI to FTI’s employees, non-employees, officers, and directors in the form of incentive stock options, non-qualified stock options, and RSAs. At December 31, 2024 and 2023, the Company had granted awards equivalent to 48,861,380 and 32,645,381 common shares of FTI, respectively, gross of forfeited and delivered awards.</w:t>
      </w:r>
    </w:p>
    <w:p>
      <w:pPr>
        <w:spacing w:after="0" w:line="1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part of the Reorganization, the Company adopted the 2024 Equity Incentive Plan (“2024 Plan”) that authorized the Company to grant up to 22,985,889 common stock of Markets to Markets’ employees, non-employees, officers, and directors in the form of incentive stock options and non-qualified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240"/>
          </w:cols>
          <w:pgMar w:left="320" w:top="229" w:right="339" w:bottom="1440" w:gutter="0" w:footer="0" w:header="0"/>
        </w:sectPr>
      </w:pPr>
    </w:p>
    <w:bookmarkStart w:id="340" w:name="page341"/>
    <w:bookmarkEnd w:id="340"/>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options. At December 31, 2024, the Company had granted awards equivalent to 14,213,831 common stock of Markets, gross of forfeited and delivered awards.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2018 Plan — Stock Options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reflects the activities of stock options granted under the 2018 Plan for the years ended December 31,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Weighted-Average</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4700" w:type="dxa"/>
            <w:vAlign w:val="bottom"/>
          </w:tcPr>
          <w:p>
            <w:pPr>
              <w:spacing w:after="0"/>
              <w:rPr>
                <w:sz w:val="12"/>
                <w:szCs w:val="12"/>
                <w:color w:val="auto"/>
              </w:rPr>
            </w:pPr>
          </w:p>
        </w:tc>
        <w:tc>
          <w:tcPr>
            <w:tcW w:w="16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 of Options</w:t>
            </w:r>
          </w:p>
        </w:tc>
        <w:tc>
          <w:tcPr>
            <w:tcW w:w="160" w:type="dxa"/>
            <w:vAlign w:val="bottom"/>
          </w:tcPr>
          <w:p>
            <w:pPr>
              <w:spacing w:after="0"/>
              <w:rPr>
                <w:sz w:val="12"/>
                <w:szCs w:val="1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Exercise Price</w:t>
            </w:r>
            <w:r>
              <w:rPr>
                <w:rFonts w:ascii="Arial" w:cs="Arial" w:eastAsia="Arial" w:hAnsi="Arial"/>
                <w:sz w:val="18"/>
                <w:szCs w:val="18"/>
                <w:b w:val="1"/>
                <w:bCs w:val="1"/>
                <w:color w:val="auto"/>
                <w:vertAlign w:val="superscript"/>
              </w:rPr>
              <w:t>(A)</w:t>
            </w:r>
          </w:p>
        </w:tc>
        <w:tc>
          <w:tcPr>
            <w:tcW w:w="16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Remaining Life</w:t>
            </w:r>
          </w:p>
        </w:tc>
        <w:tc>
          <w:tcPr>
            <w:tcW w:w="180" w:type="dxa"/>
            <w:vAlign w:val="bottom"/>
          </w:tcPr>
          <w:p>
            <w:pPr>
              <w:spacing w:after="0"/>
              <w:rPr>
                <w:sz w:val="12"/>
                <w:szCs w:val="12"/>
                <w:color w:val="auto"/>
              </w:rPr>
            </w:pPr>
          </w:p>
        </w:tc>
        <w:tc>
          <w:tcPr>
            <w:tcW w:w="1380" w:type="dxa"/>
            <w:vAlign w:val="bottom"/>
          </w:tcPr>
          <w:p>
            <w:pPr>
              <w:jc w:val="right"/>
              <w:ind w:right="173"/>
              <w:spacing w:after="0" w:line="145"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201"/>
        </w:trPr>
        <w:tc>
          <w:tcPr>
            <w:tcW w:w="470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660" w:type="dxa"/>
            <w:vAlign w:val="bottom"/>
            <w:gridSpan w:val="2"/>
          </w:tcPr>
          <w:p>
            <w:pPr>
              <w:jc w:val="center"/>
              <w:ind w:right="100"/>
              <w:spacing w:after="0" w:line="201" w:lineRule="exact"/>
              <w:rPr>
                <w:sz w:val="20"/>
                <w:szCs w:val="20"/>
                <w:color w:val="auto"/>
              </w:rPr>
            </w:pPr>
            <w:r>
              <w:rPr>
                <w:rFonts w:ascii="Arial" w:cs="Arial" w:eastAsia="Arial" w:hAnsi="Arial"/>
                <w:sz w:val="14"/>
                <w:szCs w:val="14"/>
                <w:b w:val="1"/>
                <w:bCs w:val="1"/>
                <w:color w:val="auto"/>
                <w:w w:val="93"/>
              </w:rPr>
              <w:t>(Years)</w:t>
            </w:r>
            <w:r>
              <w:rPr>
                <w:rFonts w:ascii="Arial" w:cs="Arial" w:eastAsia="Arial" w:hAnsi="Arial"/>
                <w:sz w:val="18"/>
                <w:szCs w:val="18"/>
                <w:b w:val="1"/>
                <w:bCs w:val="1"/>
                <w:color w:val="auto"/>
                <w:w w:val="93"/>
                <w:vertAlign w:val="superscript"/>
              </w:rPr>
              <w:t>(B)</w:t>
            </w:r>
          </w:p>
        </w:tc>
        <w:tc>
          <w:tcPr>
            <w:tcW w:w="180" w:type="dxa"/>
            <w:vAlign w:val="bottom"/>
          </w:tcPr>
          <w:p>
            <w:pPr>
              <w:spacing w:after="0"/>
              <w:rPr>
                <w:sz w:val="17"/>
                <w:szCs w:val="17"/>
                <w:color w:val="auto"/>
              </w:rPr>
            </w:pPr>
          </w:p>
        </w:tc>
        <w:tc>
          <w:tcPr>
            <w:tcW w:w="1380" w:type="dxa"/>
            <w:vAlign w:val="bottom"/>
          </w:tcPr>
          <w:p>
            <w:pPr>
              <w:jc w:val="right"/>
              <w:ind w:right="453"/>
              <w:spacing w:after="0" w:line="201"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18"/>
                <w:szCs w:val="18"/>
                <w:b w:val="1"/>
                <w:bCs w:val="1"/>
                <w:color w:val="auto"/>
                <w:vertAlign w:val="superscript"/>
              </w:rPr>
              <w:t>(C)</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Outstanding at December 31, 2022</w:t>
            </w:r>
          </w:p>
        </w:tc>
        <w:tc>
          <w:tcPr>
            <w:tcW w:w="1560" w:type="dxa"/>
            <w:vAlign w:val="bottom"/>
          </w:tcPr>
          <w:p>
            <w:pPr>
              <w:jc w:val="right"/>
              <w:spacing w:after="0"/>
              <w:rPr>
                <w:sz w:val="20"/>
                <w:szCs w:val="20"/>
                <w:color w:val="auto"/>
              </w:rPr>
            </w:pPr>
            <w:r>
              <w:rPr>
                <w:rFonts w:ascii="Arial" w:cs="Arial" w:eastAsia="Arial" w:hAnsi="Arial"/>
                <w:sz w:val="18"/>
                <w:szCs w:val="18"/>
                <w:color w:val="auto"/>
              </w:rPr>
              <w:t>19,623,139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1560" w:type="dxa"/>
            <w:vAlign w:val="bottom"/>
          </w:tcPr>
          <w:p>
            <w:pPr>
              <w:ind w:left="124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Granted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3,593,104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560" w:type="dxa"/>
            <w:vAlign w:val="bottom"/>
          </w:tcPr>
          <w:p>
            <w:pPr>
              <w:jc w:val="right"/>
              <w:spacing w:after="0"/>
              <w:rPr>
                <w:sz w:val="20"/>
                <w:szCs w:val="20"/>
                <w:color w:val="auto"/>
              </w:rPr>
            </w:pPr>
            <w:r>
              <w:rPr>
                <w:rFonts w:ascii="Arial" w:cs="Arial" w:eastAsia="Arial" w:hAnsi="Arial"/>
                <w:sz w:val="18"/>
                <w:szCs w:val="18"/>
                <w:color w:val="auto"/>
              </w:rPr>
              <w:t>(582,905)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660" w:type="dxa"/>
            <w:vAlign w:val="bottom"/>
            <w:gridSpan w:val="2"/>
          </w:tcPr>
          <w:p>
            <w:pPr>
              <w:ind w:left="124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 and cancelled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(2,801,990)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Outstanding at December 31, 2023</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19,831,348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1560" w:type="dxa"/>
            <w:vAlign w:val="bottom"/>
            <w:tcBorders>
              <w:top w:val="single" w:sz="8" w:color="auto"/>
            </w:tcBorders>
          </w:tcPr>
          <w:p>
            <w:pPr>
              <w:ind w:left="124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Granted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15,613,098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560" w:type="dxa"/>
            <w:vAlign w:val="bottom"/>
          </w:tcPr>
          <w:p>
            <w:pPr>
              <w:jc w:val="right"/>
              <w:spacing w:after="0"/>
              <w:rPr>
                <w:sz w:val="20"/>
                <w:szCs w:val="20"/>
                <w:color w:val="auto"/>
              </w:rPr>
            </w:pPr>
            <w:r>
              <w:rPr>
                <w:rFonts w:ascii="Arial" w:cs="Arial" w:eastAsia="Arial" w:hAnsi="Arial"/>
                <w:sz w:val="18"/>
                <w:szCs w:val="18"/>
                <w:color w:val="auto"/>
              </w:rPr>
              <w:t>(1,153,803)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1660" w:type="dxa"/>
            <w:vAlign w:val="bottom"/>
            <w:gridSpan w:val="2"/>
          </w:tcPr>
          <w:p>
            <w:pPr>
              <w:ind w:left="124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 and cancelled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(4,642,073)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Outstanding at December 31, 2024</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29,648,570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At December 31, 2024</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Options Exercisable</w:t>
            </w:r>
          </w:p>
        </w:tc>
        <w:tc>
          <w:tcPr>
            <w:tcW w:w="1560" w:type="dxa"/>
            <w:vAlign w:val="bottom"/>
          </w:tcPr>
          <w:p>
            <w:pPr>
              <w:jc w:val="right"/>
              <w:spacing w:after="0"/>
              <w:rPr>
                <w:sz w:val="20"/>
                <w:szCs w:val="20"/>
                <w:color w:val="auto"/>
              </w:rPr>
            </w:pPr>
            <w:r>
              <w:rPr>
                <w:rFonts w:ascii="Arial" w:cs="Arial" w:eastAsia="Arial" w:hAnsi="Arial"/>
                <w:sz w:val="18"/>
                <w:szCs w:val="18"/>
                <w:color w:val="auto"/>
              </w:rPr>
              <w:t>21,384,181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1560" w:type="dxa"/>
            <w:vAlign w:val="bottom"/>
          </w:tcPr>
          <w:p>
            <w:pPr>
              <w:ind w:left="124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Vested and Expected to Vest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29,648,570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right="20" w:hanging="332"/>
        <w:spacing w:after="0" w:line="252" w:lineRule="auto"/>
        <w:tabs>
          <w:tab w:leader="none" w:pos="3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aggregate intrinsic value of options is calculated as the difference between the exercise price of the options and the estimated fair value of the issuing entity’s common shares, which was $0.37 per common share of FTI at December 31, 2024.</w:t>
      </w:r>
    </w:p>
    <w:p>
      <w:pPr>
        <w:spacing w:after="0" w:line="1" w:lineRule="exact"/>
        <w:rPr>
          <w:rFonts w:ascii="Arial" w:cs="Arial" w:eastAsia="Arial" w:hAnsi="Arial"/>
          <w:sz w:val="16"/>
          <w:szCs w:val="16"/>
          <w:color w:val="auto"/>
        </w:rPr>
      </w:pPr>
    </w:p>
    <w:p>
      <w:pPr>
        <w:ind w:left="340" w:hanging="332"/>
        <w:spacing w:after="0" w:line="191" w:lineRule="auto"/>
        <w:tabs>
          <w:tab w:leader="none" w:pos="3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Options expire on the 10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anniversary of the original grant.</w:t>
      </w:r>
    </w:p>
    <w:p>
      <w:pPr>
        <w:jc w:val="both"/>
        <w:ind w:left="340" w:hanging="332"/>
        <w:spacing w:after="0" w:line="257" w:lineRule="auto"/>
        <w:tabs>
          <w:tab w:leader="none" w:pos="33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For the year ended December 31, 2024, the Company used risk-free rates, estimated common stock volatility, expected term, and dividend yield as inputs and the fair value of the Company’s common stock as a key input to estimate the grant date fair value using the Black-Scholes method. The Company does not assume dividend payments, as it does not pay dividends, and estimates common stock volatilities using the average historical volatility of a peer group of companies for the period immediately preceding the option grant for a term that is approximately equal to the option’s expected term. The Company estimates the grant-date fair value of awards using the contractual term of award, if any, including discounts for applicable post-vesting restrictions such as remaining in the service to the business except as otherwise amended estimated using Black-Scholes method.</w:t>
      </w:r>
    </w:p>
    <w:p>
      <w:pPr>
        <w:spacing w:after="0" w:line="133"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grant date assumptions of the stock options granted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jc w:val="center"/>
              <w:ind w:left="655"/>
              <w:spacing w:after="0"/>
              <w:rPr>
                <w:sz w:val="20"/>
                <w:szCs w:val="20"/>
                <w:color w:val="auto"/>
              </w:rPr>
            </w:pPr>
            <w:r>
              <w:rPr>
                <w:rFonts w:ascii="Arial" w:cs="Arial" w:eastAsia="Arial" w:hAnsi="Arial"/>
                <w:sz w:val="14"/>
                <w:szCs w:val="14"/>
                <w:b w:val="1"/>
                <w:bCs w:val="1"/>
                <w:color w:val="auto"/>
              </w:rPr>
              <w:t>Year ended December 31, 2024</w:t>
            </w: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6"/>
          </w:tcPr>
          <w:p>
            <w:pPr>
              <w:jc w:val="center"/>
              <w:ind w:left="655"/>
              <w:spacing w:after="0"/>
              <w:rPr>
                <w:sz w:val="20"/>
                <w:szCs w:val="20"/>
                <w:color w:val="auto"/>
              </w:rPr>
            </w:pPr>
            <w:r>
              <w:rPr>
                <w:rFonts w:ascii="Arial" w:cs="Arial" w:eastAsia="Arial" w:hAnsi="Arial"/>
                <w:sz w:val="14"/>
                <w:szCs w:val="14"/>
                <w:b w:val="1"/>
                <w:bCs w:val="1"/>
                <w:color w:val="auto"/>
              </w:rPr>
              <w:t>Year ended December 31, 2023</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Low</w:t>
            </w:r>
          </w:p>
        </w:tc>
        <w:tc>
          <w:tcPr>
            <w:tcW w:w="320" w:type="dxa"/>
            <w:vAlign w:val="bottom"/>
          </w:tcPr>
          <w:p>
            <w:pPr>
              <w:spacing w:after="0"/>
              <w:rPr>
                <w:sz w:val="12"/>
                <w:szCs w:val="12"/>
                <w:color w:val="auto"/>
              </w:rPr>
            </w:pP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2"/>
                <w:szCs w:val="12"/>
                <w:color w:val="auto"/>
              </w:rPr>
            </w:pPr>
          </w:p>
        </w:tc>
        <w:tc>
          <w:tcPr>
            <w:tcW w:w="116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2"/>
                <w:szCs w:val="12"/>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Low</w:t>
            </w:r>
          </w:p>
        </w:tc>
        <w:tc>
          <w:tcPr>
            <w:tcW w:w="320" w:type="dxa"/>
            <w:vAlign w:val="bottom"/>
          </w:tcPr>
          <w:p>
            <w:pPr>
              <w:spacing w:after="0"/>
              <w:rPr>
                <w:sz w:val="12"/>
                <w:szCs w:val="12"/>
                <w:color w:val="auto"/>
              </w:rPr>
            </w:pP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2"/>
                <w:szCs w:val="12"/>
                <w:color w:val="auto"/>
              </w:rPr>
            </w:pPr>
          </w:p>
        </w:tc>
        <w:tc>
          <w:tcPr>
            <w:tcW w:w="1060" w:type="dxa"/>
            <w:vAlign w:val="bottom"/>
          </w:tcPr>
          <w:p>
            <w:pPr>
              <w:jc w:val="right"/>
              <w:ind w:right="295"/>
              <w:spacing w:after="0" w:line="143"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315"/>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223"/>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3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9"/>
                <w:szCs w:val="19"/>
                <w:color w:val="auto"/>
              </w:rPr>
            </w:pP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9"/>
                <w:szCs w:val="19"/>
                <w:color w:val="auto"/>
              </w:rPr>
            </w:pP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240"/>
          </w:cols>
          <w:pgMar w:left="320" w:top="229" w:right="339" w:bottom="1440" w:gutter="0" w:footer="0" w:header="0"/>
        </w:sectPr>
      </w:pPr>
    </w:p>
    <w:bookmarkStart w:id="341" w:name="page342"/>
    <w:bookmarkEnd w:id="341"/>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2018 Plan — RSAs</w:t>
      </w:r>
    </w:p>
    <w:p>
      <w:pPr>
        <w:spacing w:after="0" w:line="16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table reflects the activities of restricted stock awards granted under the 2018 Plan for the years ended December 31, 2024 and 2023: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6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 of RSAs</w:t>
            </w:r>
          </w:p>
        </w:tc>
        <w:tc>
          <w:tcPr>
            <w:tcW w:w="140" w:type="dxa"/>
            <w:vAlign w:val="bottom"/>
          </w:tcPr>
          <w:p>
            <w:pPr>
              <w:spacing w:after="0"/>
              <w:rPr>
                <w:sz w:val="14"/>
                <w:szCs w:val="14"/>
                <w:color w:val="auto"/>
              </w:rPr>
            </w:pPr>
          </w:p>
        </w:tc>
        <w:tc>
          <w:tcPr>
            <w:tcW w:w="1440" w:type="dxa"/>
            <w:vAlign w:val="bottom"/>
          </w:tcPr>
          <w:p>
            <w:pPr>
              <w:jc w:val="right"/>
              <w:ind w:right="73"/>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5"/>
        </w:trPr>
        <w:tc>
          <w:tcPr>
            <w:tcW w:w="80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2023</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5,874,850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tcPr>
          <w:p>
            <w:pPr>
              <w:ind w:left="240"/>
              <w:spacing w:after="0"/>
              <w:rPr>
                <w:sz w:val="20"/>
                <w:szCs w:val="20"/>
                <w:color w:val="auto"/>
              </w:rPr>
            </w:pPr>
            <w:r>
              <w:rPr>
                <w:rFonts w:ascii="Arial" w:cs="Arial" w:eastAsia="Arial" w:hAnsi="Arial"/>
                <w:sz w:val="18"/>
                <w:szCs w:val="18"/>
                <w:color w:val="auto"/>
              </w:rPr>
              <w:t>Forfeited and cancelled</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2024</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5,874,850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2024 Plan — Stock Options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reflects the activities of stock options granted under the 2024 Plan for the year ended December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Weighted-Average</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700" w:type="dxa"/>
            <w:vAlign w:val="bottom"/>
          </w:tcPr>
          <w:p>
            <w:pPr>
              <w:spacing w:after="0"/>
              <w:rPr>
                <w:sz w:val="12"/>
                <w:szCs w:val="12"/>
                <w:color w:val="auto"/>
              </w:rPr>
            </w:pPr>
          </w:p>
        </w:tc>
        <w:tc>
          <w:tcPr>
            <w:tcW w:w="16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 of Options</w:t>
            </w:r>
          </w:p>
        </w:tc>
        <w:tc>
          <w:tcPr>
            <w:tcW w:w="160" w:type="dxa"/>
            <w:vAlign w:val="bottom"/>
          </w:tcPr>
          <w:p>
            <w:pPr>
              <w:spacing w:after="0"/>
              <w:rPr>
                <w:sz w:val="12"/>
                <w:szCs w:val="1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Exercise Price</w:t>
            </w:r>
            <w:r>
              <w:rPr>
                <w:rFonts w:ascii="Arial" w:cs="Arial" w:eastAsia="Arial" w:hAnsi="Arial"/>
                <w:sz w:val="18"/>
                <w:szCs w:val="18"/>
                <w:b w:val="1"/>
                <w:bCs w:val="1"/>
                <w:color w:val="auto"/>
                <w:vertAlign w:val="superscript"/>
              </w:rPr>
              <w:t>(A)</w:t>
            </w:r>
          </w:p>
        </w:tc>
        <w:tc>
          <w:tcPr>
            <w:tcW w:w="166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Remaining Life</w:t>
            </w:r>
          </w:p>
        </w:tc>
        <w:tc>
          <w:tcPr>
            <w:tcW w:w="180" w:type="dxa"/>
            <w:vAlign w:val="bottom"/>
          </w:tcPr>
          <w:p>
            <w:pPr>
              <w:spacing w:after="0"/>
              <w:rPr>
                <w:sz w:val="12"/>
                <w:szCs w:val="12"/>
                <w:color w:val="auto"/>
              </w:rPr>
            </w:pPr>
          </w:p>
        </w:tc>
        <w:tc>
          <w:tcPr>
            <w:tcW w:w="1380" w:type="dxa"/>
            <w:vAlign w:val="bottom"/>
          </w:tcPr>
          <w:p>
            <w:pPr>
              <w:jc w:val="right"/>
              <w:ind w:right="174"/>
              <w:spacing w:after="0" w:line="143"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(Years)</w:t>
            </w:r>
            <w:r>
              <w:rPr>
                <w:rFonts w:ascii="Arial" w:cs="Arial" w:eastAsia="Arial" w:hAnsi="Arial"/>
                <w:sz w:val="9"/>
                <w:szCs w:val="9"/>
                <w:b w:val="1"/>
                <w:bCs w:val="1"/>
                <w:color w:val="auto"/>
                <w:w w:val="99"/>
              </w:rPr>
              <w:t>(B)</w:t>
            </w:r>
          </w:p>
        </w:tc>
        <w:tc>
          <w:tcPr>
            <w:tcW w:w="180" w:type="dxa"/>
            <w:vAlign w:val="bottom"/>
          </w:tcPr>
          <w:p>
            <w:pPr>
              <w:spacing w:after="0"/>
              <w:rPr>
                <w:sz w:val="17"/>
                <w:szCs w:val="17"/>
                <w:color w:val="auto"/>
              </w:rPr>
            </w:pPr>
          </w:p>
        </w:tc>
        <w:tc>
          <w:tcPr>
            <w:tcW w:w="1380" w:type="dxa"/>
            <w:vAlign w:val="bottom"/>
          </w:tcPr>
          <w:p>
            <w:pPr>
              <w:jc w:val="right"/>
              <w:ind w:right="454"/>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9"/>
                <w:szCs w:val="9"/>
                <w:b w:val="1"/>
                <w:bCs w:val="1"/>
                <w:color w:val="auto"/>
              </w:rPr>
              <w:t>(C)</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2023</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tcPr>
          <w:p>
            <w:pPr>
              <w:ind w:left="46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14,213,831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30"/>
        </w:trPr>
        <w:tc>
          <w:tcPr>
            <w:tcW w:w="4700" w:type="dxa"/>
            <w:vAlign w:val="bottom"/>
          </w:tcPr>
          <w:p>
            <w:pPr>
              <w:ind w:left="460"/>
              <w:spacing w:after="0"/>
              <w:rPr>
                <w:sz w:val="20"/>
                <w:szCs w:val="20"/>
                <w:color w:val="auto"/>
              </w:rPr>
            </w:pPr>
            <w:r>
              <w:rPr>
                <w:rFonts w:ascii="Arial" w:cs="Arial" w:eastAsia="Arial" w:hAnsi="Arial"/>
                <w:sz w:val="18"/>
                <w:szCs w:val="18"/>
                <w:color w:val="auto"/>
              </w:rPr>
              <w:t>Forfeited and cancelled</w:t>
            </w:r>
          </w:p>
        </w:tc>
        <w:tc>
          <w:tcPr>
            <w:tcW w:w="1560" w:type="dxa"/>
            <w:vAlign w:val="bottom"/>
          </w:tcPr>
          <w:p>
            <w:pPr>
              <w:jc w:val="right"/>
              <w:spacing w:after="0"/>
              <w:rPr>
                <w:sz w:val="20"/>
                <w:szCs w:val="20"/>
                <w:color w:val="auto"/>
              </w:rPr>
            </w:pPr>
            <w:r>
              <w:rPr>
                <w:rFonts w:ascii="Arial" w:cs="Arial" w:eastAsia="Arial" w:hAnsi="Arial"/>
                <w:sz w:val="18"/>
                <w:szCs w:val="18"/>
                <w:color w:val="auto"/>
              </w:rPr>
              <w:t>(1,330,142)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2024</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11,811,451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At December 31, 2024</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00" w:type="dxa"/>
            <w:vAlign w:val="bottom"/>
            <w:vMerge w:val="continue"/>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Exercisable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2,809,098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39"/>
        </w:trPr>
        <w:tc>
          <w:tcPr>
            <w:tcW w:w="4700" w:type="dxa"/>
            <w:vAlign w:val="bottom"/>
          </w:tcPr>
          <w:p>
            <w:pPr>
              <w:ind w:left="240"/>
              <w:spacing w:after="0"/>
              <w:rPr>
                <w:sz w:val="20"/>
                <w:szCs w:val="20"/>
                <w:color w:val="auto"/>
              </w:rPr>
            </w:pPr>
            <w:r>
              <w:rPr>
                <w:rFonts w:ascii="Arial" w:cs="Arial" w:eastAsia="Arial" w:hAnsi="Arial"/>
                <w:sz w:val="18"/>
                <w:szCs w:val="18"/>
                <w:color w:val="auto"/>
              </w:rPr>
              <w:t>Options Vested and Expected to Vest</w:t>
            </w:r>
          </w:p>
        </w:tc>
        <w:tc>
          <w:tcPr>
            <w:tcW w:w="1560" w:type="dxa"/>
            <w:vAlign w:val="bottom"/>
          </w:tcPr>
          <w:p>
            <w:pPr>
              <w:jc w:val="right"/>
              <w:spacing w:after="0"/>
              <w:rPr>
                <w:sz w:val="20"/>
                <w:szCs w:val="20"/>
                <w:color w:val="auto"/>
              </w:rPr>
            </w:pPr>
            <w:r>
              <w:rPr>
                <w:rFonts w:ascii="Arial" w:cs="Arial" w:eastAsia="Arial" w:hAnsi="Arial"/>
                <w:sz w:val="18"/>
                <w:szCs w:val="18"/>
                <w:color w:val="auto"/>
              </w:rPr>
              <w:t>11,811,451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340" w:right="20" w:hanging="332"/>
        <w:spacing w:after="0" w:line="249" w:lineRule="auto"/>
        <w:tabs>
          <w:tab w:leader="none" w:pos="34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aggregate intrinsic value of options is calculated as the difference between the exercise price of the options and the estimated fair value of the issuing entity’s common shares, which was zero per common share of Markets, respectively, at December 31, 2024.</w:t>
      </w:r>
    </w:p>
    <w:p>
      <w:pPr>
        <w:ind w:left="340" w:hanging="332"/>
        <w:spacing w:after="0" w:line="201" w:lineRule="auto"/>
        <w:tabs>
          <w:tab w:leader="none" w:pos="34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Options expire on the 10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anniversary of the original grant.</w:t>
      </w:r>
    </w:p>
    <w:p>
      <w:pPr>
        <w:jc w:val="both"/>
        <w:ind w:left="340" w:hanging="332"/>
        <w:spacing w:after="0" w:line="257" w:lineRule="auto"/>
        <w:tabs>
          <w:tab w:leader="none" w:pos="33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For the year ended December 31, 2024, the Company used risk-free rates, estimated common stock volatility, expected term, and dividend yield as inputs and the fair value of the Company’s common stock as a key input to estimate the grant date fair value using the Black-Scholes method. The Company does not assume dividend payments, as it does not pay dividends, and estimates common stock volatilities using the average historical volatility of a peer group of companies for the period immediately preceding the option grant for a term that is approximately equal to the option’s expected term. The Company estimates the grant-date fair value of awards using the contractual term of award, if any, including discounts for applicable post-vesting restrictions such as remaining in the service to the business except as otherwise amended estimated using Black-Scholes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240"/>
          </w:cols>
          <w:pgMar w:left="320" w:top="229" w:right="339" w:bottom="1440" w:gutter="0" w:footer="0" w:header="0"/>
        </w:sectPr>
      </w:pPr>
    </w:p>
    <w:bookmarkStart w:id="342" w:name="page343"/>
    <w:bookmarkEnd w:id="342"/>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grant date assumptions of the stock options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 ended December 31, 2024</w:t>
            </w: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0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Low</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High</w:t>
            </w:r>
          </w:p>
        </w:tc>
        <w:tc>
          <w:tcPr>
            <w:tcW w:w="320" w:type="dxa"/>
            <w:vAlign w:val="bottom"/>
          </w:tcPr>
          <w:p>
            <w:pPr>
              <w:spacing w:after="0"/>
              <w:rPr>
                <w:sz w:val="12"/>
                <w:szCs w:val="12"/>
                <w:color w:val="auto"/>
              </w:rPr>
            </w:pPr>
          </w:p>
        </w:tc>
        <w:tc>
          <w:tcPr>
            <w:tcW w:w="1360" w:type="dxa"/>
            <w:vAlign w:val="bottom"/>
          </w:tcPr>
          <w:p>
            <w:pPr>
              <w:jc w:val="right"/>
              <w:ind w:right="455"/>
              <w:spacing w:after="0" w:line="147"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85"/>
        </w:trPr>
        <w:tc>
          <w:tcPr>
            <w:tcW w:w="60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475"/>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0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6.1</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040" w:type="dxa"/>
            <w:vAlign w:val="bottom"/>
          </w:tcPr>
          <w:p>
            <w:pPr>
              <w:spacing w:after="0"/>
              <w:rPr>
                <w:sz w:val="19"/>
                <w:szCs w:val="19"/>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9"/>
                <w:szCs w:val="19"/>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0.32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i w:val="1"/>
          <w:iCs w:val="1"/>
          <w:color w:val="auto"/>
        </w:rPr>
        <w:t xml:space="preserve">Unrecognized Compensation Expense </w:t>
      </w:r>
      <w:r>
        <w:rPr>
          <w:rFonts w:ascii="Arial" w:cs="Arial" w:eastAsia="Arial" w:hAnsi="Arial"/>
          <w:sz w:val="18"/>
          <w:szCs w:val="18"/>
          <w:color w:val="auto"/>
        </w:rPr>
        <w:t>— At December 31, 2024, the Company has not yet recognized compensation expense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awards: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Weighted Average</w:t>
            </w: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rPr>
              <w:t>Unrecognized Compensation</w:t>
            </w: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3"/>
          </w:tcPr>
          <w:p>
            <w:pPr>
              <w:jc w:val="right"/>
              <w:spacing w:after="0" w:line="135" w:lineRule="exact"/>
              <w:rPr>
                <w:sz w:val="20"/>
                <w:szCs w:val="20"/>
                <w:color w:val="auto"/>
              </w:rPr>
            </w:pPr>
            <w:r>
              <w:rPr>
                <w:rFonts w:ascii="Arial" w:cs="Arial" w:eastAsia="Arial" w:hAnsi="Arial"/>
                <w:sz w:val="14"/>
                <w:szCs w:val="14"/>
                <w:b w:val="1"/>
                <w:bCs w:val="1"/>
                <w:color w:val="auto"/>
              </w:rPr>
              <w:t>Expense</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66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1520" w:type="dxa"/>
            <w:vAlign w:val="bottom"/>
            <w:gridSpan w:val="2"/>
            <w:vMerge w:val="restart"/>
          </w:tcPr>
          <w:p>
            <w:pPr>
              <w:jc w:val="center"/>
              <w:ind w:right="80"/>
              <w:spacing w:after="0" w:line="126" w:lineRule="exact"/>
              <w:rPr>
                <w:sz w:val="20"/>
                <w:szCs w:val="20"/>
                <w:color w:val="auto"/>
              </w:rPr>
            </w:pPr>
            <w:r>
              <w:rPr>
                <w:rFonts w:ascii="Arial" w:cs="Arial" w:eastAsia="Arial" w:hAnsi="Arial"/>
                <w:sz w:val="14"/>
                <w:szCs w:val="14"/>
                <w:b w:val="1"/>
                <w:bCs w:val="1"/>
                <w:color w:val="auto"/>
              </w:rPr>
              <w:t>Recognition Period</w:t>
            </w:r>
          </w:p>
        </w:tc>
        <w:tc>
          <w:tcPr>
            <w:tcW w:w="1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Vesting Condition</w:t>
            </w:r>
          </w:p>
        </w:tc>
        <w:tc>
          <w:tcPr>
            <w:tcW w:w="80" w:type="dxa"/>
            <w:vAlign w:val="bottom"/>
            <w:vMerge w:val="continue"/>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5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Options</w:t>
            </w: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RSAs</w:t>
            </w:r>
          </w:p>
        </w:tc>
        <w:tc>
          <w:tcPr>
            <w:tcW w:w="15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4"/>
                <w:szCs w:val="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Options</w:t>
            </w:r>
          </w:p>
        </w:tc>
        <w:tc>
          <w:tcPr>
            <w:tcW w:w="340" w:type="dxa"/>
            <w:vAlign w:val="bottom"/>
          </w:tcPr>
          <w:p>
            <w:pPr>
              <w:spacing w:after="0"/>
              <w:rPr>
                <w:sz w:val="4"/>
                <w:szCs w:val="4"/>
                <w:color w:val="auto"/>
              </w:rPr>
            </w:pPr>
          </w:p>
        </w:tc>
        <w:tc>
          <w:tcPr>
            <w:tcW w:w="88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RSAs</w:t>
            </w:r>
          </w:p>
        </w:tc>
        <w:tc>
          <w:tcPr>
            <w:tcW w:w="0" w:type="dxa"/>
            <w:vAlign w:val="bottom"/>
          </w:tcPr>
          <w:p>
            <w:pPr>
              <w:spacing w:after="0"/>
              <w:rPr>
                <w:sz w:val="1"/>
                <w:szCs w:val="1"/>
                <w:color w:val="auto"/>
              </w:rPr>
            </w:pPr>
          </w:p>
        </w:tc>
      </w:tr>
      <w:tr>
        <w:trPr>
          <w:trHeight w:val="197"/>
        </w:trPr>
        <w:tc>
          <w:tcPr>
            <w:tcW w:w="2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(Years)</w:t>
            </w:r>
          </w:p>
        </w:tc>
        <w:tc>
          <w:tcPr>
            <w:tcW w:w="1520" w:type="dxa"/>
            <w:vAlign w:val="bottom"/>
            <w:gridSpan w:val="2"/>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60" w:type="dxa"/>
            <w:vAlign w:val="bottom"/>
            <w:tcBorders>
              <w:top w:val="single" w:sz="8" w:color="auto"/>
            </w:tcBorders>
            <w:shd w:val="clear" w:color="auto" w:fill="CCEEFF"/>
          </w:tcPr>
          <w:p>
            <w:pPr>
              <w:ind w:left="240"/>
              <w:spacing w:after="0" w:line="224" w:lineRule="exact"/>
              <w:rPr>
                <w:sz w:val="20"/>
                <w:szCs w:val="20"/>
                <w:color w:val="auto"/>
              </w:rPr>
            </w:pPr>
            <w:r>
              <w:rPr>
                <w:rFonts w:ascii="Arial" w:cs="Arial" w:eastAsia="Arial" w:hAnsi="Arial"/>
                <w:sz w:val="18"/>
                <w:szCs w:val="18"/>
                <w:color w:val="auto"/>
              </w:rPr>
              <w:t>Time-based</w:t>
            </w:r>
            <w:r>
              <w:rPr>
                <w:rFonts w:ascii="Arial" w:cs="Arial" w:eastAsia="Arial" w:hAnsi="Arial"/>
                <w:sz w:val="23"/>
                <w:szCs w:val="23"/>
                <w:color w:val="auto"/>
                <w:vertAlign w:val="superscript"/>
              </w:rPr>
              <w:t>(A)</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17,387,743</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17,387,743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25,878</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60" w:type="dxa"/>
            <w:vAlign w:val="bottom"/>
          </w:tcPr>
          <w:p>
            <w:pPr>
              <w:ind w:left="240"/>
              <w:spacing w:after="0" w:line="230" w:lineRule="exact"/>
              <w:rPr>
                <w:sz w:val="20"/>
                <w:szCs w:val="20"/>
                <w:color w:val="auto"/>
              </w:rPr>
            </w:pPr>
            <w:r>
              <w:rPr>
                <w:rFonts w:ascii="Arial" w:cs="Arial" w:eastAsia="Arial" w:hAnsi="Arial"/>
                <w:sz w:val="18"/>
                <w:szCs w:val="18"/>
                <w:color w:val="auto"/>
              </w:rPr>
              <w:t>Multiple</w:t>
            </w:r>
            <w:r>
              <w:rPr>
                <w:rFonts w:ascii="Arial" w:cs="Arial" w:eastAsia="Arial" w:hAnsi="Arial"/>
                <w:sz w:val="23"/>
                <w:szCs w:val="23"/>
                <w:color w:val="auto"/>
                <w:vertAlign w:val="superscript"/>
              </w:rPr>
              <w:t>(A)(B)</w:t>
            </w:r>
          </w:p>
        </w:tc>
        <w:tc>
          <w:tcPr>
            <w:tcW w:w="80" w:type="dxa"/>
            <w:vAlign w:val="bottom"/>
          </w:tcPr>
          <w:p>
            <w:pPr>
              <w:spacing w:after="0"/>
              <w:rPr>
                <w:sz w:val="19"/>
                <w:szCs w:val="19"/>
                <w:color w:val="auto"/>
              </w:rPr>
            </w:pPr>
          </w:p>
        </w:tc>
        <w:tc>
          <w:tcPr>
            <w:tcW w:w="1520" w:type="dxa"/>
            <w:vAlign w:val="bottom"/>
            <w:gridSpan w:val="2"/>
          </w:tcPr>
          <w:p>
            <w:pPr>
              <w:ind w:left="1100"/>
              <w:spacing w:after="0"/>
              <w:rPr>
                <w:sz w:val="20"/>
                <w:szCs w:val="20"/>
                <w:color w:val="auto"/>
              </w:rPr>
            </w:pPr>
            <w:r>
              <w:rPr>
                <w:rFonts w:ascii="Arial" w:cs="Arial" w:eastAsia="Arial" w:hAnsi="Arial"/>
                <w:sz w:val="18"/>
                <w:szCs w:val="18"/>
                <w:color w:val="auto"/>
              </w:rPr>
              <w:t>n.a.</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5,874,850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5,874,850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28,317</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17,387,743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5,874,850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23,262,593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28,317</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340" w:hanging="332"/>
        <w:spacing w:after="0"/>
        <w:tabs>
          <w:tab w:leader="none" w:pos="34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All awards vest over a period of two to four years, and most awards have a one year cliff vesting feature.</w:t>
      </w:r>
    </w:p>
    <w:p>
      <w:pPr>
        <w:spacing w:after="0" w:line="8" w:lineRule="exact"/>
        <w:rPr>
          <w:rFonts w:ascii="Arial" w:cs="Arial" w:eastAsia="Arial" w:hAnsi="Arial"/>
          <w:sz w:val="16"/>
          <w:szCs w:val="16"/>
          <w:color w:val="auto"/>
        </w:rPr>
      </w:pPr>
    </w:p>
    <w:p>
      <w:pPr>
        <w:ind w:left="340" w:right="20" w:hanging="332"/>
        <w:spacing w:after="0" w:line="265" w:lineRule="auto"/>
        <w:tabs>
          <w:tab w:leader="none" w:pos="34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Awards include a service period vesting condition, as noted above, and a liquidity-based vesting conditions. These awards require a liquidity event, as defined in the award agreement, that has neither occurred nor reasonably likely to occur at December 31, 2024.</w:t>
      </w:r>
    </w:p>
    <w:p>
      <w:pPr>
        <w:spacing w:after="0" w:line="128"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i w:val="1"/>
          <w:iCs w:val="1"/>
          <w:color w:val="auto"/>
        </w:rPr>
        <w:t>Modifications of Awards Under the 2018 Plan</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extended the post-termination exercise period of vested options held by certain current and former employees, resulting in $6.8 million of incremental equity-based compensation expense recognized during the year ended December 31, 2024. During the year ended December 31, 2024, the Company reduced the exercise price of 6,308,708 options granted as part of the Reorganization from $6.69 per share to $ 4.82 per share, resulting in $3.3 million of incremental equity-based compensation expense recognized during the year ended December 31, 2024.</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Noncontrolling Interests in Consolidated Subsidiaries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following amounts relate to equity interests held by the third-party investors in a real estate investment trust subsidiary, Figure REIT, Inc. (“Figure REIT”) and the Figure Markets Offshore Opportunity Investment Fund L.P. (“Offshore Solana Fund”) the Company consolidates, but does not wholly-own.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noncontrolling interests in the net income (loss) is computed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1"/>
                <w:szCs w:val="11"/>
                <w:b w:val="1"/>
                <w:bCs w:val="1"/>
                <w:color w:val="auto"/>
                <w:w w:val="96"/>
              </w:rPr>
              <w:t>December 31, 2024</w:t>
            </w: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1"/>
                <w:szCs w:val="11"/>
                <w:b w:val="1"/>
                <w:bCs w:val="1"/>
                <w:color w:val="auto"/>
                <w:w w:val="98"/>
              </w:rPr>
              <w:t>December 31, 2023</w:t>
            </w: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7"/>
              </w:rPr>
              <w:t>Noncontrolling Interest as a</w:t>
            </w:r>
          </w:p>
        </w:tc>
        <w:tc>
          <w:tcPr>
            <w:tcW w:w="1500" w:type="dxa"/>
            <w:vAlign w:val="bottom"/>
            <w:gridSpan w:val="3"/>
          </w:tcPr>
          <w:p>
            <w:pPr>
              <w:jc w:val="center"/>
              <w:ind w:right="80"/>
              <w:spacing w:after="0" w:line="109" w:lineRule="exact"/>
              <w:rPr>
                <w:sz w:val="20"/>
                <w:szCs w:val="20"/>
                <w:color w:val="auto"/>
              </w:rPr>
            </w:pPr>
            <w:r>
              <w:rPr>
                <w:rFonts w:ascii="Arial" w:cs="Arial" w:eastAsia="Arial" w:hAnsi="Arial"/>
                <w:sz w:val="11"/>
                <w:szCs w:val="11"/>
                <w:b w:val="1"/>
                <w:bCs w:val="1"/>
                <w:color w:val="auto"/>
                <w:w w:val="97"/>
              </w:rPr>
              <w:t>Noncontrolling Interest in</w:t>
            </w: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8"/>
              </w:rPr>
              <w:t>Noncontrolling Interest as a</w:t>
            </w:r>
          </w:p>
        </w:tc>
        <w:tc>
          <w:tcPr>
            <w:tcW w:w="1420" w:type="dxa"/>
            <w:vAlign w:val="bottom"/>
            <w:gridSpan w:val="2"/>
          </w:tcPr>
          <w:p>
            <w:pPr>
              <w:jc w:val="center"/>
              <w:spacing w:after="0" w:line="109" w:lineRule="exact"/>
              <w:rPr>
                <w:sz w:val="20"/>
                <w:szCs w:val="20"/>
                <w:color w:val="auto"/>
              </w:rPr>
            </w:pPr>
            <w:r>
              <w:rPr>
                <w:rFonts w:ascii="Arial" w:cs="Arial" w:eastAsia="Arial" w:hAnsi="Arial"/>
                <w:sz w:val="11"/>
                <w:szCs w:val="11"/>
                <w:b w:val="1"/>
                <w:bCs w:val="1"/>
                <w:color w:val="auto"/>
                <w:w w:val="97"/>
              </w:rPr>
              <w:t>Noncontrolling Interest in</w:t>
            </w: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Net Income (Loss)</w:t>
            </w:r>
          </w:p>
        </w:tc>
        <w:tc>
          <w:tcPr>
            <w:tcW w:w="16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97"/>
              </w:rPr>
              <w:t>Income (Loss) of</w:t>
            </w:r>
          </w:p>
        </w:tc>
        <w:tc>
          <w:tcPr>
            <w:tcW w:w="160" w:type="dxa"/>
            <w:vAlign w:val="bottom"/>
          </w:tcPr>
          <w:p>
            <w:pPr>
              <w:spacing w:after="0"/>
              <w:rPr>
                <w:sz w:val="9"/>
                <w:szCs w:val="9"/>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Net Income (Loss)</w:t>
            </w:r>
          </w:p>
        </w:tc>
        <w:tc>
          <w:tcPr>
            <w:tcW w:w="1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jc w:val="center"/>
              <w:ind w:right="114"/>
              <w:spacing w:after="0" w:line="108" w:lineRule="exact"/>
              <w:rPr>
                <w:sz w:val="20"/>
                <w:szCs w:val="20"/>
                <w:color w:val="auto"/>
              </w:rPr>
            </w:pPr>
            <w:r>
              <w:rPr>
                <w:rFonts w:ascii="Arial" w:cs="Arial" w:eastAsia="Arial" w:hAnsi="Arial"/>
                <w:sz w:val="11"/>
                <w:szCs w:val="11"/>
                <w:b w:val="1"/>
                <w:bCs w:val="1"/>
                <w:color w:val="auto"/>
                <w:w w:val="97"/>
              </w:rPr>
              <w:t>Income (Loss) of</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Percent of Total</w:t>
            </w:r>
            <w:r>
              <w:rPr>
                <w:rFonts w:ascii="Arial" w:cs="Arial" w:eastAsia="Arial" w:hAnsi="Arial"/>
                <w:sz w:val="14"/>
                <w:szCs w:val="14"/>
                <w:b w:val="1"/>
                <w:bCs w:val="1"/>
                <w:color w:val="auto"/>
                <w:w w:val="93"/>
                <w:vertAlign w:val="superscript"/>
              </w:rPr>
              <w:t>(A)</w:t>
            </w:r>
          </w:p>
        </w:tc>
        <w:tc>
          <w:tcPr>
            <w:tcW w:w="150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8"/>
              </w:rPr>
              <w:t>Consolidated Subsidiaries</w:t>
            </w:r>
          </w:p>
        </w:tc>
        <w:tc>
          <w:tcPr>
            <w:tcW w:w="1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5"/>
              </w:rPr>
              <w:t>Percent of Total</w:t>
            </w:r>
            <w:r>
              <w:rPr>
                <w:rFonts w:ascii="Arial" w:cs="Arial" w:eastAsia="Arial" w:hAnsi="Arial"/>
                <w:sz w:val="14"/>
                <w:szCs w:val="14"/>
                <w:b w:val="1"/>
                <w:bCs w:val="1"/>
                <w:color w:val="auto"/>
                <w:w w:val="95"/>
                <w:vertAlign w:val="superscript"/>
              </w:rPr>
              <w:t>(A)</w:t>
            </w:r>
          </w:p>
        </w:tc>
        <w:tc>
          <w:tcPr>
            <w:tcW w:w="14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6"/>
              </w:rPr>
              <w:t>Consolidated Subsidiaries</w:t>
            </w:r>
          </w:p>
        </w:tc>
        <w:tc>
          <w:tcPr>
            <w:tcW w:w="0" w:type="dxa"/>
            <w:vAlign w:val="bottom"/>
          </w:tcPr>
          <w:p>
            <w:pPr>
              <w:spacing w:after="0"/>
              <w:rPr>
                <w:sz w:val="1"/>
                <w:szCs w:val="1"/>
                <w:color w:val="auto"/>
              </w:rPr>
            </w:pPr>
          </w:p>
        </w:tc>
      </w:tr>
      <w:tr>
        <w:trPr>
          <w:trHeight w:val="196"/>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Figure REIT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5,509</w:t>
            </w:r>
          </w:p>
        </w:tc>
        <w:tc>
          <w:tcPr>
            <w:tcW w:w="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44.6 %</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(9,989)</w:t>
            </w:r>
          </w:p>
        </w:tc>
        <w:tc>
          <w:tcPr>
            <w:tcW w:w="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44.6 %</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(4,455)</w:t>
            </w:r>
          </w:p>
        </w:tc>
        <w:tc>
          <w:tcPr>
            <w:tcW w:w="0" w:type="dxa"/>
            <w:vAlign w:val="bottom"/>
          </w:tcPr>
          <w:p>
            <w:pPr>
              <w:spacing w:after="0"/>
              <w:rPr>
                <w:sz w:val="1"/>
                <w:szCs w:val="1"/>
                <w:color w:val="auto"/>
              </w:rPr>
            </w:pPr>
          </w:p>
        </w:tc>
      </w:tr>
      <w:tr>
        <w:trPr>
          <w:trHeight w:val="195"/>
        </w:trPr>
        <w:tc>
          <w:tcPr>
            <w:tcW w:w="2120" w:type="dxa"/>
            <w:vAlign w:val="bottom"/>
          </w:tcPr>
          <w:p>
            <w:pPr>
              <w:ind w:left="20"/>
              <w:spacing w:after="0"/>
              <w:rPr>
                <w:sz w:val="20"/>
                <w:szCs w:val="20"/>
                <w:color w:val="auto"/>
              </w:rPr>
            </w:pPr>
            <w:r>
              <w:rPr>
                <w:rFonts w:ascii="Arial" w:cs="Arial" w:eastAsia="Arial" w:hAnsi="Arial"/>
                <w:sz w:val="14"/>
                <w:szCs w:val="14"/>
                <w:color w:val="auto"/>
              </w:rPr>
              <w:t>Offshore Solana Fund</w:t>
            </w:r>
          </w:p>
        </w:tc>
        <w:tc>
          <w:tcPr>
            <w:tcW w:w="160" w:type="dxa"/>
            <w:vAlign w:val="bottom"/>
          </w:tcPr>
          <w:p>
            <w:pPr>
              <w:spacing w:after="0"/>
              <w:rPr>
                <w:sz w:val="16"/>
                <w:szCs w:val="16"/>
                <w:color w:val="auto"/>
              </w:rPr>
            </w:pPr>
          </w:p>
        </w:tc>
        <w:tc>
          <w:tcPr>
            <w:tcW w:w="1220" w:type="dxa"/>
            <w:vAlign w:val="bottom"/>
          </w:tcPr>
          <w:p>
            <w:pPr>
              <w:jc w:val="right"/>
              <w:ind w:right="14"/>
              <w:spacing w:after="0"/>
              <w:rPr>
                <w:sz w:val="20"/>
                <w:szCs w:val="20"/>
                <w:color w:val="auto"/>
              </w:rPr>
            </w:pPr>
            <w:r>
              <w:rPr>
                <w:rFonts w:ascii="Arial" w:cs="Arial" w:eastAsia="Arial" w:hAnsi="Arial"/>
                <w:sz w:val="14"/>
                <w:szCs w:val="14"/>
                <w:color w:val="auto"/>
              </w:rPr>
              <w:t>8,627</w:t>
            </w:r>
          </w:p>
        </w:tc>
        <w:tc>
          <w:tcPr>
            <w:tcW w:w="80" w:type="dxa"/>
            <w:vAlign w:val="bottom"/>
          </w:tcPr>
          <w:p>
            <w:pPr>
              <w:spacing w:after="0"/>
              <w:rPr>
                <w:sz w:val="16"/>
                <w:szCs w:val="16"/>
                <w:color w:val="auto"/>
              </w:rPr>
            </w:pPr>
          </w:p>
        </w:tc>
        <w:tc>
          <w:tcPr>
            <w:tcW w:w="1540" w:type="dxa"/>
            <w:vAlign w:val="bottom"/>
          </w:tcPr>
          <w:p>
            <w:pPr>
              <w:jc w:val="right"/>
              <w:ind w:right="139"/>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980"/>
              <w:spacing w:after="0"/>
              <w:rPr>
                <w:sz w:val="20"/>
                <w:szCs w:val="20"/>
                <w:color w:val="auto"/>
              </w:rPr>
            </w:pPr>
            <w:r>
              <w:rPr>
                <w:rFonts w:ascii="Arial" w:cs="Arial" w:eastAsia="Arial" w:hAnsi="Arial"/>
                <w:sz w:val="14"/>
                <w:szCs w:val="14"/>
                <w:color w:val="auto"/>
              </w:rPr>
              <w:t>n.a.</w:t>
            </w:r>
          </w:p>
        </w:tc>
        <w:tc>
          <w:tcPr>
            <w:tcW w:w="164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tabs>
          <w:tab w:leader="none" w:pos="3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Represents the weighted average percentage of total noncontrolling shareholders' net income (loss) in consolidated subsidiaries.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5440"/>
        <w:spacing w:after="0"/>
        <w:rPr>
          <w:rFonts w:ascii="Arial" w:cs="Arial" w:eastAsia="Arial" w:hAnsi="Arial"/>
          <w:sz w:val="16"/>
          <w:szCs w:val="16"/>
          <w:color w:val="auto"/>
        </w:rPr>
      </w:pPr>
      <w:r>
        <w:rPr>
          <w:rFonts w:ascii="Arial" w:cs="Arial" w:eastAsia="Arial" w:hAnsi="Arial"/>
          <w:sz w:val="18"/>
          <w:szCs w:val="18"/>
          <w:color w:val="auto"/>
        </w:rPr>
        <w:t>F-90</w:t>
      </w:r>
    </w:p>
    <w:p>
      <w:pPr>
        <w:sectPr>
          <w:pgSz w:w="11900" w:h="16838" w:orient="portrait"/>
          <w:cols w:equalWidth="0" w:num="1">
            <w:col w:w="11240"/>
          </w:cols>
          <w:pgMar w:left="320" w:top="229" w:right="339" w:bottom="1440" w:gutter="0" w:footer="0" w:header="0"/>
        </w:sectPr>
      </w:pPr>
    </w:p>
    <w:bookmarkStart w:id="343" w:name="page344"/>
    <w:bookmarkEnd w:id="343"/>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noncontrolling interests in the equity of consolidated subsidiaries is computed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1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96"/>
              </w:rPr>
              <w:t>December 31, 2024</w:t>
            </w: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96"/>
              </w:rPr>
              <w:t>December 31, 2023</w:t>
            </w: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Noncontrolling Ownership</w:t>
            </w:r>
          </w:p>
        </w:tc>
        <w:tc>
          <w:tcPr>
            <w:tcW w:w="1500" w:type="dxa"/>
            <w:vAlign w:val="bottom"/>
            <w:gridSpan w:val="3"/>
          </w:tcPr>
          <w:p>
            <w:pPr>
              <w:jc w:val="center"/>
              <w:ind w:right="100"/>
              <w:spacing w:after="0" w:line="109" w:lineRule="exact"/>
              <w:rPr>
                <w:sz w:val="20"/>
                <w:szCs w:val="20"/>
                <w:color w:val="auto"/>
              </w:rPr>
            </w:pPr>
            <w:r>
              <w:rPr>
                <w:rFonts w:ascii="Arial" w:cs="Arial" w:eastAsia="Arial" w:hAnsi="Arial"/>
                <w:sz w:val="11"/>
                <w:szCs w:val="11"/>
                <w:b w:val="1"/>
                <w:bCs w:val="1"/>
                <w:color w:val="auto"/>
                <w:w w:val="98"/>
              </w:rPr>
              <w:t>Noncontrolling Interest in</w:t>
            </w: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Noncontrolling Ownership</w:t>
            </w:r>
          </w:p>
        </w:tc>
        <w:tc>
          <w:tcPr>
            <w:tcW w:w="1400" w:type="dxa"/>
            <w:vAlign w:val="bottom"/>
            <w:gridSpan w:val="2"/>
          </w:tcPr>
          <w:p>
            <w:pPr>
              <w:jc w:val="center"/>
              <w:spacing w:after="0" w:line="109" w:lineRule="exact"/>
              <w:rPr>
                <w:sz w:val="20"/>
                <w:szCs w:val="20"/>
                <w:color w:val="auto"/>
              </w:rPr>
            </w:pPr>
            <w:r>
              <w:rPr>
                <w:rFonts w:ascii="Arial" w:cs="Arial" w:eastAsia="Arial" w:hAnsi="Arial"/>
                <w:sz w:val="11"/>
                <w:szCs w:val="11"/>
                <w:b w:val="1"/>
                <w:bCs w:val="1"/>
                <w:color w:val="auto"/>
                <w:w w:val="98"/>
              </w:rPr>
              <w:t>Noncontrolling Interest in</w:t>
            </w:r>
          </w:p>
        </w:tc>
        <w:tc>
          <w:tcPr>
            <w:tcW w:w="0" w:type="dxa"/>
            <w:vAlign w:val="bottom"/>
          </w:tcPr>
          <w:p>
            <w:pPr>
              <w:spacing w:after="0"/>
              <w:rPr>
                <w:sz w:val="1"/>
                <w:szCs w:val="1"/>
                <w:color w:val="auto"/>
              </w:rPr>
            </w:pPr>
          </w:p>
        </w:tc>
      </w:tr>
      <w:tr>
        <w:trPr>
          <w:trHeight w:val="108"/>
        </w:trPr>
        <w:tc>
          <w:tcPr>
            <w:tcW w:w="2100" w:type="dxa"/>
            <w:vAlign w:val="bottom"/>
          </w:tcPr>
          <w:p>
            <w:pPr>
              <w:spacing w:after="0"/>
              <w:rPr>
                <w:sz w:val="9"/>
                <w:szCs w:val="9"/>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Total Consolidated Equity</w:t>
            </w:r>
          </w:p>
        </w:tc>
        <w:tc>
          <w:tcPr>
            <w:tcW w:w="1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6"/>
              </w:rPr>
              <w:t>Equity of Consolidated</w:t>
            </w:r>
          </w:p>
        </w:tc>
        <w:tc>
          <w:tcPr>
            <w:tcW w:w="150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Total Consolidated Equity</w:t>
            </w:r>
          </w:p>
        </w:tc>
        <w:tc>
          <w:tcPr>
            <w:tcW w:w="1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jc w:val="center"/>
              <w:ind w:right="37"/>
              <w:spacing w:after="0" w:line="108" w:lineRule="exact"/>
              <w:rPr>
                <w:sz w:val="20"/>
                <w:szCs w:val="20"/>
                <w:color w:val="auto"/>
              </w:rPr>
            </w:pPr>
            <w:r>
              <w:rPr>
                <w:rFonts w:ascii="Arial" w:cs="Arial" w:eastAsia="Arial" w:hAnsi="Arial"/>
                <w:sz w:val="11"/>
                <w:szCs w:val="11"/>
                <w:b w:val="1"/>
                <w:bCs w:val="1"/>
                <w:color w:val="auto"/>
                <w:w w:val="96"/>
              </w:rPr>
              <w:t>Equity of Consolidated</w:t>
            </w:r>
          </w:p>
        </w:tc>
        <w:tc>
          <w:tcPr>
            <w:tcW w:w="0" w:type="dxa"/>
            <w:vAlign w:val="bottom"/>
          </w:tcPr>
          <w:p>
            <w:pPr>
              <w:spacing w:after="0"/>
              <w:rPr>
                <w:sz w:val="1"/>
                <w:szCs w:val="1"/>
                <w:color w:val="auto"/>
              </w:rPr>
            </w:pPr>
          </w:p>
        </w:tc>
      </w:tr>
      <w:tr>
        <w:trPr>
          <w:trHeight w:val="155"/>
        </w:trPr>
        <w:tc>
          <w:tcPr>
            <w:tcW w:w="2100" w:type="dxa"/>
            <w:vAlign w:val="bottom"/>
          </w:tcPr>
          <w:p>
            <w:pPr>
              <w:spacing w:after="0"/>
              <w:rPr>
                <w:sz w:val="13"/>
                <w:szCs w:val="13"/>
                <w:color w:val="auto"/>
              </w:rPr>
            </w:pPr>
          </w:p>
        </w:tc>
        <w:tc>
          <w:tcPr>
            <w:tcW w:w="1500" w:type="dxa"/>
            <w:vAlign w:val="bottom"/>
            <w:gridSpan w:val="3"/>
            <w:vMerge w:val="continue"/>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Interest as a Percent of Total</w:t>
            </w:r>
          </w:p>
        </w:tc>
        <w:tc>
          <w:tcPr>
            <w:tcW w:w="100" w:type="dxa"/>
            <w:vAlign w:val="bottom"/>
          </w:tcPr>
          <w:p>
            <w:pPr>
              <w:spacing w:after="0"/>
              <w:rPr>
                <w:sz w:val="13"/>
                <w:szCs w:val="13"/>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7"/>
              </w:rPr>
              <w:t>Subsidiaries</w:t>
            </w:r>
          </w:p>
        </w:tc>
        <w:tc>
          <w:tcPr>
            <w:tcW w:w="1500" w:type="dxa"/>
            <w:vAlign w:val="bottom"/>
            <w:gridSpan w:val="3"/>
            <w:vMerge w:val="continue"/>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Interest as a Percent of Total</w:t>
            </w:r>
          </w:p>
        </w:tc>
        <w:tc>
          <w:tcPr>
            <w:tcW w:w="100" w:type="dxa"/>
            <w:vAlign w:val="bottom"/>
          </w:tcPr>
          <w:p>
            <w:pPr>
              <w:spacing w:after="0"/>
              <w:rPr>
                <w:sz w:val="13"/>
                <w:szCs w:val="13"/>
                <w:color w:val="auto"/>
              </w:rPr>
            </w:pPr>
          </w:p>
        </w:tc>
        <w:tc>
          <w:tcPr>
            <w:tcW w:w="1300" w:type="dxa"/>
            <w:vAlign w:val="bottom"/>
          </w:tcPr>
          <w:p>
            <w:pPr>
              <w:jc w:val="center"/>
              <w:ind w:right="37"/>
              <w:spacing w:after="0"/>
              <w:rPr>
                <w:sz w:val="20"/>
                <w:szCs w:val="20"/>
                <w:color w:val="auto"/>
              </w:rPr>
            </w:pPr>
            <w:r>
              <w:rPr>
                <w:rFonts w:ascii="Arial" w:cs="Arial" w:eastAsia="Arial" w:hAnsi="Arial"/>
                <w:sz w:val="11"/>
                <w:szCs w:val="11"/>
                <w:b w:val="1"/>
                <w:bCs w:val="1"/>
                <w:color w:val="auto"/>
                <w:w w:val="97"/>
              </w:rPr>
              <w:t>Subsidiaries</w:t>
            </w:r>
          </w:p>
        </w:tc>
        <w:tc>
          <w:tcPr>
            <w:tcW w:w="0" w:type="dxa"/>
            <w:vAlign w:val="bottom"/>
          </w:tcPr>
          <w:p>
            <w:pPr>
              <w:spacing w:after="0"/>
              <w:rPr>
                <w:sz w:val="1"/>
                <w:szCs w:val="1"/>
                <w:color w:val="auto"/>
              </w:rPr>
            </w:pPr>
          </w:p>
        </w:tc>
      </w:tr>
      <w:tr>
        <w:trPr>
          <w:trHeight w:val="203"/>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Figure REIT</w:t>
            </w:r>
          </w:p>
        </w:tc>
        <w:tc>
          <w:tcPr>
            <w:tcW w:w="500" w:type="dxa"/>
            <w:vAlign w:val="bottom"/>
            <w:tcBorders>
              <w:top w:val="single" w:sz="8" w:color="auto"/>
            </w:tcBorders>
            <w:shd w:val="clear" w:color="auto" w:fill="CCEEFF"/>
          </w:tcPr>
          <w:p>
            <w:pPr>
              <w:jc w:val="right"/>
              <w:ind w:right="337"/>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18,261</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44.6 %</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7,769</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37"/>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11,214</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44.6 %</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5,353</w:t>
            </w:r>
          </w:p>
        </w:tc>
        <w:tc>
          <w:tcPr>
            <w:tcW w:w="0" w:type="dxa"/>
            <w:vAlign w:val="bottom"/>
          </w:tcPr>
          <w:p>
            <w:pPr>
              <w:spacing w:after="0"/>
              <w:rPr>
                <w:sz w:val="1"/>
                <w:szCs w:val="1"/>
                <w:color w:val="auto"/>
              </w:rPr>
            </w:pPr>
          </w:p>
        </w:tc>
      </w:tr>
      <w:tr>
        <w:trPr>
          <w:trHeight w:val="194"/>
        </w:trPr>
        <w:tc>
          <w:tcPr>
            <w:tcW w:w="2100" w:type="dxa"/>
            <w:vAlign w:val="bottom"/>
          </w:tcPr>
          <w:p>
            <w:pPr>
              <w:ind w:left="20"/>
              <w:spacing w:after="0"/>
              <w:rPr>
                <w:sz w:val="20"/>
                <w:szCs w:val="20"/>
                <w:color w:val="auto"/>
              </w:rPr>
            </w:pPr>
            <w:r>
              <w:rPr>
                <w:rFonts w:ascii="Arial" w:cs="Arial" w:eastAsia="Arial" w:hAnsi="Arial"/>
                <w:sz w:val="14"/>
                <w:szCs w:val="14"/>
                <w:color w:val="auto"/>
              </w:rPr>
              <w:t>Offshore Solana Fund</w:t>
            </w:r>
          </w:p>
        </w:tc>
        <w:tc>
          <w:tcPr>
            <w:tcW w:w="5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17,807</w:t>
            </w:r>
          </w:p>
        </w:tc>
        <w:tc>
          <w:tcPr>
            <w:tcW w:w="100" w:type="dxa"/>
            <w:vAlign w:val="bottom"/>
          </w:tcPr>
          <w:p>
            <w:pPr>
              <w:spacing w:after="0"/>
              <w:rPr>
                <w:sz w:val="16"/>
                <w:szCs w:val="16"/>
                <w:color w:val="auto"/>
              </w:rPr>
            </w:pPr>
          </w:p>
        </w:tc>
        <w:tc>
          <w:tcPr>
            <w:tcW w:w="1520" w:type="dxa"/>
            <w:vAlign w:val="bottom"/>
          </w:tcPr>
          <w:p>
            <w:pPr>
              <w:jc w:val="right"/>
              <w:ind w:right="119"/>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n.a.</w:t>
            </w:r>
          </w:p>
        </w:tc>
        <w:tc>
          <w:tcPr>
            <w:tcW w:w="162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VARIABLE INTEREST ENTITIES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VIEs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Company's consolidated VIEs at December 31, 2024 included a fund limited partnership and a REIT in which the Company has investments and is deemed to have both the power to direct the most significant activities of the entities and the right to receive benefits, or the obligation to absorb losses, that could potentially be significant to these entities.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table below presents the carrying value and classification of the assets and liabilities of consolidated VIEs on the Combined Consolidated Balance Sheets: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4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December 31, 2024</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2023</w:t>
            </w:r>
          </w:p>
        </w:tc>
        <w:tc>
          <w:tcPr>
            <w:tcW w:w="960" w:type="dxa"/>
            <w:vAlign w:val="bottom"/>
            <w:tcBorders>
              <w:bottom w:val="single" w:sz="8" w:color="auto"/>
            </w:tcBorders>
          </w:tcPr>
          <w:p>
            <w:pPr>
              <w:spacing w:after="0"/>
              <w:rPr>
                <w:sz w:val="17"/>
                <w:szCs w:val="17"/>
                <w:color w:val="auto"/>
              </w:rPr>
            </w:pPr>
          </w:p>
        </w:tc>
      </w:tr>
      <w:tr>
        <w:trPr>
          <w:trHeight w:val="196"/>
        </w:trPr>
        <w:tc>
          <w:tcPr>
            <w:tcW w:w="3040" w:type="dxa"/>
            <w:vAlign w:val="bottom"/>
          </w:tcPr>
          <w:p>
            <w:pPr>
              <w:spacing w:after="0"/>
              <w:rPr>
                <w:sz w:val="17"/>
                <w:szCs w:val="17"/>
                <w:color w:val="auto"/>
              </w:rPr>
            </w:pPr>
          </w:p>
        </w:tc>
        <w:tc>
          <w:tcPr>
            <w:tcW w:w="1660" w:type="dxa"/>
            <w:vAlign w:val="bottom"/>
            <w:gridSpan w:val="3"/>
          </w:tcPr>
          <w:p>
            <w:pPr>
              <w:ind w:left="40"/>
              <w:spacing w:after="0"/>
              <w:rPr>
                <w:sz w:val="20"/>
                <w:szCs w:val="20"/>
                <w:color w:val="auto"/>
              </w:rPr>
            </w:pPr>
            <w:r>
              <w:rPr>
                <w:rFonts w:ascii="Arial" w:cs="Arial" w:eastAsia="Arial" w:hAnsi="Arial"/>
                <w:sz w:val="14"/>
                <w:szCs w:val="14"/>
                <w:b w:val="1"/>
                <w:bCs w:val="1"/>
                <w:color w:val="auto"/>
              </w:rPr>
              <w:t>Offshore Solana Fund</w:t>
            </w:r>
          </w:p>
        </w:tc>
        <w:tc>
          <w:tcPr>
            <w:tcW w:w="1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Figure REIT</w:t>
            </w:r>
          </w:p>
        </w:tc>
        <w:tc>
          <w:tcPr>
            <w:tcW w:w="360" w:type="dxa"/>
            <w:vAlign w:val="bottom"/>
          </w:tcPr>
          <w:p>
            <w:pPr>
              <w:spacing w:after="0"/>
              <w:rPr>
                <w:sz w:val="17"/>
                <w:szCs w:val="17"/>
                <w:color w:val="auto"/>
              </w:rPr>
            </w:pPr>
          </w:p>
        </w:tc>
        <w:tc>
          <w:tcPr>
            <w:tcW w:w="13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7"/>
                <w:szCs w:val="17"/>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Figure REIT</w:t>
            </w:r>
          </w:p>
        </w:tc>
        <w:tc>
          <w:tcPr>
            <w:tcW w:w="600" w:type="dxa"/>
            <w:vAlign w:val="bottom"/>
          </w:tcPr>
          <w:p>
            <w:pPr>
              <w:spacing w:after="0"/>
              <w:rPr>
                <w:sz w:val="17"/>
                <w:szCs w:val="17"/>
                <w:color w:val="auto"/>
              </w:rPr>
            </w:pPr>
          </w:p>
        </w:tc>
        <w:tc>
          <w:tcPr>
            <w:tcW w:w="960" w:type="dxa"/>
            <w:vAlign w:val="bottom"/>
          </w:tcPr>
          <w:p>
            <w:pPr>
              <w:jc w:val="right"/>
              <w:ind w:right="536"/>
              <w:spacing w:after="0"/>
              <w:rPr>
                <w:sz w:val="20"/>
                <w:szCs w:val="20"/>
                <w:color w:val="auto"/>
              </w:rPr>
            </w:pPr>
            <w:r>
              <w:rPr>
                <w:rFonts w:ascii="Arial" w:cs="Arial" w:eastAsia="Arial" w:hAnsi="Arial"/>
                <w:sz w:val="14"/>
                <w:szCs w:val="14"/>
                <w:b w:val="1"/>
                <w:bCs w:val="1"/>
                <w:color w:val="auto"/>
                <w:w w:val="95"/>
              </w:rPr>
              <w:t>Total</w:t>
            </w:r>
          </w:p>
        </w:tc>
      </w:tr>
      <w:tr>
        <w:trPr>
          <w:trHeight w:val="224"/>
        </w:trPr>
        <w:tc>
          <w:tcPr>
            <w:tcW w:w="304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Total assets</w:t>
            </w:r>
            <w:r>
              <w:rPr>
                <w:rFonts w:ascii="Arial" w:cs="Arial" w:eastAsia="Arial" w:hAnsi="Arial"/>
                <w:sz w:val="23"/>
                <w:szCs w:val="23"/>
                <w:color w:val="auto"/>
                <w:vertAlign w:val="superscript"/>
              </w:rPr>
              <w:t>(A)</w:t>
            </w: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121,817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139,628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67,264</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67,264</w:t>
            </w:r>
          </w:p>
        </w:tc>
      </w:tr>
      <w:tr>
        <w:trPr>
          <w:trHeight w:val="311"/>
        </w:trPr>
        <w:tc>
          <w:tcPr>
            <w:tcW w:w="3040" w:type="dxa"/>
            <w:vAlign w:val="bottom"/>
          </w:tcPr>
          <w:p>
            <w:pPr>
              <w:ind w:left="20"/>
              <w:spacing w:after="0"/>
              <w:rPr>
                <w:sz w:val="20"/>
                <w:szCs w:val="20"/>
                <w:color w:val="auto"/>
              </w:rPr>
            </w:pPr>
            <w:r>
              <w:rPr>
                <w:rFonts w:ascii="Arial" w:cs="Arial" w:eastAsia="Arial" w:hAnsi="Arial"/>
                <w:sz w:val="18"/>
                <w:szCs w:val="18"/>
                <w:color w:val="auto"/>
              </w:rPr>
              <w:t>Total liabilities</w:t>
            </w:r>
            <w:r>
              <w:rPr>
                <w:rFonts w:ascii="Arial" w:cs="Arial" w:eastAsia="Arial" w:hAnsi="Arial"/>
                <w:sz w:val="23"/>
                <w:szCs w:val="23"/>
                <w:color w:val="auto"/>
                <w:vertAlign w:val="superscript"/>
              </w:rPr>
              <w:t>(A)</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103,556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103,560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55,344</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55,344</w:t>
            </w:r>
          </w:p>
        </w:tc>
      </w:tr>
    </w:tbl>
    <w:p>
      <w:pPr>
        <w:spacing w:after="0"/>
        <w:rPr>
          <w:sz w:val="20"/>
          <w:szCs w:val="20"/>
          <w:color w:val="auto"/>
        </w:rPr>
      </w:pPr>
      <w:r>
        <w:rPr>
          <w:rFonts w:ascii="Arial" w:cs="Arial" w:eastAsia="Arial" w:hAnsi="Arial"/>
          <w:sz w:val="16"/>
          <w:szCs w:val="16"/>
          <w:color w:val="auto"/>
        </w:rPr>
        <w:t>_______________</w:t>
      </w:r>
    </w:p>
    <w:p>
      <w:pPr>
        <w:spacing w:after="0" w:line="17" w:lineRule="exact"/>
        <w:rPr>
          <w:sz w:val="20"/>
          <w:szCs w:val="20"/>
          <w:color w:val="auto"/>
        </w:rPr>
      </w:pPr>
    </w:p>
    <w:p>
      <w:pPr>
        <w:ind w:left="340" w:hanging="332"/>
        <w:spacing w:after="0"/>
        <w:tabs>
          <w:tab w:leader="none" w:pos="34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Intercompany balances have been eliminated.</w:t>
      </w:r>
    </w:p>
    <w:p>
      <w:pPr>
        <w:spacing w:after="0" w:line="150"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u w:val="single" w:color="auto"/>
          <w:color w:val="auto"/>
        </w:rPr>
        <w:t>Offshore Solana Fund</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Offshore Solana Fund was initially a wholly-owned subsidiary of the Company. In July 2024, the Company sold 2.8% of the Offshore Solana Fund limited partnership interests to unrelated third parties. As of December 31, 2024, the Company holds a 97.2% interest in the Offshore Solana Fund. Through its ownership of the general partner, the Company has the power to direct the activities that most significantly impact the economic performance of the Offshore Solana Fund and the Company has an obligation to absorb losses or receive returns of the Offshore Solana Fund. Third-party limited partners in the Offshore Solana Fund hold a ratable interest in the fair value of the Offshore Solana Fund’s net assets, and the Company presents such noncontrolling interests at fair value in the Combined Consolidated Balance Sheets and reflects changes thereon in the Combined Consolidated Statements of Operations. See Note 7 for further discussion of the noncontrolling interests in the entity.</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Figure REIT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manages Figure REIT, Inc. (“Figure REIT”) and has a variable interest in the entity based on its ability to direct the activities that most significantly impact the economic performance of Figure REIT, as the entity is managed by an advisor, who is controlled and managed directly or indirectly through subsidiaries of the Company. The assets of Figure REIT may be used to settle obligations of the entity. There is no recourse to the Company for liabilities of Figure REIT. Additionally, the Company has significant economic exposure through its direct and indirect interest in the Figure REIT. See Note 7 for further discussion of the noncontrolling interests in the entity.</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Non-Consolidated VIEs</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While the Company continues to be involved with securitization VIEs in its role as the sponsor and the servicer of securitization transactions, the Company has determined that it is not the primary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240"/>
          </w:cols>
          <w:pgMar w:left="320" w:top="229" w:right="339" w:bottom="1440" w:gutter="0" w:footer="0" w:header="0"/>
        </w:sectPr>
      </w:pPr>
    </w:p>
    <w:bookmarkStart w:id="344" w:name="page345"/>
    <w:bookmarkEnd w:id="344"/>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beneficiary of these entities and does not consolidate. These entities are established as grantor trusts for various securitization transactions. The activities that most significantly impact the economic performance of the VIE include servicing activities with respect to delinquent loans and defaults, performed by a third-party subservicer that the Company may not remove without cause. Assets transferred into each securitization trust are legally isolated from the creditors of the Company, not available to satisfy obligations of the Company, and can only be used to settle obligations of the underlying trust in exchange for debt securities and beneficial interests sold.</w:t>
      </w:r>
    </w:p>
    <w:p>
      <w:pPr>
        <w:spacing w:after="0" w:line="1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following table summarizes the aggregate risk characteristics of the unconsolidated VIEs and the Company’s maximum exposure to loss at December 31, 2024 and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2024</w:t>
            </w:r>
          </w:p>
        </w:tc>
        <w:tc>
          <w:tcPr>
            <w:tcW w:w="160" w:type="dxa"/>
            <w:vAlign w:val="bottom"/>
          </w:tcPr>
          <w:p>
            <w:pPr>
              <w:spacing w:after="0"/>
              <w:rPr>
                <w:sz w:val="17"/>
                <w:szCs w:val="17"/>
                <w:color w:val="auto"/>
              </w:rPr>
            </w:pPr>
          </w:p>
        </w:tc>
        <w:tc>
          <w:tcPr>
            <w:tcW w:w="156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2023</w:t>
            </w:r>
          </w:p>
        </w:tc>
      </w:tr>
      <w:tr>
        <w:trPr>
          <w:trHeight w:val="224"/>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UPB of securitization collateral</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2,785,341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716,986</w:t>
            </w:r>
          </w:p>
        </w:tc>
      </w:tr>
      <w:tr>
        <w:trPr>
          <w:trHeight w:val="229"/>
        </w:trPr>
        <w:tc>
          <w:tcPr>
            <w:tcW w:w="7720" w:type="dxa"/>
            <w:vAlign w:val="bottom"/>
          </w:tcPr>
          <w:p>
            <w:pPr>
              <w:ind w:left="20"/>
              <w:spacing w:after="0" w:line="230" w:lineRule="exact"/>
              <w:rPr>
                <w:sz w:val="20"/>
                <w:szCs w:val="20"/>
                <w:color w:val="auto"/>
              </w:rPr>
            </w:pPr>
            <w:r>
              <w:rPr>
                <w:rFonts w:ascii="Arial" w:cs="Arial" w:eastAsia="Arial" w:hAnsi="Arial"/>
                <w:sz w:val="18"/>
                <w:szCs w:val="18"/>
                <w:color w:val="auto"/>
              </w:rPr>
              <w:t>Weighted average delinquency</w:t>
            </w:r>
            <w:r>
              <w:rPr>
                <w:rFonts w:ascii="Arial" w:cs="Arial" w:eastAsia="Arial" w:hAnsi="Arial"/>
                <w:sz w:val="23"/>
                <w:szCs w:val="23"/>
                <w:color w:val="auto"/>
                <w:vertAlign w:val="superscript"/>
              </w:rPr>
              <w:t>(A)</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0.4 %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0.4 %</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Face amount of debt held by third parties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2,586,297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632,602</w:t>
            </w:r>
          </w:p>
        </w:tc>
      </w:tr>
      <w:tr>
        <w:trPr>
          <w:trHeight w:val="311"/>
        </w:trPr>
        <w:tc>
          <w:tcPr>
            <w:tcW w:w="7720" w:type="dxa"/>
            <w:vAlign w:val="bottom"/>
          </w:tcPr>
          <w:p>
            <w:pPr>
              <w:ind w:left="20"/>
              <w:spacing w:after="0"/>
              <w:rPr>
                <w:sz w:val="20"/>
                <w:szCs w:val="20"/>
                <w:color w:val="auto"/>
              </w:rPr>
            </w:pPr>
            <w:r>
              <w:rPr>
                <w:rFonts w:ascii="Arial" w:cs="Arial" w:eastAsia="Arial" w:hAnsi="Arial"/>
                <w:sz w:val="18"/>
                <w:szCs w:val="18"/>
                <w:color w:val="auto"/>
              </w:rPr>
              <w:t>Maximum exposure</w:t>
            </w:r>
            <w:r>
              <w:rPr>
                <w:rFonts w:ascii="Arial" w:cs="Arial" w:eastAsia="Arial" w:hAnsi="Arial"/>
                <w:sz w:val="23"/>
                <w:szCs w:val="23"/>
                <w:color w:val="auto"/>
                <w:vertAlign w:val="superscript"/>
              </w:rPr>
              <w:t>(B)</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54"/>
              <w:spacing w:after="0"/>
              <w:rPr>
                <w:sz w:val="20"/>
                <w:szCs w:val="20"/>
                <w:color w:val="auto"/>
              </w:rPr>
            </w:pPr>
            <w:r>
              <w:rPr>
                <w:rFonts w:ascii="Arial" w:cs="Arial" w:eastAsia="Arial" w:hAnsi="Arial"/>
                <w:sz w:val="18"/>
                <w:szCs w:val="18"/>
                <w:color w:val="auto"/>
              </w:rPr>
              <w:t>201,512</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54"/>
              <w:spacing w:after="0"/>
              <w:rPr>
                <w:sz w:val="20"/>
                <w:szCs w:val="20"/>
                <w:color w:val="auto"/>
              </w:rPr>
            </w:pPr>
            <w:r>
              <w:rPr>
                <w:rFonts w:ascii="Arial" w:cs="Arial" w:eastAsia="Arial" w:hAnsi="Arial"/>
                <w:sz w:val="18"/>
                <w:szCs w:val="18"/>
                <w:color w:val="auto"/>
              </w:rPr>
              <w:t>43,333</w:t>
            </w:r>
          </w:p>
        </w:tc>
      </w:tr>
    </w:tbl>
    <w:p>
      <w:pPr>
        <w:spacing w:after="0"/>
        <w:rPr>
          <w:sz w:val="20"/>
          <w:szCs w:val="20"/>
          <w:color w:val="auto"/>
        </w:rPr>
      </w:pPr>
      <w:r>
        <w:rPr>
          <w:rFonts w:ascii="Arial" w:cs="Arial" w:eastAsia="Arial" w:hAnsi="Arial"/>
          <w:sz w:val="16"/>
          <w:szCs w:val="16"/>
          <w:color w:val="auto"/>
        </w:rPr>
        <w:t>_______________</w:t>
      </w:r>
    </w:p>
    <w:p>
      <w:pPr>
        <w:spacing w:after="0" w:line="20" w:lineRule="exact"/>
        <w:rPr>
          <w:sz w:val="20"/>
          <w:szCs w:val="20"/>
          <w:color w:val="auto"/>
        </w:rPr>
      </w:pPr>
    </w:p>
    <w:p>
      <w:pPr>
        <w:ind w:left="340" w:hanging="332"/>
        <w:spacing w:after="0"/>
        <w:tabs>
          <w:tab w:leader="none" w:pos="34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Represents the percentage of the UPB that is 60+ days delinquent.</w:t>
      </w:r>
    </w:p>
    <w:p>
      <w:pPr>
        <w:spacing w:after="0" w:line="5"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Primarily represents the aggregate fair value of the Company’s investments in marketable securities and the servicing assets associated with underlying collateral of the securitizations. In certain cases, the Company is obligated to fund securitization reserve accounts. See Note 9 for further discussion regarding the Company’s reserve account funding obligations.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Litigation </w:t>
      </w:r>
      <w:r>
        <w:rPr>
          <w:rFonts w:ascii="Arial" w:cs="Arial" w:eastAsia="Arial" w:hAnsi="Arial"/>
          <w:sz w:val="18"/>
          <w:szCs w:val="18"/>
          <w:color w:val="auto"/>
        </w:rPr>
        <w:t>— The Company is or may become, from time to time, involved in various disputes, litigation, arbitration, and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inquiry and investigation matters that arise in the ordinary course of business. Given the inherent unpredictability of matters the Company has been and currently is involved in, the outcome of these proceedings cannot be determined at this time, and it is possible that future adverse outcomes could have a material adverse effect on its business, financial position or results of operations. The Company is not aware of any unasserted claims that it believes are material and probable of assertion where the risk of loss is expected to be reasonably possible, but the Company may become involved in additional litigation in the ordinary course of our business in the future, including litigation that could be material to its business.</w:t>
      </w:r>
    </w:p>
    <w:p>
      <w:pPr>
        <w:spacing w:after="0" w:line="12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reviews the need for any loss contingency reserves and establishes reserves when, in the opinion of management, it is probable that a matter would result in a liability and the amount of loss, if any, can be reasonably estimated. Management, after consultation with legal counsel, believes that there are no known actions or threats that would result in a material adverse effect on the Company’s financial condition, results of operations, or cash flows.</w:t>
      </w:r>
    </w:p>
    <w:p>
      <w:pPr>
        <w:spacing w:after="0" w:line="12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Company is, from time to time, subject to inquiries by government entities, though the Company currently does not believe any of these inquiries would result in a material adverse effect on the Company’s business.</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 xml:space="preserve">Indemnifications </w:t>
      </w:r>
      <w:r>
        <w:rPr>
          <w:rFonts w:ascii="Arial" w:cs="Arial" w:eastAsia="Arial" w:hAnsi="Arial"/>
          <w:sz w:val="18"/>
          <w:szCs w:val="18"/>
          <w:color w:val="auto"/>
        </w:rPr>
        <w:t>— In the normal course of business, the Company and its subsidiaries entered into contracts that contain</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warranties that provide general indemnifications in regards to legal proceedings. The Company’s maximum exposure under these arrangements is unknown as this would involve future legal claims that may be made against the Company that have not yet occurred. However, based on its experience, the Company expects the risk of material loss to be remote.</w:t>
      </w:r>
    </w:p>
    <w:p>
      <w:pPr>
        <w:spacing w:after="0" w:line="12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color w:val="auto"/>
        </w:rPr>
        <w:t xml:space="preserve">Debt Covenants </w:t>
      </w:r>
      <w:r>
        <w:rPr>
          <w:rFonts w:ascii="Arial" w:cs="Arial" w:eastAsia="Arial" w:hAnsi="Arial"/>
          <w:sz w:val="18"/>
          <w:szCs w:val="18"/>
          <w:color w:val="auto"/>
        </w:rPr>
        <w:t>— Certain of the Company’s debt obligations are subject to loan covenants and event of default provisions. See Note 6</w:t>
      </w:r>
      <w:r>
        <w:rPr>
          <w:rFonts w:ascii="Arial" w:cs="Arial" w:eastAsia="Arial" w:hAnsi="Arial"/>
          <w:sz w:val="18"/>
          <w:szCs w:val="18"/>
          <w:b w:val="1"/>
          <w:bCs w:val="1"/>
          <w:color w:val="auto"/>
        </w:rPr>
        <w:t xml:space="preserve"> </w:t>
      </w:r>
      <w:r>
        <w:rPr>
          <w:rFonts w:ascii="Arial" w:cs="Arial" w:eastAsia="Arial" w:hAnsi="Arial"/>
          <w:sz w:val="18"/>
          <w:szCs w:val="18"/>
          <w:color w:val="auto"/>
        </w:rPr>
        <w:t>for further discussion of the Company’s debt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240"/>
          </w:cols>
          <w:pgMar w:left="320" w:top="229" w:right="339" w:bottom="1440" w:gutter="0" w:footer="0" w:header="0"/>
        </w:sectPr>
      </w:pPr>
    </w:p>
    <w:bookmarkStart w:id="345" w:name="page346"/>
    <w:bookmarkEnd w:id="345"/>
    <w:p>
      <w:pPr>
        <w:jc w:val="center"/>
        <w:ind w:right="-19"/>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 xml:space="preserve">Loan Purchase and Servicing Commitments </w:t>
      </w:r>
      <w:r>
        <w:rPr>
          <w:rFonts w:ascii="Arial" w:cs="Arial" w:eastAsia="Arial" w:hAnsi="Arial"/>
          <w:sz w:val="18"/>
          <w:szCs w:val="18"/>
          <w:color w:val="auto"/>
        </w:rPr>
        <w:t>— The Company enters into agreements with various loan origination partners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and service the loans they originate through the Technology Offering. At December 31, 2024 and 2023, purchase commitments totaled $142.2 million and $25.6 million loan origination partners, respectively. The Company does not record an asset or liability for servicing commitments since it expects such commitments to benefit the Company, but the Company has not yet taken control of the underlying loans.</w:t>
      </w:r>
    </w:p>
    <w:p>
      <w:pPr>
        <w:spacing w:after="0" w:line="1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 xml:space="preserve">Loan Funding Obligations </w:t>
      </w:r>
      <w:r>
        <w:rPr>
          <w:rFonts w:ascii="Arial" w:cs="Arial" w:eastAsia="Arial" w:hAnsi="Arial"/>
          <w:sz w:val="18"/>
          <w:szCs w:val="18"/>
          <w:color w:val="auto"/>
        </w:rPr>
        <w:t>— The HELOC loans that the Company originates or purchases include terms that permit borrowers to draw</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or redraw previously repaid amounts, during a 5-year period after the original origination date. At December 31, 2024 and 2023, borrowers were able to borrow up to $29.1 million and $37.7 million on undrawn HELOC loans that the Company committed to fund.</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 xml:space="preserve">Loan Repurchase Obligations </w:t>
      </w:r>
      <w:r>
        <w:rPr>
          <w:rFonts w:ascii="Arial" w:cs="Arial" w:eastAsia="Arial" w:hAnsi="Arial"/>
          <w:sz w:val="18"/>
          <w:szCs w:val="18"/>
          <w:color w:val="auto"/>
        </w:rPr>
        <w:t>— The Company has contractual agreements with certain loan buyers to repurchase or substitute loans</w:t>
      </w:r>
      <w:r>
        <w:rPr>
          <w:rFonts w:ascii="Arial" w:cs="Arial" w:eastAsia="Arial" w:hAnsi="Arial"/>
          <w:sz w:val="18"/>
          <w:szCs w:val="18"/>
          <w:b w:val="1"/>
          <w:bCs w:val="1"/>
          <w:color w:val="auto"/>
        </w:rPr>
        <w:t xml:space="preserve"> </w:t>
      </w:r>
      <w:r>
        <w:rPr>
          <w:rFonts w:ascii="Arial" w:cs="Arial" w:eastAsia="Arial" w:hAnsi="Arial"/>
          <w:sz w:val="18"/>
          <w:szCs w:val="18"/>
          <w:color w:val="auto"/>
        </w:rPr>
        <w:t>where a borrower misses a payment within 30 days since the loan’s origination, though the Company indemnifies the loan buyer against future losses on such loans in certain cases. When repurchasing loans, the repurchase price is equal to the original sale price paid by the loan purchaser and the Company recognizes a loss to the extent the contractual repurchase price of the loan exceeds the estimated fair value on the repurchase date, further adjusted upon resale of the loan, if applicable. The Company generally continues to service the defaulting loan through a third-party subservicer. For the years ended December 31, 2024 and 2023, the Company repurchased loans for which it recognized losses of $8.2 million and $10.1 million within Other Expense in the Combined Consolidated Statements of Operations, respectively. At December 31, 2024, the Company has contingent commitments to repurchase loans with an aggregate UPB of up to $698.1 million for which the Company recorded repurchase obligations totaling $13.8 million within Payables to third-party loan owners. In addition, the Company recorded a reserve of $6.0 million within Other current liabilities in the Combined Consolidated Balance Sheets, based on the Company’s estimate of expected future losses.</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auto"/>
        </w:rPr>
        <w:t xml:space="preserve">Securitization Reserve Account Funding Obligations </w:t>
      </w:r>
      <w:r>
        <w:rPr>
          <w:rFonts w:ascii="Arial" w:cs="Arial" w:eastAsia="Arial" w:hAnsi="Arial"/>
          <w:sz w:val="18"/>
          <w:szCs w:val="18"/>
          <w:color w:val="auto"/>
        </w:rPr>
        <w:t>— The Company, in its capacity as servicer of certain securitizations, has</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committed to fund, and replenish, customary reserve accounts held by the securitization trust that the Company initially funds at the time of securitization in an amount based upon expected prepayments, delinquencies, defaults and draws from borrowers for loans in the securitization. While the Company’s obligation to fund reserve amounts is not limited, and the Company cannot reliably estimate the long-term macroeconomic environment that may impact its maximum exposure for such obligations over the contractual life of the securitization, the Company does not expect to fund material amounts to its securitizations in excess of current balances.</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 The Company has non-cancellable leases on office spaces expiring through 2026 that it does not sublease. Rent expense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years ended December 31, 2024 and 2023 totaled $2.8 million and $2.9 million, respectively. The Company has leases that include renewal options, leasehold improvement incentives, and escalation clauses. As of December 31, 2024, the Company has not considered such renewal provisions in the determination of the lease term, as it is not reasonably certain these options will be exercised. The terms of the leases do not impose any financial restrictions or covenants. Operating lease ROU assets of $2.5 million and lease liabilities of $2.8 million are presented in Other non-current assets and Lease liability, respectively, on the Combined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F-93</w:t>
      </w:r>
    </w:p>
    <w:p>
      <w:pPr>
        <w:sectPr>
          <w:pgSz w:w="11900" w:h="16838" w:orient="portrait"/>
          <w:cols w:equalWidth="0" w:num="1">
            <w:col w:w="11240"/>
          </w:cols>
          <w:pgMar w:left="320" w:top="229" w:right="339" w:bottom="1440" w:gutter="0" w:footer="0" w:header="0"/>
        </w:sectPr>
      </w:pPr>
    </w:p>
    <w:bookmarkStart w:id="346" w:name="page347"/>
    <w:bookmarkEnd w:id="346"/>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Future undiscounted, minimum lease payments for the Company’s non-cancellable operating leases at December 31, 2024,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Amount</w:t>
            </w:r>
          </w:p>
        </w:tc>
      </w:tr>
      <w:tr>
        <w:trPr>
          <w:trHeight w:val="224"/>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r>
      <w:tr>
        <w:trPr>
          <w:trHeight w:val="230"/>
        </w:trPr>
        <w:tc>
          <w:tcPr>
            <w:tcW w:w="9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2026</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undiscounted lease payments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w:t>
            </w:r>
          </w:p>
        </w:tc>
      </w:tr>
      <w:tr>
        <w:trPr>
          <w:trHeight w:val="230"/>
        </w:trPr>
        <w:tc>
          <w:tcPr>
            <w:tcW w:w="9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Imputed Interest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At December 31, 2024 and 2023, the weighted average remaining lease term for operating leases was 1.2 years and 2.1 years, respectively, and the weighted average discount rate was 2.0% and 1.9%, respectively. The Company paid $3.0 million and $2.9 million in cash included in the measurement of lease liabilities, respectively.</w:t>
      </w:r>
    </w:p>
    <w:p>
      <w:pPr>
        <w:spacing w:after="0" w:line="117" w:lineRule="exact"/>
        <w:rPr>
          <w:sz w:val="20"/>
          <w:szCs w:val="20"/>
          <w:color w:val="auto"/>
        </w:rPr>
      </w:pPr>
    </w:p>
    <w:p>
      <w:pPr>
        <w:jc w:val="center"/>
        <w:ind w:right="7320"/>
        <w:spacing w:after="0"/>
        <w:rPr>
          <w:sz w:val="20"/>
          <w:szCs w:val="20"/>
          <w:color w:val="auto"/>
        </w:rPr>
      </w:pPr>
      <w:r>
        <w:rPr>
          <w:rFonts w:ascii="Arial" w:cs="Arial" w:eastAsia="Arial" w:hAnsi="Arial"/>
          <w:sz w:val="17"/>
          <w:szCs w:val="17"/>
          <w:b w:val="1"/>
          <w:bCs w:val="1"/>
          <w:color w:val="auto"/>
        </w:rPr>
        <w:t>NOTE 10 – RELATED PARTY TRANSACTIONS</w:t>
      </w:r>
    </w:p>
    <w:p>
      <w:pPr>
        <w:spacing w:after="0" w:line="185" w:lineRule="exact"/>
        <w:rPr>
          <w:sz w:val="20"/>
          <w:szCs w:val="20"/>
          <w:color w:val="auto"/>
        </w:rPr>
      </w:pPr>
    </w:p>
    <w:p>
      <w:pPr>
        <w:jc w:val="center"/>
        <w:ind w:right="7300"/>
        <w:spacing w:after="0"/>
        <w:rPr>
          <w:sz w:val="20"/>
          <w:szCs w:val="20"/>
          <w:color w:val="auto"/>
        </w:rPr>
      </w:pPr>
      <w:r>
        <w:rPr>
          <w:rFonts w:ascii="Arial" w:cs="Arial" w:eastAsia="Arial" w:hAnsi="Arial"/>
          <w:sz w:val="18"/>
          <w:szCs w:val="18"/>
          <w:b w:val="1"/>
          <w:bCs w:val="1"/>
          <w:i w:val="1"/>
          <w:iCs w:val="1"/>
          <w:color w:val="auto"/>
        </w:rPr>
        <w:t>Transactions with Controlled Affiliates</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Company entered into arrangements with entities also controlled, or significantly influenced, by the Controlling Party or other affiliates of the Company.</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Provenance Foundation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July 2022, FT entered into a non-interest bearing term note with the Provenance Foundation, pursuant to which FT provided the Provenance Foundation with a loan in the total principal amount of $5.0 million. On June 12, 2023, the term note was amended and restated, pursuant to which the total principal amount of the loan was increased to $9.1 million. The term note is held by Markets and is eligible to be settled in full payment or contribution of equivalent value of Hash Tokens. At December 31, 2024 and 2023 the outstanding principal of the loan was $9.1 million and $7.3 million, respectively. Interest accrued on the note for the years ended December 31, 2024 and 2023 totaled $0.8 million and $0.5 million, respectively.</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Reflow</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holds a 17.3% interest in Reflow, an SEC-registered investment adviser. The interest was contributed to the Company by the Controlling Party. During the years ended December 31, 2024 and 2023, the Company received distributed profits of $0.9 million and $0.5 million recorded in Other Assets on the Combined Consolidated Balance Sheets respectively. Specified support services are performed pursuant to terms outlined in a shared services agreement between the entities. The Company recorded receivables of $0.3 million at December 31, 2023. Receivables at December 31, 2024 were immaterial.</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3 for detail on the Company’s investment in Reflow.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Domestic Solana Fund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SOL Opportunity Fund L.P. (“Domestic Solana Fund”) was formed on April 23, 2024. As of December 31, 2024 the primary purpose of the Domestic Solana Fund is to make investments in Solana tokens through auctions held through the FTX Trading Ltd. (“FTX”) bankruptcy proceedings. The Domestic Solana Fund was selected as a buyer through a bidding process at the auction. The Domestic Solana Fund submitted a winning bid and entered into a purchase and sale agreement with Alameda Research and Maclaurin Investments to purchase the investment.</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3 for detail on the Company’s investment in Domestic Solana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F-94</w:t>
      </w:r>
    </w:p>
    <w:p>
      <w:pPr>
        <w:sectPr>
          <w:pgSz w:w="11900" w:h="16838" w:orient="portrait"/>
          <w:cols w:equalWidth="0" w:num="1">
            <w:col w:w="11240"/>
          </w:cols>
          <w:pgMar w:left="320" w:top="229" w:right="339" w:bottom="1440" w:gutter="0" w:footer="0" w:header="0"/>
        </w:sectPr>
      </w:pPr>
    </w:p>
    <w:bookmarkStart w:id="347" w:name="page348"/>
    <w:bookmarkEnd w:id="347"/>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Transactions with the Controlling Party</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June 7, 2023, the Company entered into a non-interest bearing term note with the Controlling Party, pursuant to which the Company borrowed the principal amount of $10.0 million in support of a transaction that the Company repaid on June 8, 2023. The Company paid a non-refundable fee of $25,000 to the Controlling Party in connection with the note recorded within Interest expense in the Combined Consolidated Statements of Operations.</w:t>
      </w:r>
    </w:p>
    <w:p>
      <w:pPr>
        <w:spacing w:after="0" w:line="12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During the years ended December 31, 2024 and 2023, the Company incurred $0.6 million and $1.0 million in costs to arrange travel for the Controlling Party and other affiliates, respectively.</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Transactions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Investments in Loan Securitizations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retains beneficial interests in loan securitization trusts that it sponsors. See Notes 3 and 8 for additional detail.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Assets and Liabilities Recorded at Fair Value on a Recurring Basis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the assets and liabilities that are measured at fair value on a recurring basis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and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2024</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95"/>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8"/>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26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7"/>
                <w:szCs w:val="17"/>
                <w:color w:val="auto"/>
              </w:rPr>
            </w:pPr>
          </w:p>
        </w:tc>
        <w:tc>
          <w:tcPr>
            <w:tcW w:w="1060" w:type="dxa"/>
            <w:vAlign w:val="bottom"/>
            <w:gridSpan w:val="2"/>
          </w:tcPr>
          <w:p>
            <w:pPr>
              <w:spacing w:after="0" w:line="198" w:lineRule="exact"/>
              <w:rPr>
                <w:sz w:val="20"/>
                <w:szCs w:val="20"/>
                <w:color w:val="auto"/>
              </w:rPr>
            </w:pPr>
            <w:r>
              <w:rPr>
                <w:rFonts w:ascii="Arial" w:cs="Arial" w:eastAsia="Arial" w:hAnsi="Arial"/>
                <w:sz w:val="14"/>
                <w:szCs w:val="14"/>
                <w:b w:val="1"/>
                <w:bCs w:val="1"/>
                <w:color w:val="auto"/>
              </w:rPr>
              <w:t>Level 3</w:t>
            </w:r>
            <w:r>
              <w:rPr>
                <w:rFonts w:ascii="Arial" w:cs="Arial" w:eastAsia="Arial" w:hAnsi="Arial"/>
                <w:sz w:val="18"/>
                <w:szCs w:val="18"/>
                <w:b w:val="1"/>
                <w:bCs w:val="1"/>
                <w:color w:val="auto"/>
                <w:vertAlign w:val="superscript"/>
              </w:rPr>
              <w:t>(A)</w:t>
            </w:r>
          </w:p>
        </w:tc>
        <w:tc>
          <w:tcPr>
            <w:tcW w:w="340" w:type="dxa"/>
            <w:vAlign w:val="bottom"/>
          </w:tcPr>
          <w:p>
            <w:pPr>
              <w:spacing w:after="0"/>
              <w:rPr>
                <w:sz w:val="17"/>
                <w:szCs w:val="17"/>
                <w:color w:val="auto"/>
              </w:rPr>
            </w:pPr>
          </w:p>
        </w:tc>
        <w:tc>
          <w:tcPr>
            <w:tcW w:w="110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210"/>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4080" w:type="dxa"/>
            <w:vAlign w:val="bottom"/>
          </w:tcPr>
          <w:p>
            <w:pPr>
              <w:ind w:left="46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287,256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287,256</w:t>
            </w:r>
          </w:p>
        </w:tc>
        <w:tc>
          <w:tcPr>
            <w:tcW w:w="1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287,256</w:t>
            </w:r>
          </w:p>
        </w:tc>
      </w:tr>
      <w:tr>
        <w:trPr>
          <w:trHeight w:val="230"/>
        </w:trPr>
        <w:tc>
          <w:tcPr>
            <w:tcW w:w="4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57,777</w:t>
            </w:r>
          </w:p>
        </w:tc>
      </w:tr>
      <w:tr>
        <w:trPr>
          <w:trHeight w:val="230"/>
        </w:trPr>
        <w:tc>
          <w:tcPr>
            <w:tcW w:w="4080" w:type="dxa"/>
            <w:vAlign w:val="bottom"/>
          </w:tcPr>
          <w:p>
            <w:pPr>
              <w:ind w:left="460"/>
              <w:spacing w:after="0" w:line="230" w:lineRule="exact"/>
              <w:rPr>
                <w:sz w:val="20"/>
                <w:szCs w:val="20"/>
                <w:color w:val="auto"/>
              </w:rPr>
            </w:pPr>
            <w:r>
              <w:rPr>
                <w:rFonts w:ascii="Arial" w:cs="Arial" w:eastAsia="Arial" w:hAnsi="Arial"/>
                <w:sz w:val="18"/>
                <w:szCs w:val="18"/>
                <w:color w:val="auto"/>
              </w:rPr>
              <w:t>Digital assets</w:t>
            </w:r>
            <w:r>
              <w:rPr>
                <w:rFonts w:ascii="Arial" w:cs="Arial" w:eastAsia="Arial" w:hAnsi="Arial"/>
                <w:sz w:val="23"/>
                <w:szCs w:val="23"/>
                <w:color w:val="auto"/>
                <w:vertAlign w:val="superscript"/>
              </w:rPr>
              <w:t>(B)</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86,036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86,036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86,036</w:t>
            </w:r>
          </w:p>
        </w:tc>
      </w:tr>
      <w:tr>
        <w:trPr>
          <w:trHeight w:val="230"/>
        </w:trPr>
        <w:tc>
          <w:tcPr>
            <w:tcW w:w="408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Distressed asset claims</w:t>
            </w:r>
            <w:r>
              <w:rPr>
                <w:rFonts w:ascii="Arial" w:cs="Arial" w:eastAsia="Arial" w:hAnsi="Arial"/>
                <w:sz w:val="23"/>
                <w:szCs w:val="23"/>
                <w:color w:val="auto"/>
                <w:vertAlign w:val="superscript"/>
              </w:rPr>
              <w:t>(C)</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w:t>
            </w:r>
          </w:p>
        </w:tc>
      </w:tr>
      <w:tr>
        <w:trPr>
          <w:trHeight w:val="229"/>
        </w:trPr>
        <w:tc>
          <w:tcPr>
            <w:tcW w:w="4080" w:type="dxa"/>
            <w:vAlign w:val="bottom"/>
          </w:tcPr>
          <w:p>
            <w:pPr>
              <w:ind w:left="460"/>
              <w:spacing w:after="0" w:line="230" w:lineRule="exact"/>
              <w:rPr>
                <w:sz w:val="20"/>
                <w:szCs w:val="20"/>
                <w:color w:val="auto"/>
              </w:rPr>
            </w:pPr>
            <w:r>
              <w:rPr>
                <w:rFonts w:ascii="Arial" w:cs="Arial" w:eastAsia="Arial" w:hAnsi="Arial"/>
                <w:sz w:val="18"/>
                <w:szCs w:val="18"/>
                <w:color w:val="auto"/>
              </w:rPr>
              <w:t>Marketable securities, at fair value</w:t>
            </w:r>
            <w:r>
              <w:rPr>
                <w:rFonts w:ascii="Arial" w:cs="Arial" w:eastAsia="Arial" w:hAnsi="Arial"/>
                <w:sz w:val="23"/>
                <w:szCs w:val="23"/>
                <w:color w:val="auto"/>
                <w:vertAlign w:val="superscript"/>
              </w:rPr>
              <w:t>(D)</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163,489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128,983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34,506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163,489</w:t>
            </w:r>
          </w:p>
        </w:tc>
      </w:tr>
      <w:tr>
        <w:trPr>
          <w:trHeight w:val="230"/>
        </w:trPr>
        <w:tc>
          <w:tcPr>
            <w:tcW w:w="4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Loans held for sale, at fair value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395,922</w:t>
            </w:r>
          </w:p>
        </w:tc>
      </w:tr>
      <w:tr>
        <w:trPr>
          <w:trHeight w:val="230"/>
        </w:trPr>
        <w:tc>
          <w:tcPr>
            <w:tcW w:w="4080" w:type="dxa"/>
            <w:vAlign w:val="bottom"/>
          </w:tcPr>
          <w:p>
            <w:pPr>
              <w:ind w:left="460"/>
              <w:spacing w:after="0"/>
              <w:rPr>
                <w:sz w:val="20"/>
                <w:szCs w:val="20"/>
                <w:color w:val="auto"/>
              </w:rPr>
            </w:pPr>
            <w:r>
              <w:rPr>
                <w:rFonts w:ascii="Arial" w:cs="Arial" w:eastAsia="Arial" w:hAnsi="Arial"/>
                <w:sz w:val="18"/>
                <w:szCs w:val="18"/>
                <w:color w:val="auto"/>
              </w:rPr>
              <w:t>Loan servicing assets, at fair value</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88,497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88,497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88,497</w:t>
            </w:r>
          </w:p>
        </w:tc>
      </w:tr>
      <w:tr>
        <w:trPr>
          <w:trHeight w:val="248"/>
        </w:trPr>
        <w:tc>
          <w:tcPr>
            <w:tcW w:w="40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1,086,565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431,069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128,983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526,514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1,086,565</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080" w:type="dxa"/>
            <w:vAlign w:val="bottom"/>
          </w:tcPr>
          <w:p>
            <w:pPr>
              <w:ind w:left="240"/>
              <w:spacing w:after="0" w:line="230" w:lineRule="exact"/>
              <w:rPr>
                <w:sz w:val="20"/>
                <w:szCs w:val="20"/>
                <w:color w:val="auto"/>
              </w:rPr>
            </w:pPr>
            <w:r>
              <w:rPr>
                <w:rFonts w:ascii="Arial" w:cs="Arial" w:eastAsia="Arial" w:hAnsi="Arial"/>
                <w:sz w:val="18"/>
                <w:szCs w:val="18"/>
                <w:color w:val="auto"/>
              </w:rPr>
              <w:t>Digital asset collateral repayment obligation</w:t>
            </w:r>
            <w:r>
              <w:rPr>
                <w:rFonts w:ascii="Arial" w:cs="Arial" w:eastAsia="Arial" w:hAnsi="Arial"/>
                <w:sz w:val="23"/>
                <w:szCs w:val="23"/>
                <w:color w:val="auto"/>
                <w:vertAlign w:val="superscript"/>
              </w:rPr>
              <w:t>(E)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64,447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64,447</w:t>
            </w:r>
          </w:p>
        </w:tc>
        <w:tc>
          <w:tcPr>
            <w:tcW w:w="1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64,447</w:t>
            </w:r>
          </w:p>
        </w:tc>
      </w:tr>
      <w:tr>
        <w:trPr>
          <w:trHeight w:val="248"/>
        </w:trPr>
        <w:tc>
          <w:tcPr>
            <w:tcW w:w="40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64,447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64,447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64,447</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F-95</w:t>
      </w:r>
    </w:p>
    <w:p>
      <w:pPr>
        <w:sectPr>
          <w:pgSz w:w="11900" w:h="16838" w:orient="portrait"/>
          <w:cols w:equalWidth="0" w:num="1">
            <w:col w:w="11240"/>
          </w:cols>
          <w:pgMar w:left="320" w:top="229" w:right="339" w:bottom="1440" w:gutter="0" w:footer="0" w:header="0"/>
        </w:sectPr>
      </w:pPr>
    </w:p>
    <w:bookmarkStart w:id="348" w:name="page349"/>
    <w:bookmarkEnd w:id="348"/>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2023</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95"/>
        </w:trPr>
        <w:tc>
          <w:tcPr>
            <w:tcW w:w="4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98"/>
        </w:trPr>
        <w:tc>
          <w:tcPr>
            <w:tcW w:w="4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28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7"/>
                <w:szCs w:val="17"/>
                <w:color w:val="auto"/>
              </w:rPr>
            </w:pPr>
          </w:p>
        </w:tc>
        <w:tc>
          <w:tcPr>
            <w:tcW w:w="1100" w:type="dxa"/>
            <w:vAlign w:val="bottom"/>
            <w:gridSpan w:val="2"/>
          </w:tcPr>
          <w:p>
            <w:pPr>
              <w:ind w:left="40"/>
              <w:spacing w:after="0" w:line="198" w:lineRule="exact"/>
              <w:rPr>
                <w:sz w:val="20"/>
                <w:szCs w:val="20"/>
                <w:color w:val="auto"/>
              </w:rPr>
            </w:pPr>
            <w:r>
              <w:rPr>
                <w:rFonts w:ascii="Arial" w:cs="Arial" w:eastAsia="Arial" w:hAnsi="Arial"/>
                <w:sz w:val="14"/>
                <w:szCs w:val="14"/>
                <w:b w:val="1"/>
                <w:bCs w:val="1"/>
                <w:color w:val="auto"/>
              </w:rPr>
              <w:t>Level 3</w:t>
            </w:r>
            <w:r>
              <w:rPr>
                <w:rFonts w:ascii="Arial" w:cs="Arial" w:eastAsia="Arial" w:hAnsi="Arial"/>
                <w:sz w:val="18"/>
                <w:szCs w:val="18"/>
                <w:b w:val="1"/>
                <w:bCs w:val="1"/>
                <w:color w:val="auto"/>
                <w:vertAlign w:val="superscript"/>
              </w:rPr>
              <w:t>(A)</w:t>
            </w:r>
          </w:p>
        </w:tc>
        <w:tc>
          <w:tcPr>
            <w:tcW w:w="300" w:type="dxa"/>
            <w:vAlign w:val="bottom"/>
          </w:tcPr>
          <w:p>
            <w:pPr>
              <w:spacing w:after="0"/>
              <w:rPr>
                <w:sz w:val="17"/>
                <w:szCs w:val="17"/>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210"/>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4240" w:type="dxa"/>
            <w:vAlign w:val="bottom"/>
          </w:tcPr>
          <w:p>
            <w:pPr>
              <w:ind w:left="46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116,548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116,548</w:t>
            </w:r>
          </w:p>
        </w:tc>
        <w:tc>
          <w:tcPr>
            <w:tcW w:w="1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116,548</w:t>
            </w:r>
          </w:p>
        </w:tc>
      </w:tr>
      <w:tr>
        <w:trPr>
          <w:trHeight w:val="230"/>
        </w:trPr>
        <w:tc>
          <w:tcPr>
            <w:tcW w:w="4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59,232</w:t>
            </w:r>
          </w:p>
        </w:tc>
      </w:tr>
      <w:tr>
        <w:trPr>
          <w:trHeight w:val="229"/>
        </w:trPr>
        <w:tc>
          <w:tcPr>
            <w:tcW w:w="4240" w:type="dxa"/>
            <w:vAlign w:val="bottom"/>
          </w:tcPr>
          <w:p>
            <w:pPr>
              <w:ind w:left="460"/>
              <w:spacing w:after="0"/>
              <w:rPr>
                <w:sz w:val="20"/>
                <w:szCs w:val="20"/>
                <w:color w:val="auto"/>
              </w:rPr>
            </w:pPr>
            <w:r>
              <w:rPr>
                <w:rFonts w:ascii="Arial" w:cs="Arial" w:eastAsia="Arial" w:hAnsi="Arial"/>
                <w:sz w:val="18"/>
                <w:szCs w:val="18"/>
                <w:color w:val="auto"/>
              </w:rPr>
              <w:t>Digital assets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5,865</w:t>
            </w:r>
          </w:p>
        </w:tc>
      </w:tr>
      <w:tr>
        <w:trPr>
          <w:trHeight w:val="229"/>
        </w:trPr>
        <w:tc>
          <w:tcPr>
            <w:tcW w:w="424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Marketable securities, at fair value</w:t>
            </w:r>
            <w:r>
              <w:rPr>
                <w:rFonts w:ascii="Arial" w:cs="Arial" w:eastAsia="Arial" w:hAnsi="Arial"/>
                <w:sz w:val="23"/>
                <w:szCs w:val="23"/>
                <w:color w:val="auto"/>
                <w:vertAlign w:val="superscript"/>
              </w:rPr>
              <w:t>(D)</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37,066</w:t>
            </w:r>
          </w:p>
        </w:tc>
      </w:tr>
      <w:tr>
        <w:trPr>
          <w:trHeight w:val="230"/>
        </w:trPr>
        <w:tc>
          <w:tcPr>
            <w:tcW w:w="4240" w:type="dxa"/>
            <w:vAlign w:val="bottom"/>
          </w:tcPr>
          <w:p>
            <w:pPr>
              <w:ind w:left="460"/>
              <w:spacing w:after="0"/>
              <w:rPr>
                <w:sz w:val="20"/>
                <w:szCs w:val="20"/>
                <w:color w:val="auto"/>
              </w:rPr>
            </w:pPr>
            <w:r>
              <w:rPr>
                <w:rFonts w:ascii="Arial" w:cs="Arial" w:eastAsia="Arial" w:hAnsi="Arial"/>
                <w:sz w:val="18"/>
                <w:szCs w:val="18"/>
                <w:color w:val="auto"/>
              </w:rPr>
              <w:t>Loans held for sale, at fair value</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255,516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255,516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255,516</w:t>
            </w:r>
          </w:p>
        </w:tc>
      </w:tr>
      <w:tr>
        <w:trPr>
          <w:trHeight w:val="229"/>
        </w:trPr>
        <w:tc>
          <w:tcPr>
            <w:tcW w:w="4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Loan held for investment, at fair value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61,337</w:t>
            </w:r>
          </w:p>
        </w:tc>
      </w:tr>
      <w:tr>
        <w:trPr>
          <w:trHeight w:val="229"/>
        </w:trPr>
        <w:tc>
          <w:tcPr>
            <w:tcW w:w="4240" w:type="dxa"/>
            <w:vAlign w:val="bottom"/>
          </w:tcPr>
          <w:p>
            <w:pPr>
              <w:ind w:left="460"/>
              <w:spacing w:after="0"/>
              <w:rPr>
                <w:sz w:val="20"/>
                <w:szCs w:val="20"/>
                <w:color w:val="auto"/>
              </w:rPr>
            </w:pPr>
            <w:r>
              <w:rPr>
                <w:rFonts w:ascii="Arial" w:cs="Arial" w:eastAsia="Arial" w:hAnsi="Arial"/>
                <w:sz w:val="18"/>
                <w:szCs w:val="18"/>
                <w:color w:val="auto"/>
              </w:rPr>
              <w:t>Loan servicing assets, at fair value</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55,860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55,860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55,860</w:t>
            </w:r>
          </w:p>
        </w:tc>
      </w:tr>
      <w:tr>
        <w:trPr>
          <w:trHeight w:val="248"/>
        </w:trPr>
        <w:tc>
          <w:tcPr>
            <w:tcW w:w="42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591,424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181,645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385,461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591,424</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right="20" w:hanging="332"/>
        <w:spacing w:after="0" w:line="252" w:lineRule="auto"/>
        <w:tabs>
          <w:tab w:leader="none" w:pos="34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See Notes 4 and 5 regarding changes in the carrying values of servicing assets and loans, respectively. There were no transfers of Level 3 instruments to, or from, other fair value levels during the periods presented.</w:t>
      </w:r>
    </w:p>
    <w:p>
      <w:pPr>
        <w:spacing w:after="0" w:line="1" w:lineRule="exact"/>
        <w:rPr>
          <w:rFonts w:ascii="Arial" w:cs="Arial" w:eastAsia="Arial" w:hAnsi="Arial"/>
          <w:sz w:val="16"/>
          <w:szCs w:val="16"/>
          <w:color w:val="auto"/>
        </w:rPr>
      </w:pPr>
    </w:p>
    <w:p>
      <w:pPr>
        <w:ind w:left="340" w:hanging="332"/>
        <w:spacing w:after="0" w:line="255" w:lineRule="auto"/>
        <w:tabs>
          <w:tab w:leader="none" w:pos="34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Included in Digital Assets on the Combined Consolidated Balance Sheets and represents digital assets held for sale at fair value and excludes digital assets held at cost that are considered intangible assets.</w:t>
      </w:r>
    </w:p>
    <w:p>
      <w:pPr>
        <w:ind w:left="320" w:hanging="312"/>
        <w:spacing w:after="0"/>
        <w:tabs>
          <w:tab w:leader="none" w:pos="32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Included in Other Assets on the Combined Consolidated Balance Sheets.</w:t>
      </w:r>
    </w:p>
    <w:p>
      <w:pPr>
        <w:spacing w:after="0" w:line="8" w:lineRule="exact"/>
        <w:rPr>
          <w:rFonts w:ascii="Arial" w:cs="Arial" w:eastAsia="Arial" w:hAnsi="Arial"/>
          <w:sz w:val="16"/>
          <w:szCs w:val="16"/>
          <w:color w:val="auto"/>
        </w:rPr>
      </w:pPr>
    </w:p>
    <w:p>
      <w:pPr>
        <w:ind w:left="340" w:right="20" w:hanging="332"/>
        <w:spacing w:after="0" w:line="252" w:lineRule="auto"/>
        <w:tabs>
          <w:tab w:leader="none" w:pos="33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Residual interest securities and non-rated securities in securitization not considered debt securities are included within Level 3 of the fair value hierarchy.</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Included in Other Liabilities on the Combined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F-96</w:t>
      </w:r>
    </w:p>
    <w:p>
      <w:pPr>
        <w:sectPr>
          <w:pgSz w:w="11900" w:h="16838" w:orient="portrait"/>
          <w:cols w:equalWidth="0" w:num="1">
            <w:col w:w="11240"/>
          </w:cols>
          <w:pgMar w:left="320" w:top="229" w:right="339" w:bottom="1440" w:gutter="0" w:footer="0" w:header="0"/>
        </w:sectPr>
      </w:pPr>
    </w:p>
    <w:bookmarkStart w:id="349" w:name="page350"/>
    <w:bookmarkEnd w:id="349"/>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Significant Valuation Inputs</w:t>
      </w:r>
    </w:p>
    <w:p>
      <w:pPr>
        <w:spacing w:after="0" w:line="171"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The Company used the following unobservable inputs that it considers significant to value the financial assets and liabilities carried at fair value and classified within Level 3 of the fair value hierarchy: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5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ind w:left="760"/>
              <w:spacing w:after="0"/>
              <w:rPr>
                <w:sz w:val="20"/>
                <w:szCs w:val="20"/>
                <w:color w:val="auto"/>
              </w:rPr>
            </w:pPr>
            <w:r>
              <w:rPr>
                <w:rFonts w:ascii="Arial" w:cs="Arial" w:eastAsia="Arial" w:hAnsi="Arial"/>
                <w:sz w:val="11"/>
                <w:szCs w:val="11"/>
                <w:b w:val="1"/>
                <w:bCs w:val="1"/>
                <w:color w:val="auto"/>
              </w:rPr>
              <w:t>December 31, 2024</w:t>
            </w: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70"/>
              <w:spacing w:after="0"/>
              <w:rPr>
                <w:sz w:val="20"/>
                <w:szCs w:val="20"/>
                <w:color w:val="auto"/>
              </w:rPr>
            </w:pPr>
            <w:r>
              <w:rPr>
                <w:rFonts w:ascii="Arial" w:cs="Arial" w:eastAsia="Arial" w:hAnsi="Arial"/>
                <w:sz w:val="11"/>
                <w:szCs w:val="11"/>
                <w:b w:val="1"/>
                <w:bCs w:val="1"/>
                <w:color w:val="auto"/>
              </w:rPr>
              <w:t>Fair Value</w:t>
            </w:r>
          </w:p>
        </w:tc>
        <w:tc>
          <w:tcPr>
            <w:tcW w:w="10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Discount Rate</w:t>
            </w:r>
            <w:r>
              <w:rPr>
                <w:rFonts w:ascii="Arial" w:cs="Arial" w:eastAsia="Arial" w:hAnsi="Arial"/>
                <w:sz w:val="14"/>
                <w:szCs w:val="14"/>
                <w:b w:val="1"/>
                <w:bCs w:val="1"/>
                <w:color w:val="auto"/>
                <w:vertAlign w:val="superscript"/>
              </w:rPr>
              <w:t>(A)</w:t>
            </w:r>
            <w:r>
              <w:rPr>
                <w:rFonts w:ascii="Arial" w:cs="Arial" w:eastAsia="Arial" w:hAnsi="Arial"/>
                <w:sz w:val="11"/>
                <w:szCs w:val="11"/>
                <w:b w:val="1"/>
                <w:bCs w:val="1"/>
                <w:color w:val="auto"/>
              </w:rPr>
              <w:t xml:space="preserve"> (%)</w:t>
            </w:r>
          </w:p>
        </w:tc>
        <w:tc>
          <w:tcPr>
            <w:tcW w:w="1280" w:type="dxa"/>
            <w:vAlign w:val="bottom"/>
            <w:gridSpan w:val="2"/>
          </w:tcPr>
          <w:p>
            <w:pPr>
              <w:ind w:left="320"/>
              <w:spacing w:after="0"/>
              <w:rPr>
                <w:sz w:val="20"/>
                <w:szCs w:val="20"/>
                <w:color w:val="auto"/>
              </w:rPr>
            </w:pPr>
            <w:r>
              <w:rPr>
                <w:rFonts w:ascii="Arial" w:cs="Arial" w:eastAsia="Arial" w:hAnsi="Arial"/>
                <w:sz w:val="11"/>
                <w:szCs w:val="11"/>
                <w:b w:val="1"/>
                <w:bCs w:val="1"/>
                <w:color w:val="auto"/>
              </w:rPr>
              <w:t>CPR</w:t>
            </w:r>
            <w:r>
              <w:rPr>
                <w:rFonts w:ascii="Arial" w:cs="Arial" w:eastAsia="Arial" w:hAnsi="Arial"/>
                <w:sz w:val="14"/>
                <w:szCs w:val="14"/>
                <w:b w:val="1"/>
                <w:bCs w:val="1"/>
                <w:color w:val="auto"/>
                <w:vertAlign w:val="superscript"/>
              </w:rPr>
              <w:t>(B)</w:t>
            </w:r>
            <w:r>
              <w:rPr>
                <w:rFonts w:ascii="Arial" w:cs="Arial" w:eastAsia="Arial" w:hAnsi="Arial"/>
                <w:sz w:val="11"/>
                <w:szCs w:val="11"/>
                <w:b w:val="1"/>
                <w:bCs w:val="1"/>
                <w:color w:val="auto"/>
              </w:rPr>
              <w:t xml:space="preserve"> (%)</w:t>
            </w:r>
          </w:p>
        </w:tc>
        <w:tc>
          <w:tcPr>
            <w:tcW w:w="1300" w:type="dxa"/>
            <w:vAlign w:val="bottom"/>
            <w:gridSpan w:val="2"/>
          </w:tcPr>
          <w:p>
            <w:pPr>
              <w:ind w:left="340"/>
              <w:spacing w:after="0"/>
              <w:rPr>
                <w:sz w:val="20"/>
                <w:szCs w:val="20"/>
                <w:color w:val="auto"/>
              </w:rPr>
            </w:pPr>
            <w:r>
              <w:rPr>
                <w:rFonts w:ascii="Arial" w:cs="Arial" w:eastAsia="Arial" w:hAnsi="Arial"/>
                <w:sz w:val="11"/>
                <w:szCs w:val="11"/>
                <w:b w:val="1"/>
                <w:bCs w:val="1"/>
                <w:color w:val="auto"/>
              </w:rPr>
              <w:t>CDR</w:t>
            </w:r>
            <w:r>
              <w:rPr>
                <w:rFonts w:ascii="Arial" w:cs="Arial" w:eastAsia="Arial" w:hAnsi="Arial"/>
                <w:sz w:val="14"/>
                <w:szCs w:val="14"/>
                <w:b w:val="1"/>
                <w:bCs w:val="1"/>
                <w:color w:val="auto"/>
                <w:vertAlign w:val="superscript"/>
              </w:rPr>
              <w:t>(C)</w:t>
            </w:r>
            <w:r>
              <w:rPr>
                <w:rFonts w:ascii="Arial" w:cs="Arial" w:eastAsia="Arial" w:hAnsi="Arial"/>
                <w:sz w:val="11"/>
                <w:szCs w:val="11"/>
                <w:b w:val="1"/>
                <w:bCs w:val="1"/>
                <w:color w:val="auto"/>
              </w:rPr>
              <w:t xml:space="preserve"> (%)</w:t>
            </w:r>
          </w:p>
        </w:tc>
        <w:tc>
          <w:tcPr>
            <w:tcW w:w="13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Servicing Rate</w:t>
            </w:r>
            <w:r>
              <w:rPr>
                <w:rFonts w:ascii="Arial" w:cs="Arial" w:eastAsia="Arial" w:hAnsi="Arial"/>
                <w:sz w:val="14"/>
                <w:szCs w:val="14"/>
                <w:b w:val="1"/>
                <w:bCs w:val="1"/>
                <w:color w:val="auto"/>
                <w:w w:val="94"/>
                <w:vertAlign w:val="superscript"/>
              </w:rPr>
              <w:t>(D)</w:t>
            </w:r>
            <w:r>
              <w:rPr>
                <w:rFonts w:ascii="Arial" w:cs="Arial" w:eastAsia="Arial" w:hAnsi="Arial"/>
                <w:sz w:val="11"/>
                <w:szCs w:val="11"/>
                <w:b w:val="1"/>
                <w:bCs w:val="1"/>
                <w:color w:val="auto"/>
                <w:w w:val="94"/>
              </w:rPr>
              <w:t xml:space="preserve"> (%)</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95"/>
              </w:rPr>
              <w:t>Loss Severity</w:t>
            </w:r>
            <w:r>
              <w:rPr>
                <w:rFonts w:ascii="Arial" w:cs="Arial" w:eastAsia="Arial" w:hAnsi="Arial"/>
                <w:sz w:val="14"/>
                <w:szCs w:val="14"/>
                <w:b w:val="1"/>
                <w:bCs w:val="1"/>
                <w:color w:val="auto"/>
                <w:w w:val="95"/>
                <w:vertAlign w:val="superscript"/>
              </w:rPr>
              <w:t>(E)</w:t>
            </w:r>
          </w:p>
        </w:tc>
        <w:tc>
          <w:tcPr>
            <w:tcW w:w="0" w:type="dxa"/>
            <w:vAlign w:val="bottom"/>
          </w:tcPr>
          <w:p>
            <w:pPr>
              <w:spacing w:after="0"/>
              <w:rPr>
                <w:sz w:val="1"/>
                <w:szCs w:val="1"/>
                <w:color w:val="auto"/>
              </w:rPr>
            </w:pPr>
          </w:p>
        </w:tc>
      </w:tr>
      <w:tr>
        <w:trPr>
          <w:trHeight w:val="183"/>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Marketable Securities</w:t>
            </w: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460"/>
              <w:spacing w:after="0" w:line="153" w:lineRule="exact"/>
              <w:rPr>
                <w:sz w:val="20"/>
                <w:szCs w:val="20"/>
                <w:color w:val="auto"/>
              </w:rPr>
            </w:pPr>
            <w:r>
              <w:rPr>
                <w:rFonts w:ascii="Arial" w:cs="Arial" w:eastAsia="Arial" w:hAnsi="Arial"/>
                <w:sz w:val="14"/>
                <w:szCs w:val="14"/>
                <w:color w:val="auto"/>
              </w:rPr>
              <w:t>Residual interest securities</w:t>
            </w:r>
          </w:p>
        </w:tc>
        <w:tc>
          <w:tcPr>
            <w:tcW w:w="220" w:type="dxa"/>
            <w:vAlign w:val="bottom"/>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auto"/>
              </w:rPr>
              <w:t>34,506</w:t>
            </w:r>
          </w:p>
        </w:tc>
        <w:tc>
          <w:tcPr>
            <w:tcW w:w="1300" w:type="dxa"/>
            <w:vAlign w:val="bottom"/>
            <w:gridSpan w:val="2"/>
          </w:tcPr>
          <w:p>
            <w:pPr>
              <w:jc w:val="center"/>
              <w:ind w:left="8"/>
              <w:spacing w:after="0" w:line="153" w:lineRule="exact"/>
              <w:rPr>
                <w:sz w:val="20"/>
                <w:szCs w:val="20"/>
                <w:color w:val="auto"/>
              </w:rPr>
            </w:pPr>
            <w:r>
              <w:rPr>
                <w:rFonts w:ascii="Arial" w:cs="Arial" w:eastAsia="Arial" w:hAnsi="Arial"/>
                <w:sz w:val="14"/>
                <w:szCs w:val="14"/>
                <w:color w:val="auto"/>
              </w:rPr>
              <w:t>14.5% - 24.0%</w:t>
            </w:r>
          </w:p>
        </w:tc>
        <w:tc>
          <w:tcPr>
            <w:tcW w:w="10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15.2% - 20.1%</w:t>
            </w:r>
          </w:p>
        </w:tc>
        <w:tc>
          <w:tcPr>
            <w:tcW w:w="8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1.5% - 1.7%</w:t>
            </w:r>
          </w:p>
        </w:tc>
        <w:tc>
          <w:tcPr>
            <w:tcW w:w="100" w:type="dxa"/>
            <w:vAlign w:val="bottom"/>
          </w:tcPr>
          <w:p>
            <w:pPr>
              <w:spacing w:after="0"/>
              <w:rPr>
                <w:sz w:val="13"/>
                <w:szCs w:val="13"/>
                <w:color w:val="auto"/>
              </w:rPr>
            </w:pPr>
          </w:p>
        </w:tc>
        <w:tc>
          <w:tcPr>
            <w:tcW w:w="130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n.a.</w:t>
            </w: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8"/>
        </w:trPr>
        <w:tc>
          <w:tcPr>
            <w:tcW w:w="35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300" w:type="dxa"/>
            <w:vAlign w:val="bottom"/>
            <w:gridSpan w:val="2"/>
          </w:tcPr>
          <w:p>
            <w:pPr>
              <w:jc w:val="center"/>
              <w:ind w:left="28"/>
              <w:spacing w:after="0" w:line="158" w:lineRule="exact"/>
              <w:rPr>
                <w:sz w:val="20"/>
                <w:szCs w:val="20"/>
                <w:color w:val="auto"/>
              </w:rPr>
            </w:pPr>
            <w:r>
              <w:rPr>
                <w:rFonts w:ascii="Arial" w:cs="Arial" w:eastAsia="Arial" w:hAnsi="Arial"/>
                <w:sz w:val="14"/>
                <w:szCs w:val="14"/>
                <w:color w:val="auto"/>
              </w:rPr>
              <w:t>19.7%</w:t>
            </w:r>
          </w:p>
        </w:tc>
        <w:tc>
          <w:tcPr>
            <w:tcW w:w="100" w:type="dxa"/>
            <w:vAlign w:val="bottom"/>
          </w:tcPr>
          <w:p>
            <w:pPr>
              <w:spacing w:after="0"/>
              <w:rPr>
                <w:sz w:val="13"/>
                <w:szCs w:val="13"/>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4"/>
                <w:szCs w:val="14"/>
                <w:color w:val="auto"/>
              </w:rPr>
              <w:t>17.7%</w:t>
            </w:r>
          </w:p>
        </w:tc>
        <w:tc>
          <w:tcPr>
            <w:tcW w:w="80" w:type="dxa"/>
            <w:vAlign w:val="bottom"/>
          </w:tcPr>
          <w:p>
            <w:pPr>
              <w:spacing w:after="0"/>
              <w:rPr>
                <w:sz w:val="13"/>
                <w:szCs w:val="13"/>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4"/>
                <w:szCs w:val="14"/>
                <w:color w:val="auto"/>
              </w:rPr>
              <w:t>1.6%</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Servicing Assets</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460"/>
              <w:spacing w:after="0" w:line="153" w:lineRule="exact"/>
              <w:rPr>
                <w:sz w:val="20"/>
                <w:szCs w:val="20"/>
                <w:color w:val="auto"/>
              </w:rPr>
            </w:pPr>
            <w:r>
              <w:rPr>
                <w:rFonts w:ascii="Arial" w:cs="Arial" w:eastAsia="Arial" w:hAnsi="Arial"/>
                <w:sz w:val="14"/>
                <w:szCs w:val="14"/>
                <w:color w:val="auto"/>
              </w:rPr>
              <w:t>HELOC loans</w:t>
            </w:r>
          </w:p>
        </w:tc>
        <w:tc>
          <w:tcPr>
            <w:tcW w:w="220" w:type="dxa"/>
            <w:vAlign w:val="bottom"/>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auto"/>
              </w:rPr>
              <w:t>86,465</w:t>
            </w:r>
          </w:p>
        </w:tc>
        <w:tc>
          <w:tcPr>
            <w:tcW w:w="1300" w:type="dxa"/>
            <w:vAlign w:val="bottom"/>
            <w:gridSpan w:val="2"/>
          </w:tcPr>
          <w:p>
            <w:pPr>
              <w:jc w:val="center"/>
              <w:ind w:left="8"/>
              <w:spacing w:after="0" w:line="153" w:lineRule="exact"/>
              <w:rPr>
                <w:sz w:val="20"/>
                <w:szCs w:val="20"/>
                <w:color w:val="auto"/>
              </w:rPr>
            </w:pPr>
            <w:r>
              <w:rPr>
                <w:rFonts w:ascii="Arial" w:cs="Arial" w:eastAsia="Arial" w:hAnsi="Arial"/>
                <w:sz w:val="14"/>
                <w:szCs w:val="14"/>
                <w:color w:val="auto"/>
              </w:rPr>
              <w:t>13.0% - 13.0%</w:t>
            </w:r>
          </w:p>
        </w:tc>
        <w:tc>
          <w:tcPr>
            <w:tcW w:w="10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1.0% - 33.0%</w:t>
            </w:r>
          </w:p>
        </w:tc>
        <w:tc>
          <w:tcPr>
            <w:tcW w:w="8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0.0% - 4.4%</w:t>
            </w:r>
          </w:p>
        </w:tc>
        <w:tc>
          <w:tcPr>
            <w:tcW w:w="10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0.2%</w:t>
            </w:r>
          </w:p>
        </w:tc>
        <w:tc>
          <w:tcPr>
            <w:tcW w:w="10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60" w:type="dxa"/>
            <w:vAlign w:val="bottom"/>
            <w:shd w:val="clear" w:color="auto" w:fill="CCEEFF"/>
          </w:tcPr>
          <w:p>
            <w:pPr>
              <w:ind w:left="460"/>
              <w:spacing w:after="0" w:line="153" w:lineRule="exact"/>
              <w:rPr>
                <w:sz w:val="20"/>
                <w:szCs w:val="20"/>
                <w:color w:val="auto"/>
              </w:rPr>
            </w:pPr>
            <w:r>
              <w:rPr>
                <w:rFonts w:ascii="Arial" w:cs="Arial" w:eastAsia="Arial" w:hAnsi="Arial"/>
                <w:sz w:val="14"/>
                <w:szCs w:val="14"/>
                <w:color w:val="auto"/>
              </w:rPr>
              <w:t>Mortgage loans</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2,032</w:t>
            </w:r>
          </w:p>
        </w:tc>
        <w:tc>
          <w:tcPr>
            <w:tcW w:w="1300" w:type="dxa"/>
            <w:vAlign w:val="bottom"/>
            <w:gridSpan w:val="2"/>
            <w:shd w:val="clear" w:color="auto" w:fill="CCEEFF"/>
          </w:tcPr>
          <w:p>
            <w:pPr>
              <w:jc w:val="center"/>
              <w:ind w:left="8"/>
              <w:spacing w:after="0" w:line="153" w:lineRule="exact"/>
              <w:rPr>
                <w:sz w:val="20"/>
                <w:szCs w:val="20"/>
                <w:color w:val="auto"/>
              </w:rPr>
            </w:pPr>
            <w:r>
              <w:rPr>
                <w:rFonts w:ascii="Arial" w:cs="Arial" w:eastAsia="Arial" w:hAnsi="Arial"/>
                <w:sz w:val="14"/>
                <w:szCs w:val="14"/>
                <w:color w:val="auto"/>
              </w:rPr>
              <w:t>10.0% - 11.0%</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3.9% - 8.2%</w:t>
            </w: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0.0% - 1.0%</w:t>
            </w: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center"/>
              <w:ind w:right="100"/>
              <w:spacing w:after="0" w:line="153" w:lineRule="exact"/>
              <w:rPr>
                <w:sz w:val="20"/>
                <w:szCs w:val="20"/>
                <w:color w:val="auto"/>
              </w:rPr>
            </w:pPr>
            <w:r>
              <w:rPr>
                <w:rFonts w:ascii="Arial" w:cs="Arial" w:eastAsia="Arial" w:hAnsi="Arial"/>
                <w:sz w:val="14"/>
                <w:szCs w:val="14"/>
                <w:color w:val="auto"/>
              </w:rPr>
              <w:t>n.m.</w:t>
            </w:r>
          </w:p>
        </w:tc>
        <w:tc>
          <w:tcPr>
            <w:tcW w:w="12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5"/>
        </w:trPr>
        <w:tc>
          <w:tcPr>
            <w:tcW w:w="35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13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60" w:type="dxa"/>
            <w:vAlign w:val="bottom"/>
          </w:tcPr>
          <w:p>
            <w:pPr>
              <w:ind w:left="240"/>
              <w:spacing w:after="0" w:line="196" w:lineRule="exact"/>
              <w:rPr>
                <w:sz w:val="20"/>
                <w:szCs w:val="20"/>
                <w:color w:val="auto"/>
              </w:rPr>
            </w:pPr>
            <w:r>
              <w:rPr>
                <w:rFonts w:ascii="Arial" w:cs="Arial" w:eastAsia="Arial" w:hAnsi="Arial"/>
                <w:sz w:val="14"/>
                <w:szCs w:val="14"/>
                <w:color w:val="auto"/>
              </w:rPr>
              <w:t>Total / Weighted average</w:t>
            </w:r>
            <w:r>
              <w:rPr>
                <w:rFonts w:ascii="Arial" w:cs="Arial" w:eastAsia="Arial" w:hAnsi="Arial"/>
                <w:sz w:val="18"/>
                <w:szCs w:val="18"/>
                <w:color w:val="auto"/>
                <w:vertAlign w:val="superscript"/>
              </w:rPr>
              <w:t>(F)</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88,497</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14.2%</w:t>
            </w:r>
          </w:p>
        </w:tc>
        <w:tc>
          <w:tcPr>
            <w:tcW w:w="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560" w:type="dxa"/>
            <w:vAlign w:val="bottom"/>
            <w:shd w:val="clear" w:color="auto" w:fill="CCEEFF"/>
          </w:tcPr>
          <w:p>
            <w:pPr>
              <w:ind w:left="20"/>
              <w:spacing w:after="0" w:line="170" w:lineRule="exact"/>
              <w:rPr>
                <w:sz w:val="20"/>
                <w:szCs w:val="20"/>
                <w:color w:val="auto"/>
              </w:rPr>
            </w:pPr>
            <w:r>
              <w:rPr>
                <w:rFonts w:ascii="Arial" w:cs="Arial" w:eastAsia="Arial" w:hAnsi="Arial"/>
                <w:sz w:val="14"/>
                <w:szCs w:val="14"/>
                <w:b w:val="1"/>
                <w:bCs w:val="1"/>
                <w:color w:val="auto"/>
              </w:rPr>
              <w:t>Loans Held for Sale</w:t>
            </w:r>
            <w:r>
              <w:rPr>
                <w:rFonts w:ascii="Arial" w:cs="Arial" w:eastAsia="Arial" w:hAnsi="Arial"/>
                <w:sz w:val="18"/>
                <w:szCs w:val="18"/>
                <w:b w:val="1"/>
                <w:bCs w:val="1"/>
                <w:color w:val="auto"/>
                <w:vertAlign w:val="superscript"/>
              </w:rPr>
              <w:t>(G)</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460"/>
              <w:spacing w:after="0" w:line="153" w:lineRule="exact"/>
              <w:rPr>
                <w:sz w:val="20"/>
                <w:szCs w:val="20"/>
                <w:color w:val="auto"/>
              </w:rPr>
            </w:pPr>
            <w:r>
              <w:rPr>
                <w:rFonts w:ascii="Arial" w:cs="Arial" w:eastAsia="Arial" w:hAnsi="Arial"/>
                <w:sz w:val="14"/>
                <w:szCs w:val="14"/>
                <w:color w:val="auto"/>
              </w:rPr>
              <w:t>HELOC loans</w:t>
            </w:r>
          </w:p>
        </w:tc>
        <w:tc>
          <w:tcPr>
            <w:tcW w:w="220" w:type="dxa"/>
            <w:vAlign w:val="bottom"/>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auto"/>
              </w:rPr>
              <w:t>366,154</w:t>
            </w:r>
          </w:p>
        </w:tc>
        <w:tc>
          <w:tcPr>
            <w:tcW w:w="1300" w:type="dxa"/>
            <w:vAlign w:val="bottom"/>
            <w:gridSpan w:val="2"/>
          </w:tcPr>
          <w:p>
            <w:pPr>
              <w:jc w:val="center"/>
              <w:ind w:left="8"/>
              <w:spacing w:after="0" w:line="153" w:lineRule="exact"/>
              <w:rPr>
                <w:sz w:val="20"/>
                <w:szCs w:val="20"/>
                <w:color w:val="auto"/>
              </w:rPr>
            </w:pPr>
            <w:r>
              <w:rPr>
                <w:rFonts w:ascii="Arial" w:cs="Arial" w:eastAsia="Arial" w:hAnsi="Arial"/>
                <w:sz w:val="14"/>
                <w:szCs w:val="14"/>
                <w:color w:val="auto"/>
              </w:rPr>
              <w:t>6.4% - 10.1%</w:t>
            </w:r>
          </w:p>
        </w:tc>
        <w:tc>
          <w:tcPr>
            <w:tcW w:w="10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1.3% - 32.4%</w:t>
            </w:r>
          </w:p>
        </w:tc>
        <w:tc>
          <w:tcPr>
            <w:tcW w:w="8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1.5% - 1.7%</w:t>
            </w:r>
          </w:p>
        </w:tc>
        <w:tc>
          <w:tcPr>
            <w:tcW w:w="100" w:type="dxa"/>
            <w:vAlign w:val="bottom"/>
          </w:tcPr>
          <w:p>
            <w:pPr>
              <w:spacing w:after="0"/>
              <w:rPr>
                <w:sz w:val="13"/>
                <w:szCs w:val="13"/>
                <w:color w:val="auto"/>
              </w:rPr>
            </w:pPr>
          </w:p>
        </w:tc>
        <w:tc>
          <w:tcPr>
            <w:tcW w:w="130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n.a.</w:t>
            </w: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16.6% - 44.2%</w:t>
            </w: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53"/>
        </w:trPr>
        <w:tc>
          <w:tcPr>
            <w:tcW w:w="3560" w:type="dxa"/>
            <w:vAlign w:val="bottom"/>
            <w:shd w:val="clear" w:color="auto" w:fill="CCEEFF"/>
          </w:tcPr>
          <w:p>
            <w:pPr>
              <w:ind w:left="460"/>
              <w:spacing w:after="0" w:line="153" w:lineRule="exact"/>
              <w:rPr>
                <w:sz w:val="20"/>
                <w:szCs w:val="20"/>
                <w:color w:val="auto"/>
              </w:rPr>
            </w:pPr>
            <w:r>
              <w:rPr>
                <w:rFonts w:ascii="Arial" w:cs="Arial" w:eastAsia="Arial" w:hAnsi="Arial"/>
                <w:sz w:val="14"/>
                <w:szCs w:val="14"/>
                <w:color w:val="auto"/>
              </w:rPr>
              <w:t>Other</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3,829</w:t>
            </w:r>
          </w:p>
        </w:tc>
        <w:tc>
          <w:tcPr>
            <w:tcW w:w="1300" w:type="dxa"/>
            <w:vAlign w:val="bottom"/>
            <w:gridSpan w:val="2"/>
            <w:shd w:val="clear" w:color="auto" w:fill="CCEEFF"/>
          </w:tcPr>
          <w:p>
            <w:pPr>
              <w:jc w:val="center"/>
              <w:ind w:left="8"/>
              <w:spacing w:after="0" w:line="153" w:lineRule="exact"/>
              <w:rPr>
                <w:sz w:val="20"/>
                <w:szCs w:val="20"/>
                <w:color w:val="auto"/>
              </w:rPr>
            </w:pPr>
            <w:r>
              <w:rPr>
                <w:rFonts w:ascii="Arial" w:cs="Arial" w:eastAsia="Arial" w:hAnsi="Arial"/>
                <w:sz w:val="14"/>
                <w:szCs w:val="14"/>
                <w:color w:val="auto"/>
              </w:rPr>
              <w:t>5.1% - 8.7%</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17.9% - 99.7%</w:t>
            </w: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0.4% - 10.2%</w:t>
            </w: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center"/>
              <w:ind w:right="100"/>
              <w:spacing w:after="0" w:line="153" w:lineRule="exact"/>
              <w:rPr>
                <w:sz w:val="20"/>
                <w:szCs w:val="20"/>
                <w:color w:val="auto"/>
              </w:rPr>
            </w:pPr>
            <w:r>
              <w:rPr>
                <w:rFonts w:ascii="Arial" w:cs="Arial" w:eastAsia="Arial" w:hAnsi="Arial"/>
                <w:sz w:val="14"/>
                <w:szCs w:val="14"/>
                <w:color w:val="auto"/>
              </w:rPr>
              <w:t>n.a.</w:t>
            </w:r>
          </w:p>
        </w:tc>
        <w:tc>
          <w:tcPr>
            <w:tcW w:w="12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88.0% - 92.0%</w:t>
            </w:r>
          </w:p>
        </w:tc>
        <w:tc>
          <w:tcPr>
            <w:tcW w:w="0" w:type="dxa"/>
            <w:vAlign w:val="bottom"/>
          </w:tcPr>
          <w:p>
            <w:pPr>
              <w:spacing w:after="0"/>
              <w:rPr>
                <w:sz w:val="1"/>
                <w:szCs w:val="1"/>
                <w:color w:val="auto"/>
              </w:rPr>
            </w:pPr>
          </w:p>
        </w:tc>
      </w:tr>
      <w:tr>
        <w:trPr>
          <w:trHeight w:val="185"/>
        </w:trPr>
        <w:tc>
          <w:tcPr>
            <w:tcW w:w="35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13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25.6%</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69"/>
        </w:trPr>
        <w:tc>
          <w:tcPr>
            <w:tcW w:w="3560" w:type="dxa"/>
            <w:vAlign w:val="bottom"/>
          </w:tcPr>
          <w:p>
            <w:pPr>
              <w:ind w:left="240"/>
              <w:spacing w:after="0" w:line="169" w:lineRule="exact"/>
              <w:rPr>
                <w:sz w:val="20"/>
                <w:szCs w:val="20"/>
                <w:color w:val="auto"/>
              </w:rPr>
            </w:pPr>
            <w:r>
              <w:rPr>
                <w:rFonts w:ascii="Arial" w:cs="Arial" w:eastAsia="Arial" w:hAnsi="Arial"/>
                <w:sz w:val="14"/>
                <w:szCs w:val="14"/>
                <w:color w:val="auto"/>
              </w:rPr>
              <w:t>Total / Weighted average</w:t>
            </w:r>
            <w:r>
              <w:rPr>
                <w:rFonts w:ascii="Arial" w:cs="Arial" w:eastAsia="Arial" w:hAnsi="Arial"/>
                <w:sz w:val="18"/>
                <w:szCs w:val="18"/>
                <w:color w:val="auto"/>
                <w:vertAlign w:val="superscript"/>
              </w:rPr>
              <w:t>(F)</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369,983</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gridSpan w:val="4"/>
            <w:vMerge w:val="restart"/>
          </w:tcPr>
          <w:p>
            <w:pPr>
              <w:ind w:left="760"/>
              <w:spacing w:after="0"/>
              <w:rPr>
                <w:sz w:val="20"/>
                <w:szCs w:val="20"/>
                <w:color w:val="auto"/>
              </w:rPr>
            </w:pPr>
            <w:r>
              <w:rPr>
                <w:rFonts w:ascii="Arial" w:cs="Arial" w:eastAsia="Arial" w:hAnsi="Arial"/>
                <w:sz w:val="11"/>
                <w:szCs w:val="11"/>
                <w:b w:val="1"/>
                <w:bCs w:val="1"/>
                <w:color w:val="auto"/>
              </w:rPr>
              <w:t>December 31, 2023</w:t>
            </w: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2"/>
        </w:trPr>
        <w:tc>
          <w:tcPr>
            <w:tcW w:w="3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vMerge w:val="continue"/>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70"/>
              <w:spacing w:after="0"/>
              <w:rPr>
                <w:sz w:val="20"/>
                <w:szCs w:val="20"/>
                <w:color w:val="auto"/>
              </w:rPr>
            </w:pPr>
            <w:r>
              <w:rPr>
                <w:rFonts w:ascii="Arial" w:cs="Arial" w:eastAsia="Arial" w:hAnsi="Arial"/>
                <w:sz w:val="11"/>
                <w:szCs w:val="11"/>
                <w:b w:val="1"/>
                <w:bCs w:val="1"/>
                <w:color w:val="auto"/>
              </w:rPr>
              <w:t>Fair Value</w:t>
            </w:r>
          </w:p>
        </w:tc>
        <w:tc>
          <w:tcPr>
            <w:tcW w:w="10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Discount Rate</w:t>
            </w:r>
            <w:r>
              <w:rPr>
                <w:rFonts w:ascii="Arial" w:cs="Arial" w:eastAsia="Arial" w:hAnsi="Arial"/>
                <w:sz w:val="14"/>
                <w:szCs w:val="14"/>
                <w:b w:val="1"/>
                <w:bCs w:val="1"/>
                <w:color w:val="auto"/>
                <w:vertAlign w:val="superscript"/>
              </w:rPr>
              <w:t>(A)</w:t>
            </w:r>
            <w:r>
              <w:rPr>
                <w:rFonts w:ascii="Arial" w:cs="Arial" w:eastAsia="Arial" w:hAnsi="Arial"/>
                <w:sz w:val="11"/>
                <w:szCs w:val="11"/>
                <w:b w:val="1"/>
                <w:bCs w:val="1"/>
                <w:color w:val="auto"/>
              </w:rPr>
              <w:t xml:space="preserve"> (%)</w:t>
            </w:r>
          </w:p>
        </w:tc>
        <w:tc>
          <w:tcPr>
            <w:tcW w:w="1280" w:type="dxa"/>
            <w:vAlign w:val="bottom"/>
            <w:gridSpan w:val="2"/>
          </w:tcPr>
          <w:p>
            <w:pPr>
              <w:ind w:left="320"/>
              <w:spacing w:after="0"/>
              <w:rPr>
                <w:sz w:val="20"/>
                <w:szCs w:val="20"/>
                <w:color w:val="auto"/>
              </w:rPr>
            </w:pPr>
            <w:r>
              <w:rPr>
                <w:rFonts w:ascii="Arial" w:cs="Arial" w:eastAsia="Arial" w:hAnsi="Arial"/>
                <w:sz w:val="11"/>
                <w:szCs w:val="11"/>
                <w:b w:val="1"/>
                <w:bCs w:val="1"/>
                <w:color w:val="auto"/>
              </w:rPr>
              <w:t>CPR</w:t>
            </w:r>
            <w:r>
              <w:rPr>
                <w:rFonts w:ascii="Arial" w:cs="Arial" w:eastAsia="Arial" w:hAnsi="Arial"/>
                <w:sz w:val="14"/>
                <w:szCs w:val="14"/>
                <w:b w:val="1"/>
                <w:bCs w:val="1"/>
                <w:color w:val="auto"/>
                <w:vertAlign w:val="superscript"/>
              </w:rPr>
              <w:t>(B)</w:t>
            </w:r>
            <w:r>
              <w:rPr>
                <w:rFonts w:ascii="Arial" w:cs="Arial" w:eastAsia="Arial" w:hAnsi="Arial"/>
                <w:sz w:val="11"/>
                <w:szCs w:val="11"/>
                <w:b w:val="1"/>
                <w:bCs w:val="1"/>
                <w:color w:val="auto"/>
              </w:rPr>
              <w:t xml:space="preserve"> (%)</w:t>
            </w:r>
          </w:p>
        </w:tc>
        <w:tc>
          <w:tcPr>
            <w:tcW w:w="1300" w:type="dxa"/>
            <w:vAlign w:val="bottom"/>
            <w:gridSpan w:val="2"/>
          </w:tcPr>
          <w:p>
            <w:pPr>
              <w:ind w:left="340"/>
              <w:spacing w:after="0"/>
              <w:rPr>
                <w:sz w:val="20"/>
                <w:szCs w:val="20"/>
                <w:color w:val="auto"/>
              </w:rPr>
            </w:pPr>
            <w:r>
              <w:rPr>
                <w:rFonts w:ascii="Arial" w:cs="Arial" w:eastAsia="Arial" w:hAnsi="Arial"/>
                <w:sz w:val="11"/>
                <w:szCs w:val="11"/>
                <w:b w:val="1"/>
                <w:bCs w:val="1"/>
                <w:color w:val="auto"/>
              </w:rPr>
              <w:t>CDR</w:t>
            </w:r>
            <w:r>
              <w:rPr>
                <w:rFonts w:ascii="Arial" w:cs="Arial" w:eastAsia="Arial" w:hAnsi="Arial"/>
                <w:sz w:val="14"/>
                <w:szCs w:val="14"/>
                <w:b w:val="1"/>
                <w:bCs w:val="1"/>
                <w:color w:val="auto"/>
                <w:vertAlign w:val="superscript"/>
              </w:rPr>
              <w:t>(C)</w:t>
            </w:r>
            <w:r>
              <w:rPr>
                <w:rFonts w:ascii="Arial" w:cs="Arial" w:eastAsia="Arial" w:hAnsi="Arial"/>
                <w:sz w:val="11"/>
                <w:szCs w:val="11"/>
                <w:b w:val="1"/>
                <w:bCs w:val="1"/>
                <w:color w:val="auto"/>
              </w:rPr>
              <w:t xml:space="preserve"> (%)</w:t>
            </w:r>
          </w:p>
        </w:tc>
        <w:tc>
          <w:tcPr>
            <w:tcW w:w="13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Servicing Rate</w:t>
            </w:r>
            <w:r>
              <w:rPr>
                <w:rFonts w:ascii="Arial" w:cs="Arial" w:eastAsia="Arial" w:hAnsi="Arial"/>
                <w:sz w:val="14"/>
                <w:szCs w:val="14"/>
                <w:b w:val="1"/>
                <w:bCs w:val="1"/>
                <w:color w:val="auto"/>
                <w:w w:val="94"/>
                <w:vertAlign w:val="superscript"/>
              </w:rPr>
              <w:t>(D)</w:t>
            </w:r>
            <w:r>
              <w:rPr>
                <w:rFonts w:ascii="Arial" w:cs="Arial" w:eastAsia="Arial" w:hAnsi="Arial"/>
                <w:sz w:val="11"/>
                <w:szCs w:val="11"/>
                <w:b w:val="1"/>
                <w:bCs w:val="1"/>
                <w:color w:val="auto"/>
                <w:w w:val="94"/>
              </w:rPr>
              <w:t xml:space="preserve"> (%)</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95"/>
              </w:rPr>
              <w:t>Loss Severity</w:t>
            </w:r>
            <w:r>
              <w:rPr>
                <w:rFonts w:ascii="Arial" w:cs="Arial" w:eastAsia="Arial" w:hAnsi="Arial"/>
                <w:sz w:val="14"/>
                <w:szCs w:val="14"/>
                <w:b w:val="1"/>
                <w:bCs w:val="1"/>
                <w:color w:val="auto"/>
                <w:w w:val="95"/>
                <w:vertAlign w:val="superscript"/>
              </w:rPr>
              <w:t>(E)</w:t>
            </w:r>
          </w:p>
        </w:tc>
        <w:tc>
          <w:tcPr>
            <w:tcW w:w="0" w:type="dxa"/>
            <w:vAlign w:val="bottom"/>
          </w:tcPr>
          <w:p>
            <w:pPr>
              <w:spacing w:after="0"/>
              <w:rPr>
                <w:sz w:val="1"/>
                <w:szCs w:val="1"/>
                <w:color w:val="auto"/>
              </w:rPr>
            </w:pPr>
          </w:p>
        </w:tc>
      </w:tr>
      <w:tr>
        <w:trPr>
          <w:trHeight w:val="183"/>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Marketable Securities</w:t>
            </w: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240"/>
              <w:spacing w:after="0" w:line="153" w:lineRule="exact"/>
              <w:rPr>
                <w:sz w:val="20"/>
                <w:szCs w:val="20"/>
                <w:color w:val="auto"/>
              </w:rPr>
            </w:pPr>
            <w:r>
              <w:rPr>
                <w:rFonts w:ascii="Arial" w:cs="Arial" w:eastAsia="Arial" w:hAnsi="Arial"/>
                <w:sz w:val="14"/>
                <w:szCs w:val="14"/>
                <w:color w:val="auto"/>
              </w:rPr>
              <w:t>Residual interest securities</w:t>
            </w:r>
          </w:p>
        </w:tc>
        <w:tc>
          <w:tcPr>
            <w:tcW w:w="220" w:type="dxa"/>
            <w:vAlign w:val="bottom"/>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auto"/>
              </w:rPr>
              <w:t>11,952</w:t>
            </w:r>
          </w:p>
        </w:tc>
        <w:tc>
          <w:tcPr>
            <w:tcW w:w="1300" w:type="dxa"/>
            <w:vAlign w:val="bottom"/>
            <w:gridSpan w:val="2"/>
          </w:tcPr>
          <w:p>
            <w:pPr>
              <w:jc w:val="center"/>
              <w:ind w:left="8"/>
              <w:spacing w:after="0" w:line="153" w:lineRule="exact"/>
              <w:rPr>
                <w:sz w:val="20"/>
                <w:szCs w:val="20"/>
                <w:color w:val="auto"/>
              </w:rPr>
            </w:pPr>
            <w:r>
              <w:rPr>
                <w:rFonts w:ascii="Arial" w:cs="Arial" w:eastAsia="Arial" w:hAnsi="Arial"/>
                <w:sz w:val="14"/>
                <w:szCs w:val="14"/>
                <w:color w:val="auto"/>
              </w:rPr>
              <w:t>21.0% - 21.3%</w:t>
            </w:r>
          </w:p>
        </w:tc>
        <w:tc>
          <w:tcPr>
            <w:tcW w:w="10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13.6% - 30.0%</w:t>
            </w:r>
          </w:p>
        </w:tc>
        <w:tc>
          <w:tcPr>
            <w:tcW w:w="8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0.5% - 48.9%</w:t>
            </w:r>
          </w:p>
        </w:tc>
        <w:tc>
          <w:tcPr>
            <w:tcW w:w="100" w:type="dxa"/>
            <w:vAlign w:val="bottom"/>
          </w:tcPr>
          <w:p>
            <w:pPr>
              <w:spacing w:after="0"/>
              <w:rPr>
                <w:sz w:val="13"/>
                <w:szCs w:val="13"/>
                <w:color w:val="auto"/>
              </w:rPr>
            </w:pPr>
          </w:p>
        </w:tc>
        <w:tc>
          <w:tcPr>
            <w:tcW w:w="130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n.a.</w:t>
            </w: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8"/>
        </w:trPr>
        <w:tc>
          <w:tcPr>
            <w:tcW w:w="35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300" w:type="dxa"/>
            <w:vAlign w:val="bottom"/>
            <w:gridSpan w:val="2"/>
          </w:tcPr>
          <w:p>
            <w:pPr>
              <w:jc w:val="center"/>
              <w:ind w:left="28"/>
              <w:spacing w:after="0" w:line="158" w:lineRule="exact"/>
              <w:rPr>
                <w:sz w:val="20"/>
                <w:szCs w:val="20"/>
                <w:color w:val="auto"/>
              </w:rPr>
            </w:pPr>
            <w:r>
              <w:rPr>
                <w:rFonts w:ascii="Arial" w:cs="Arial" w:eastAsia="Arial" w:hAnsi="Arial"/>
                <w:sz w:val="14"/>
                <w:szCs w:val="14"/>
                <w:color w:val="auto"/>
              </w:rPr>
              <w:t>21.2%</w:t>
            </w:r>
          </w:p>
        </w:tc>
        <w:tc>
          <w:tcPr>
            <w:tcW w:w="100" w:type="dxa"/>
            <w:vAlign w:val="bottom"/>
          </w:tcPr>
          <w:p>
            <w:pPr>
              <w:spacing w:after="0"/>
              <w:rPr>
                <w:sz w:val="13"/>
                <w:szCs w:val="13"/>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4"/>
                <w:szCs w:val="14"/>
                <w:color w:val="auto"/>
              </w:rPr>
              <w:t>16.7%</w:t>
            </w:r>
          </w:p>
        </w:tc>
        <w:tc>
          <w:tcPr>
            <w:tcW w:w="80" w:type="dxa"/>
            <w:vAlign w:val="bottom"/>
          </w:tcPr>
          <w:p>
            <w:pPr>
              <w:spacing w:after="0"/>
              <w:rPr>
                <w:sz w:val="13"/>
                <w:szCs w:val="13"/>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Servicing Assets</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240"/>
              <w:spacing w:after="0" w:line="153" w:lineRule="exact"/>
              <w:rPr>
                <w:sz w:val="20"/>
                <w:szCs w:val="20"/>
                <w:color w:val="auto"/>
              </w:rPr>
            </w:pPr>
            <w:r>
              <w:rPr>
                <w:rFonts w:ascii="Arial" w:cs="Arial" w:eastAsia="Arial" w:hAnsi="Arial"/>
                <w:sz w:val="14"/>
                <w:szCs w:val="14"/>
                <w:color w:val="auto"/>
              </w:rPr>
              <w:t>HELOC loans</w:t>
            </w:r>
          </w:p>
        </w:tc>
        <w:tc>
          <w:tcPr>
            <w:tcW w:w="220" w:type="dxa"/>
            <w:vAlign w:val="bottom"/>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auto"/>
              </w:rPr>
              <w:t>53,645</w:t>
            </w:r>
          </w:p>
        </w:tc>
        <w:tc>
          <w:tcPr>
            <w:tcW w:w="1300" w:type="dxa"/>
            <w:vAlign w:val="bottom"/>
            <w:gridSpan w:val="2"/>
          </w:tcPr>
          <w:p>
            <w:pPr>
              <w:jc w:val="center"/>
              <w:ind w:left="8"/>
              <w:spacing w:after="0" w:line="153" w:lineRule="exact"/>
              <w:rPr>
                <w:sz w:val="20"/>
                <w:szCs w:val="20"/>
                <w:color w:val="auto"/>
              </w:rPr>
            </w:pPr>
            <w:r>
              <w:rPr>
                <w:rFonts w:ascii="Arial" w:cs="Arial" w:eastAsia="Arial" w:hAnsi="Arial"/>
                <w:sz w:val="14"/>
                <w:szCs w:val="14"/>
                <w:color w:val="auto"/>
              </w:rPr>
              <w:t>12.0% - 14.0%</w:t>
            </w:r>
          </w:p>
        </w:tc>
        <w:tc>
          <w:tcPr>
            <w:tcW w:w="10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10.0% - 19.4%</w:t>
            </w:r>
          </w:p>
        </w:tc>
        <w:tc>
          <w:tcPr>
            <w:tcW w:w="8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0.3% - 2.3%</w:t>
            </w:r>
          </w:p>
        </w:tc>
        <w:tc>
          <w:tcPr>
            <w:tcW w:w="10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0.1%</w:t>
            </w:r>
          </w:p>
        </w:tc>
        <w:tc>
          <w:tcPr>
            <w:tcW w:w="10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14.6%</w:t>
            </w:r>
          </w:p>
        </w:tc>
        <w:tc>
          <w:tcPr>
            <w:tcW w:w="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6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rPr>
              <w:t>Mortgage loans</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2,215</w:t>
            </w:r>
          </w:p>
        </w:tc>
        <w:tc>
          <w:tcPr>
            <w:tcW w:w="1300" w:type="dxa"/>
            <w:vAlign w:val="bottom"/>
            <w:gridSpan w:val="2"/>
            <w:shd w:val="clear" w:color="auto" w:fill="CCEEFF"/>
          </w:tcPr>
          <w:p>
            <w:pPr>
              <w:jc w:val="center"/>
              <w:ind w:left="8"/>
              <w:spacing w:after="0" w:line="153" w:lineRule="exact"/>
              <w:rPr>
                <w:sz w:val="20"/>
                <w:szCs w:val="20"/>
                <w:color w:val="auto"/>
              </w:rPr>
            </w:pPr>
            <w:r>
              <w:rPr>
                <w:rFonts w:ascii="Arial" w:cs="Arial" w:eastAsia="Arial" w:hAnsi="Arial"/>
                <w:sz w:val="14"/>
                <w:szCs w:val="14"/>
                <w:color w:val="auto"/>
              </w:rPr>
              <w:t>9.0% - 11.0%</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4.2% - 7.4%</w:t>
            </w: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0.1% - 0.5%</w:t>
            </w: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center"/>
              <w:ind w:right="100"/>
              <w:spacing w:after="0" w:line="153" w:lineRule="exact"/>
              <w:rPr>
                <w:sz w:val="20"/>
                <w:szCs w:val="20"/>
                <w:color w:val="auto"/>
              </w:rPr>
            </w:pPr>
            <w:r>
              <w:rPr>
                <w:rFonts w:ascii="Arial" w:cs="Arial" w:eastAsia="Arial" w:hAnsi="Arial"/>
                <w:sz w:val="14"/>
                <w:szCs w:val="14"/>
                <w:color w:val="auto"/>
              </w:rPr>
              <w:t>n.m.</w:t>
            </w:r>
          </w:p>
        </w:tc>
        <w:tc>
          <w:tcPr>
            <w:tcW w:w="12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5"/>
        </w:trPr>
        <w:tc>
          <w:tcPr>
            <w:tcW w:w="35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13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60" w:type="dxa"/>
            <w:vAlign w:val="bottom"/>
          </w:tcPr>
          <w:p>
            <w:pPr>
              <w:ind w:left="240"/>
              <w:spacing w:after="0" w:line="196" w:lineRule="exact"/>
              <w:rPr>
                <w:sz w:val="20"/>
                <w:szCs w:val="20"/>
                <w:color w:val="auto"/>
              </w:rPr>
            </w:pPr>
            <w:r>
              <w:rPr>
                <w:rFonts w:ascii="Arial" w:cs="Arial" w:eastAsia="Arial" w:hAnsi="Arial"/>
                <w:sz w:val="14"/>
                <w:szCs w:val="14"/>
                <w:color w:val="auto"/>
              </w:rPr>
              <w:t>Total / Weighted average</w:t>
            </w:r>
            <w:r>
              <w:rPr>
                <w:rFonts w:ascii="Arial" w:cs="Arial" w:eastAsia="Arial" w:hAnsi="Arial"/>
                <w:sz w:val="18"/>
                <w:szCs w:val="18"/>
                <w:color w:val="auto"/>
                <w:vertAlign w:val="superscript"/>
              </w:rPr>
              <w:t>(F)</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55,860</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14.2%</w:t>
            </w:r>
          </w:p>
        </w:tc>
        <w:tc>
          <w:tcPr>
            <w:tcW w:w="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560" w:type="dxa"/>
            <w:vAlign w:val="bottom"/>
            <w:shd w:val="clear" w:color="auto" w:fill="CCEEFF"/>
          </w:tcPr>
          <w:p>
            <w:pPr>
              <w:ind w:left="20"/>
              <w:spacing w:after="0" w:line="170" w:lineRule="exact"/>
              <w:rPr>
                <w:sz w:val="20"/>
                <w:szCs w:val="20"/>
                <w:color w:val="auto"/>
              </w:rPr>
            </w:pPr>
            <w:r>
              <w:rPr>
                <w:rFonts w:ascii="Arial" w:cs="Arial" w:eastAsia="Arial" w:hAnsi="Arial"/>
                <w:sz w:val="14"/>
                <w:szCs w:val="14"/>
                <w:b w:val="1"/>
                <w:bCs w:val="1"/>
                <w:color w:val="auto"/>
              </w:rPr>
              <w:t>Loans Held for Sale</w:t>
            </w:r>
            <w:r>
              <w:rPr>
                <w:rFonts w:ascii="Arial" w:cs="Arial" w:eastAsia="Arial" w:hAnsi="Arial"/>
                <w:sz w:val="18"/>
                <w:szCs w:val="18"/>
                <w:b w:val="1"/>
                <w:bCs w:val="1"/>
                <w:color w:val="auto"/>
                <w:vertAlign w:val="superscript"/>
              </w:rPr>
              <w:t>(G)</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240"/>
              <w:spacing w:after="0" w:line="153" w:lineRule="exact"/>
              <w:rPr>
                <w:sz w:val="20"/>
                <w:szCs w:val="20"/>
                <w:color w:val="auto"/>
              </w:rPr>
            </w:pPr>
            <w:r>
              <w:rPr>
                <w:rFonts w:ascii="Arial" w:cs="Arial" w:eastAsia="Arial" w:hAnsi="Arial"/>
                <w:sz w:val="14"/>
                <w:szCs w:val="14"/>
                <w:color w:val="auto"/>
              </w:rPr>
              <w:t>HELOC loans</w:t>
            </w:r>
          </w:p>
        </w:tc>
        <w:tc>
          <w:tcPr>
            <w:tcW w:w="220" w:type="dxa"/>
            <w:vAlign w:val="bottom"/>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auto"/>
              </w:rPr>
              <w:t>244,670</w:t>
            </w:r>
          </w:p>
        </w:tc>
        <w:tc>
          <w:tcPr>
            <w:tcW w:w="1300" w:type="dxa"/>
            <w:vAlign w:val="bottom"/>
            <w:gridSpan w:val="2"/>
          </w:tcPr>
          <w:p>
            <w:pPr>
              <w:jc w:val="center"/>
              <w:ind w:left="8"/>
              <w:spacing w:after="0" w:line="153" w:lineRule="exact"/>
              <w:rPr>
                <w:sz w:val="20"/>
                <w:szCs w:val="20"/>
                <w:color w:val="auto"/>
              </w:rPr>
            </w:pPr>
            <w:r>
              <w:rPr>
                <w:rFonts w:ascii="Arial" w:cs="Arial" w:eastAsia="Arial" w:hAnsi="Arial"/>
                <w:sz w:val="14"/>
                <w:szCs w:val="14"/>
                <w:color w:val="auto"/>
              </w:rPr>
              <w:t>7.6% - 17.7%</w:t>
            </w:r>
          </w:p>
        </w:tc>
        <w:tc>
          <w:tcPr>
            <w:tcW w:w="10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0.4% - 21.0%</w:t>
            </w:r>
          </w:p>
        </w:tc>
        <w:tc>
          <w:tcPr>
            <w:tcW w:w="8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0.5% - 48.9%</w:t>
            </w:r>
          </w:p>
        </w:tc>
        <w:tc>
          <w:tcPr>
            <w:tcW w:w="100" w:type="dxa"/>
            <w:vAlign w:val="bottom"/>
          </w:tcPr>
          <w:p>
            <w:pPr>
              <w:spacing w:after="0"/>
              <w:rPr>
                <w:sz w:val="13"/>
                <w:szCs w:val="13"/>
                <w:color w:val="auto"/>
              </w:rPr>
            </w:pPr>
          </w:p>
        </w:tc>
        <w:tc>
          <w:tcPr>
            <w:tcW w:w="130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n.a.</w:t>
            </w: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39.6% - 58.1%</w:t>
            </w: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53"/>
        </w:trPr>
        <w:tc>
          <w:tcPr>
            <w:tcW w:w="356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rPr>
              <w:t>Other</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10,846</w:t>
            </w:r>
          </w:p>
        </w:tc>
        <w:tc>
          <w:tcPr>
            <w:tcW w:w="1300" w:type="dxa"/>
            <w:vAlign w:val="bottom"/>
            <w:gridSpan w:val="2"/>
            <w:shd w:val="clear" w:color="auto" w:fill="CCEEFF"/>
          </w:tcPr>
          <w:p>
            <w:pPr>
              <w:jc w:val="center"/>
              <w:ind w:left="8"/>
              <w:spacing w:after="0" w:line="153" w:lineRule="exact"/>
              <w:rPr>
                <w:sz w:val="20"/>
                <w:szCs w:val="20"/>
                <w:color w:val="auto"/>
              </w:rPr>
            </w:pPr>
            <w:r>
              <w:rPr>
                <w:rFonts w:ascii="Arial" w:cs="Arial" w:eastAsia="Arial" w:hAnsi="Arial"/>
                <w:sz w:val="14"/>
                <w:szCs w:val="14"/>
                <w:color w:val="auto"/>
              </w:rPr>
              <w:t>6.5% - 10.1%</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13.8% - 45.6%</w:t>
            </w: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1.4% - 11.2%</w:t>
            </w: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center"/>
              <w:ind w:right="100"/>
              <w:spacing w:after="0" w:line="153" w:lineRule="exact"/>
              <w:rPr>
                <w:sz w:val="20"/>
                <w:szCs w:val="20"/>
                <w:color w:val="auto"/>
              </w:rPr>
            </w:pPr>
            <w:r>
              <w:rPr>
                <w:rFonts w:ascii="Arial" w:cs="Arial" w:eastAsia="Arial" w:hAnsi="Arial"/>
                <w:sz w:val="14"/>
                <w:szCs w:val="14"/>
                <w:color w:val="auto"/>
              </w:rPr>
              <w:t>n.a.</w:t>
            </w:r>
          </w:p>
        </w:tc>
        <w:tc>
          <w:tcPr>
            <w:tcW w:w="12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88.0% - 92.0%</w:t>
            </w:r>
          </w:p>
        </w:tc>
        <w:tc>
          <w:tcPr>
            <w:tcW w:w="0" w:type="dxa"/>
            <w:vAlign w:val="bottom"/>
          </w:tcPr>
          <w:p>
            <w:pPr>
              <w:spacing w:after="0"/>
              <w:rPr>
                <w:sz w:val="1"/>
                <w:szCs w:val="1"/>
                <w:color w:val="auto"/>
              </w:rPr>
            </w:pPr>
          </w:p>
        </w:tc>
      </w:tr>
      <w:tr>
        <w:trPr>
          <w:trHeight w:val="185"/>
        </w:trPr>
        <w:tc>
          <w:tcPr>
            <w:tcW w:w="35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13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23.5%</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96"/>
        </w:trPr>
        <w:tc>
          <w:tcPr>
            <w:tcW w:w="3560" w:type="dxa"/>
            <w:vAlign w:val="bottom"/>
          </w:tcPr>
          <w:p>
            <w:pPr>
              <w:ind w:left="240"/>
              <w:spacing w:after="0" w:line="196" w:lineRule="exact"/>
              <w:rPr>
                <w:sz w:val="20"/>
                <w:szCs w:val="20"/>
                <w:color w:val="auto"/>
              </w:rPr>
            </w:pPr>
            <w:r>
              <w:rPr>
                <w:rFonts w:ascii="Arial" w:cs="Arial" w:eastAsia="Arial" w:hAnsi="Arial"/>
                <w:sz w:val="14"/>
                <w:szCs w:val="14"/>
                <w:color w:val="auto"/>
              </w:rPr>
              <w:t>Total / Weighted average</w:t>
            </w:r>
            <w:r>
              <w:rPr>
                <w:rFonts w:ascii="Arial" w:cs="Arial" w:eastAsia="Arial" w:hAnsi="Arial"/>
                <w:sz w:val="18"/>
                <w:szCs w:val="18"/>
                <w:color w:val="auto"/>
                <w:vertAlign w:val="superscript"/>
              </w:rPr>
              <w:t>(F)</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255,516</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16.3%</w:t>
            </w:r>
          </w:p>
        </w:tc>
        <w:tc>
          <w:tcPr>
            <w:tcW w:w="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1200" w:type="dxa"/>
            <w:vAlign w:val="bottom"/>
          </w:tcPr>
          <w:p>
            <w:pPr>
              <w:jc w:val="center"/>
              <w:spacing w:after="0"/>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Loans Held for Investment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460"/>
              <w:spacing w:after="0" w:line="153" w:lineRule="exact"/>
              <w:rPr>
                <w:sz w:val="20"/>
                <w:szCs w:val="20"/>
                <w:color w:val="auto"/>
              </w:rPr>
            </w:pPr>
            <w:r>
              <w:rPr>
                <w:rFonts w:ascii="Arial" w:cs="Arial" w:eastAsia="Arial" w:hAnsi="Arial"/>
                <w:sz w:val="14"/>
                <w:szCs w:val="14"/>
                <w:color w:val="auto"/>
              </w:rPr>
              <w:t>HELOC loans</w:t>
            </w:r>
          </w:p>
        </w:tc>
        <w:tc>
          <w:tcPr>
            <w:tcW w:w="220" w:type="dxa"/>
            <w:vAlign w:val="bottom"/>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auto"/>
              </w:rPr>
              <w:t>61,337</w:t>
            </w:r>
          </w:p>
        </w:tc>
        <w:tc>
          <w:tcPr>
            <w:tcW w:w="1300" w:type="dxa"/>
            <w:vAlign w:val="bottom"/>
            <w:gridSpan w:val="2"/>
          </w:tcPr>
          <w:p>
            <w:pPr>
              <w:jc w:val="center"/>
              <w:ind w:left="8"/>
              <w:spacing w:after="0" w:line="153" w:lineRule="exact"/>
              <w:rPr>
                <w:sz w:val="20"/>
                <w:szCs w:val="20"/>
                <w:color w:val="auto"/>
              </w:rPr>
            </w:pPr>
            <w:r>
              <w:rPr>
                <w:rFonts w:ascii="Arial" w:cs="Arial" w:eastAsia="Arial" w:hAnsi="Arial"/>
                <w:sz w:val="14"/>
                <w:szCs w:val="14"/>
                <w:color w:val="auto"/>
              </w:rPr>
              <w:t>7.7% - 19.5%</w:t>
            </w:r>
          </w:p>
        </w:tc>
        <w:tc>
          <w:tcPr>
            <w:tcW w:w="10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0.3% - 19.0%</w:t>
            </w:r>
          </w:p>
        </w:tc>
        <w:tc>
          <w:tcPr>
            <w:tcW w:w="8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0.2% - 63.7%</w:t>
            </w:r>
          </w:p>
        </w:tc>
        <w:tc>
          <w:tcPr>
            <w:tcW w:w="100" w:type="dxa"/>
            <w:vAlign w:val="bottom"/>
          </w:tcPr>
          <w:p>
            <w:pPr>
              <w:spacing w:after="0"/>
              <w:rPr>
                <w:sz w:val="13"/>
                <w:szCs w:val="13"/>
                <w:color w:val="auto"/>
              </w:rPr>
            </w:pPr>
          </w:p>
        </w:tc>
        <w:tc>
          <w:tcPr>
            <w:tcW w:w="130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n.a.</w:t>
            </w: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37.6% - 60.0%</w:t>
            </w:r>
          </w:p>
        </w:tc>
        <w:tc>
          <w:tcPr>
            <w:tcW w:w="0" w:type="dxa"/>
            <w:vAlign w:val="bottom"/>
          </w:tcPr>
          <w:p>
            <w:pPr>
              <w:spacing w:after="0"/>
              <w:rPr>
                <w:sz w:val="1"/>
                <w:szCs w:val="1"/>
                <w:color w:val="auto"/>
              </w:rPr>
            </w:pPr>
          </w:p>
        </w:tc>
      </w:tr>
      <w:tr>
        <w:trPr>
          <w:trHeight w:val="158"/>
        </w:trPr>
        <w:tc>
          <w:tcPr>
            <w:tcW w:w="35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300" w:type="dxa"/>
            <w:vAlign w:val="bottom"/>
            <w:gridSpan w:val="2"/>
          </w:tcPr>
          <w:p>
            <w:pPr>
              <w:jc w:val="center"/>
              <w:ind w:left="28"/>
              <w:spacing w:after="0" w:line="158" w:lineRule="exact"/>
              <w:rPr>
                <w:sz w:val="20"/>
                <w:szCs w:val="20"/>
                <w:color w:val="auto"/>
              </w:rPr>
            </w:pPr>
            <w:r>
              <w:rPr>
                <w:rFonts w:ascii="Arial" w:cs="Arial" w:eastAsia="Arial" w:hAnsi="Arial"/>
                <w:sz w:val="14"/>
                <w:szCs w:val="14"/>
                <w:color w:val="auto"/>
              </w:rPr>
              <w:t>10.9%</w:t>
            </w:r>
          </w:p>
        </w:tc>
        <w:tc>
          <w:tcPr>
            <w:tcW w:w="100" w:type="dxa"/>
            <w:vAlign w:val="bottom"/>
          </w:tcPr>
          <w:p>
            <w:pPr>
              <w:spacing w:after="0"/>
              <w:rPr>
                <w:sz w:val="13"/>
                <w:szCs w:val="13"/>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4"/>
                <w:szCs w:val="14"/>
                <w:color w:val="auto"/>
              </w:rPr>
              <w:t>14.0%</w:t>
            </w:r>
          </w:p>
        </w:tc>
        <w:tc>
          <w:tcPr>
            <w:tcW w:w="80" w:type="dxa"/>
            <w:vAlign w:val="bottom"/>
          </w:tcPr>
          <w:p>
            <w:pPr>
              <w:spacing w:after="0"/>
              <w:rPr>
                <w:sz w:val="13"/>
                <w:szCs w:val="13"/>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4"/>
                <w:szCs w:val="14"/>
                <w:color w:val="auto"/>
              </w:rPr>
              <w:t>1.6%</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tabs>
          <w:tab w:leader="none" w:pos="3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Significant increases (decreases) in the discount rate, in isolation, would result in a significantly lower (higher) fair value measurement.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2" w:lineRule="exact"/>
        <w:rPr>
          <w:rFonts w:ascii="Arial" w:cs="Arial" w:eastAsia="Arial" w:hAnsi="Arial"/>
          <w:sz w:val="16"/>
          <w:szCs w:val="16"/>
          <w:color w:val="auto"/>
        </w:rPr>
      </w:pPr>
    </w:p>
    <w:p>
      <w:pPr>
        <w:ind w:left="5440"/>
        <w:spacing w:after="0"/>
        <w:rPr>
          <w:rFonts w:ascii="Arial" w:cs="Arial" w:eastAsia="Arial" w:hAnsi="Arial"/>
          <w:sz w:val="16"/>
          <w:szCs w:val="16"/>
          <w:color w:val="auto"/>
        </w:rPr>
      </w:pPr>
      <w:r>
        <w:rPr>
          <w:rFonts w:ascii="Arial" w:cs="Arial" w:eastAsia="Arial" w:hAnsi="Arial"/>
          <w:sz w:val="18"/>
          <w:szCs w:val="18"/>
          <w:color w:val="auto"/>
        </w:rPr>
        <w:t>F-97</w:t>
      </w:r>
    </w:p>
    <w:p>
      <w:pPr>
        <w:sectPr>
          <w:pgSz w:w="11900" w:h="16838" w:orient="portrait"/>
          <w:cols w:equalWidth="0" w:num="1">
            <w:col w:w="11240"/>
          </w:cols>
          <w:pgMar w:left="320" w:top="229" w:right="339" w:bottom="1440" w:gutter="0" w:footer="0" w:header="0"/>
        </w:sectPr>
      </w:pPr>
    </w:p>
    <w:bookmarkStart w:id="350" w:name="page351"/>
    <w:bookmarkEnd w:id="350"/>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hanging="332"/>
        <w:spacing w:after="0" w:line="263" w:lineRule="auto"/>
        <w:tabs>
          <w:tab w:leader="none" w:pos="34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Significant increases (decreases) in the CPR, in isolation, would result in a significantly higher (lower) fair value measurement for residual interest securities and loans held for sale or investment, while the inverse is true for servicing assets.</w:t>
      </w:r>
    </w:p>
    <w:p>
      <w:pPr>
        <w:ind w:left="320" w:hanging="312"/>
        <w:spacing w:after="0"/>
        <w:tabs>
          <w:tab w:leader="none" w:pos="32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Significant increases (decreases) in the CDR, in isolation, would result in a significantly lower (higher) fair value measurement.</w:t>
      </w:r>
    </w:p>
    <w:p>
      <w:pPr>
        <w:spacing w:after="0" w:line="8" w:lineRule="exact"/>
        <w:rPr>
          <w:rFonts w:ascii="Arial" w:cs="Arial" w:eastAsia="Arial" w:hAnsi="Arial"/>
          <w:sz w:val="16"/>
          <w:szCs w:val="16"/>
          <w:color w:val="auto"/>
        </w:rPr>
      </w:pPr>
    </w:p>
    <w:p>
      <w:pPr>
        <w:ind w:left="340" w:hanging="332"/>
        <w:spacing w:after="0" w:line="255" w:lineRule="auto"/>
        <w:tabs>
          <w:tab w:leader="none" w:pos="33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Significant increases (decreases) in the servicing rate in excess of servicing costs, in isolation, would result in a significantly higher (lower) fair value measurement. Weighted average total mortgage servicing amount, net of subservicing costs.</w:t>
      </w:r>
    </w:p>
    <w:p>
      <w:pPr>
        <w:ind w:left="340" w:hanging="332"/>
        <w:spacing w:after="0"/>
        <w:tabs>
          <w:tab w:leader="none" w:pos="34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Significant increases (decreases) in the severity, in isolation, would result in a significantly lower (higher) fair value measurement.</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Unobservable inputs were weighted by respective fair value of each class.</w:t>
      </w:r>
    </w:p>
    <w:p>
      <w:pPr>
        <w:spacing w:after="0" w:line="14" w:lineRule="exact"/>
        <w:rPr>
          <w:rFonts w:ascii="Arial" w:cs="Arial" w:eastAsia="Arial" w:hAnsi="Arial"/>
          <w:sz w:val="16"/>
          <w:szCs w:val="16"/>
          <w:color w:val="auto"/>
        </w:rPr>
      </w:pPr>
    </w:p>
    <w:p>
      <w:pPr>
        <w:jc w:val="both"/>
        <w:ind w:left="340" w:hanging="332"/>
        <w:spacing w:after="0" w:line="260" w:lineRule="auto"/>
        <w:tabs>
          <w:tab w:leader="none" w:pos="33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HELOC loans are measured at estimated fair value using a discounted cash flow valuation methodology, more specifically a residential mortgage cash flow model. Personal loans are measured at estimated fair value using a discounted cash flow valuation methodology, more specifically a loan cash flow model. The Company uses an estimated recovery from collections and recent sales to fair value personal loans that are thirty days past due; the fair value of such loans at December 31, 2024 and 2023 are not material.</w:t>
      </w:r>
    </w:p>
    <w:p>
      <w:pPr>
        <w:spacing w:after="0" w:line="117"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u w:val="single" w:color="auto"/>
          <w:color w:val="auto"/>
        </w:rPr>
        <w:t>Marketable Securities</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table summarizes activities involving the Company’s marketable securities that are measured at fair value and classified within Level 3 of the fair value hierarchy for the years ended December 31, 2024 and 2023:</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60" w:type="dxa"/>
            <w:vAlign w:val="bottom"/>
          </w:tcPr>
          <w:p>
            <w:pPr>
              <w:ind w:left="240"/>
              <w:spacing w:after="0" w:line="230" w:lineRule="exact"/>
              <w:rPr>
                <w:sz w:val="20"/>
                <w:szCs w:val="20"/>
                <w:color w:val="auto"/>
              </w:rPr>
            </w:pPr>
            <w:r>
              <w:rPr>
                <w:rFonts w:ascii="Arial" w:cs="Arial" w:eastAsia="Arial" w:hAnsi="Arial"/>
                <w:sz w:val="18"/>
                <w:szCs w:val="18"/>
                <w:color w:val="auto"/>
              </w:rPr>
              <w:t>Purchases</w:t>
            </w:r>
            <w:r>
              <w:rPr>
                <w:rFonts w:ascii="Arial" w:cs="Arial" w:eastAsia="Arial" w:hAnsi="Arial"/>
                <w:sz w:val="23"/>
                <w:szCs w:val="23"/>
                <w:color w:val="auto"/>
                <w:vertAlign w:val="superscript"/>
              </w:rPr>
              <w:t>(A)</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16,177</w:t>
            </w:r>
          </w:p>
        </w:tc>
      </w:tr>
      <w:tr>
        <w:trPr>
          <w:trHeight w:val="229"/>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30"/>
        </w:trPr>
        <w:tc>
          <w:tcPr>
            <w:tcW w:w="9660" w:type="dxa"/>
            <w:vAlign w:val="bottom"/>
          </w:tcPr>
          <w:p>
            <w:pPr>
              <w:ind w:left="240"/>
              <w:spacing w:after="0"/>
              <w:rPr>
                <w:sz w:val="20"/>
                <w:szCs w:val="20"/>
                <w:color w:val="auto"/>
              </w:rPr>
            </w:pPr>
            <w:r>
              <w:rPr>
                <w:rFonts w:ascii="Arial" w:cs="Arial" w:eastAsia="Arial" w:hAnsi="Arial"/>
                <w:sz w:val="18"/>
                <w:szCs w:val="18"/>
                <w:color w:val="auto"/>
              </w:rPr>
              <w:t>Principal payments</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(1,576)</w:t>
            </w:r>
          </w:p>
        </w:tc>
      </w:tr>
      <w:tr>
        <w:trPr>
          <w:trHeight w:val="229"/>
        </w:trPr>
        <w:tc>
          <w:tcPr>
            <w:tcW w:w="96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Change in fair value</w:t>
            </w:r>
            <w:r>
              <w:rPr>
                <w:rFonts w:ascii="Arial" w:cs="Arial" w:eastAsia="Arial" w:hAnsi="Arial"/>
                <w:sz w:val="23"/>
                <w:szCs w:val="23"/>
                <w:color w:val="auto"/>
                <w:vertAlign w:val="superscript"/>
              </w:rPr>
              <w:t>(B)</w:t>
            </w: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2023</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11,952</w:t>
            </w:r>
          </w:p>
        </w:tc>
      </w:tr>
      <w:tr>
        <w:trPr>
          <w:trHeight w:val="229"/>
        </w:trPr>
        <w:tc>
          <w:tcPr>
            <w:tcW w:w="96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Purchases</w:t>
            </w:r>
            <w:r>
              <w:rPr>
                <w:rFonts w:ascii="Arial" w:cs="Arial" w:eastAsia="Arial" w:hAnsi="Arial"/>
                <w:sz w:val="23"/>
                <w:szCs w:val="23"/>
                <w:color w:val="auto"/>
                <w:vertAlign w:val="superscript"/>
              </w:rPr>
              <w:t>(A)</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24,440</w:t>
            </w:r>
          </w:p>
        </w:tc>
      </w:tr>
      <w:tr>
        <w:trPr>
          <w:trHeight w:val="230"/>
        </w:trPr>
        <w:tc>
          <w:tcPr>
            <w:tcW w:w="9660" w:type="dxa"/>
            <w:vAlign w:val="bottom"/>
          </w:tcPr>
          <w:p>
            <w:pPr>
              <w:ind w:left="240"/>
              <w:spacing w:after="0"/>
              <w:rPr>
                <w:sz w:val="20"/>
                <w:szCs w:val="20"/>
                <w:color w:val="auto"/>
              </w:rPr>
            </w:pPr>
            <w:r>
              <w:rPr>
                <w:rFonts w:ascii="Arial" w:cs="Arial" w:eastAsia="Arial" w:hAnsi="Arial"/>
                <w:sz w:val="18"/>
                <w:szCs w:val="18"/>
                <w:color w:val="auto"/>
              </w:rPr>
              <w:t>Sales</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(872)</w:t>
            </w:r>
          </w:p>
        </w:tc>
      </w:tr>
      <w:tr>
        <w:trPr>
          <w:trHeight w:val="230"/>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Principal payments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r>
      <w:tr>
        <w:trPr>
          <w:trHeight w:val="230"/>
        </w:trPr>
        <w:tc>
          <w:tcPr>
            <w:tcW w:w="966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Change in fair value</w:t>
            </w:r>
            <w:r>
              <w:rPr>
                <w:rFonts w:ascii="Arial" w:cs="Arial" w:eastAsia="Arial" w:hAnsi="Arial"/>
                <w:sz w:val="23"/>
                <w:szCs w:val="23"/>
                <w:color w:val="auto"/>
                <w:vertAlign w:val="superscript"/>
              </w:rPr>
              <w:t>(B)</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34,506</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tabs>
          <w:tab w:leader="none" w:pos="3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Includes premiums paid on the purchased notes.</w:t>
      </w:r>
    </w:p>
    <w:p>
      <w:pPr>
        <w:spacing w:after="0" w:line="14" w:lineRule="exact"/>
        <w:rPr>
          <w:rFonts w:ascii="Arial" w:cs="Arial" w:eastAsia="Arial" w:hAnsi="Arial"/>
          <w:sz w:val="16"/>
          <w:szCs w:val="16"/>
          <w:color w:val="auto"/>
        </w:rPr>
      </w:pPr>
    </w:p>
    <w:p>
      <w:pPr>
        <w:ind w:left="340" w:hanging="332"/>
        <w:spacing w:after="0"/>
        <w:tabs>
          <w:tab w:leader="none" w:pos="3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Included in Gain on sale of loans, net in the Combined Consolidated Statements of Operations.</w:t>
      </w:r>
    </w:p>
    <w:p>
      <w:pPr>
        <w:spacing w:after="0" w:line="150"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u w:val="single" w:color="auto"/>
          <w:color w:val="auto"/>
        </w:rPr>
        <w:t>Significant Valuation Input Sensitivity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tables summarize the estimated change in fair value of assets carried at fair value and classified within Level 3 of the fair value hierarchy for the unobservable inputs in "— Significant Valuation Inputs" at December 31, 2024. Each of the following sensitivity analyses is hypothetical and is provided for illustrative purposes only. There are certain limitations inherent in the sensitivity analyses presented. In particular, the results are calculated by stressing a particular economic assumption independent of changes in any other assumption; in practice, changes in one factor may result in changes in another, which might counteract or amplify the sensitivities. Also, changes in the fair value based on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F-98</w:t>
      </w:r>
    </w:p>
    <w:p>
      <w:pPr>
        <w:sectPr>
          <w:pgSz w:w="11900" w:h="16838" w:orient="portrait"/>
          <w:cols w:equalWidth="0" w:num="1">
            <w:col w:w="11240"/>
          </w:cols>
          <w:pgMar w:left="320" w:top="229" w:right="339" w:bottom="1440" w:gutter="0" w:footer="0" w:header="0"/>
        </w:sectPr>
      </w:pPr>
    </w:p>
    <w:bookmarkStart w:id="351" w:name="page352"/>
    <w:bookmarkEnd w:id="351"/>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variations in an assumption generally may not be extrapolated because the relationship of the change in the assumption to the change in fair value may not be linear.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40" w:type="dxa"/>
            <w:vAlign w:val="bottom"/>
          </w:tcPr>
          <w:p>
            <w:pPr>
              <w:spacing w:after="0"/>
              <w:rPr>
                <w:sz w:val="17"/>
                <w:szCs w:val="17"/>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-1%</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+1%</w:t>
            </w:r>
          </w:p>
        </w:tc>
        <w:tc>
          <w:tcPr>
            <w:tcW w:w="7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w:t>
            </w:r>
          </w:p>
        </w:tc>
        <w:tc>
          <w:tcPr>
            <w:tcW w:w="740" w:type="dxa"/>
            <w:vAlign w:val="bottom"/>
            <w:tcBorders>
              <w:bottom w:val="single" w:sz="8" w:color="auto"/>
            </w:tcBorders>
          </w:tcPr>
          <w:p>
            <w:pPr>
              <w:spacing w:after="0"/>
              <w:rPr>
                <w:sz w:val="17"/>
                <w:szCs w:val="17"/>
                <w:color w:val="auto"/>
              </w:rPr>
            </w:pPr>
          </w:p>
        </w:tc>
      </w:tr>
      <w:tr>
        <w:trPr>
          <w:trHeight w:val="196"/>
        </w:trPr>
        <w:tc>
          <w:tcPr>
            <w:tcW w:w="25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w:t>
            </w:r>
          </w:p>
        </w:tc>
      </w:tr>
      <w:tr>
        <w:trPr>
          <w:trHeight w:val="197"/>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Discount Rate</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5"/>
        </w:trPr>
        <w:tc>
          <w:tcPr>
            <w:tcW w:w="2540" w:type="dxa"/>
            <w:vAlign w:val="bottom"/>
          </w:tcPr>
          <w:p>
            <w:pPr>
              <w:ind w:left="140"/>
              <w:spacing w:after="0"/>
              <w:rPr>
                <w:sz w:val="20"/>
                <w:szCs w:val="20"/>
                <w:color w:val="auto"/>
              </w:rPr>
            </w:pPr>
            <w:r>
              <w:rPr>
                <w:rFonts w:ascii="Arial" w:cs="Arial" w:eastAsia="Arial" w:hAnsi="Arial"/>
                <w:sz w:val="16"/>
                <w:szCs w:val="16"/>
                <w:i w:val="1"/>
                <w:iCs w:val="1"/>
                <w:color w:val="auto"/>
              </w:rPr>
              <w:t>Marketable Securities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7"/>
        </w:trPr>
        <w:tc>
          <w:tcPr>
            <w:tcW w:w="2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Residual interest securities</w:t>
            </w:r>
          </w:p>
        </w:tc>
        <w:tc>
          <w:tcPr>
            <w:tcW w:w="920" w:type="dxa"/>
            <w:vAlign w:val="bottom"/>
            <w:shd w:val="clear" w:color="auto" w:fill="CCEEFF"/>
          </w:tcPr>
          <w:p>
            <w:pPr>
              <w:ind w:left="420"/>
              <w:spacing w:after="0"/>
              <w:rPr>
                <w:sz w:val="20"/>
                <w:szCs w:val="20"/>
                <w:color w:val="auto"/>
              </w:rPr>
            </w:pPr>
            <w:r>
              <w:rPr>
                <w:rFonts w:ascii="Arial" w:cs="Arial" w:eastAsia="Arial" w:hAnsi="Arial"/>
                <w:sz w:val="16"/>
                <w:szCs w:val="16"/>
                <w:color w:val="auto"/>
                <w:w w:val="98"/>
              </w:rPr>
              <w:t>$1,599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15"/>
        </w:trPr>
        <w:tc>
          <w:tcPr>
            <w:tcW w:w="2540" w:type="dxa"/>
            <w:vAlign w:val="bottom"/>
          </w:tcPr>
          <w:p>
            <w:pPr>
              <w:ind w:left="140"/>
              <w:spacing w:after="0"/>
              <w:rPr>
                <w:sz w:val="20"/>
                <w:szCs w:val="20"/>
                <w:color w:val="auto"/>
              </w:rPr>
            </w:pPr>
            <w:r>
              <w:rPr>
                <w:rFonts w:ascii="Arial" w:cs="Arial" w:eastAsia="Arial" w:hAnsi="Arial"/>
                <w:sz w:val="16"/>
                <w:szCs w:val="16"/>
                <w:i w:val="1"/>
                <w:iCs w:val="1"/>
                <w:color w:val="auto"/>
              </w:rPr>
              <w:t>Servicing Assets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7"/>
        </w:trPr>
        <w:tc>
          <w:tcPr>
            <w:tcW w:w="2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HELOC loans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(5.5)</w:t>
            </w:r>
          </w:p>
        </w:tc>
      </w:tr>
      <w:tr>
        <w:trPr>
          <w:trHeight w:val="215"/>
        </w:trPr>
        <w:tc>
          <w:tcPr>
            <w:tcW w:w="2540" w:type="dxa"/>
            <w:vAlign w:val="bottom"/>
          </w:tcPr>
          <w:p>
            <w:pPr>
              <w:ind w:left="240"/>
              <w:spacing w:after="0"/>
              <w:rPr>
                <w:sz w:val="20"/>
                <w:szCs w:val="20"/>
                <w:color w:val="auto"/>
              </w:rPr>
            </w:pPr>
            <w:r>
              <w:rPr>
                <w:rFonts w:ascii="Arial" w:cs="Arial" w:eastAsia="Arial" w:hAnsi="Arial"/>
                <w:sz w:val="16"/>
                <w:szCs w:val="16"/>
                <w:color w:val="auto"/>
              </w:rPr>
              <w:t>Mortgage loans</w:t>
            </w:r>
          </w:p>
        </w:tc>
        <w:tc>
          <w:tcPr>
            <w:tcW w:w="92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120"/>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120"/>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(8.4)</w:t>
            </w:r>
          </w:p>
        </w:tc>
      </w:tr>
      <w:tr>
        <w:trPr>
          <w:trHeight w:val="217"/>
        </w:trPr>
        <w:tc>
          <w:tcPr>
            <w:tcW w:w="254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i w:val="1"/>
                <w:iCs w:val="1"/>
                <w:color w:val="auto"/>
              </w:rPr>
              <w:t>Loans Held for Sale</w:t>
            </w:r>
            <w:r>
              <w:rPr>
                <w:rFonts w:ascii="Arial" w:cs="Arial" w:eastAsia="Arial" w:hAnsi="Arial"/>
                <w:sz w:val="21"/>
                <w:szCs w:val="21"/>
                <w:i w:val="1"/>
                <w:iCs w:val="1"/>
                <w:color w:val="auto"/>
                <w:vertAlign w:val="superscript"/>
              </w:rPr>
              <w:t>(A)</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5"/>
        </w:trPr>
        <w:tc>
          <w:tcPr>
            <w:tcW w:w="2540" w:type="dxa"/>
            <w:vAlign w:val="bottom"/>
          </w:tcPr>
          <w:p>
            <w:pPr>
              <w:ind w:left="240"/>
              <w:spacing w:after="0"/>
              <w:rPr>
                <w:sz w:val="20"/>
                <w:szCs w:val="20"/>
                <w:color w:val="auto"/>
              </w:rPr>
            </w:pPr>
            <w:r>
              <w:rPr>
                <w:rFonts w:ascii="Arial" w:cs="Arial" w:eastAsia="Arial" w:hAnsi="Arial"/>
                <w:sz w:val="16"/>
                <w:szCs w:val="16"/>
                <w:color w:val="auto"/>
              </w:rPr>
              <w:t>HELOC loans</w:t>
            </w:r>
          </w:p>
        </w:tc>
        <w:tc>
          <w:tcPr>
            <w:tcW w:w="920" w:type="dxa"/>
            <w:vAlign w:val="bottom"/>
          </w:tcPr>
          <w:p>
            <w:pPr>
              <w:jc w:val="right"/>
              <w:spacing w:after="0"/>
              <w:rPr>
                <w:sz w:val="20"/>
                <w:szCs w:val="20"/>
                <w:color w:val="auto"/>
              </w:rPr>
            </w:pPr>
            <w:r>
              <w:rPr>
                <w:rFonts w:ascii="Arial" w:cs="Arial" w:eastAsia="Arial" w:hAnsi="Arial"/>
                <w:sz w:val="16"/>
                <w:szCs w:val="16"/>
                <w:color w:val="auto"/>
              </w:rPr>
              <w:t>7,804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12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12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(10,088)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(21,523)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(6.4)</w:t>
            </w:r>
          </w:p>
        </w:tc>
      </w:tr>
      <w:tr>
        <w:trPr>
          <w:trHeight w:val="487"/>
        </w:trPr>
        <w:tc>
          <w:tcPr>
            <w:tcW w:w="2540" w:type="dxa"/>
            <w:vAlign w:val="bottom"/>
          </w:tcPr>
          <w:p>
            <w:pPr>
              <w:spacing w:after="0"/>
              <w:rPr>
                <w:sz w:val="24"/>
                <w:szCs w:val="24"/>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-20%</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-10%</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+10%</w:t>
            </w: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+20%</w:t>
            </w:r>
          </w:p>
        </w:tc>
        <w:tc>
          <w:tcPr>
            <w:tcW w:w="740" w:type="dxa"/>
            <w:vAlign w:val="bottom"/>
            <w:tcBorders>
              <w:bottom w:val="single" w:sz="8" w:color="auto"/>
            </w:tcBorders>
          </w:tcPr>
          <w:p>
            <w:pPr>
              <w:spacing w:after="0"/>
              <w:rPr>
                <w:sz w:val="24"/>
                <w:szCs w:val="24"/>
                <w:color w:val="auto"/>
              </w:rPr>
            </w:pPr>
          </w:p>
        </w:tc>
      </w:tr>
      <w:tr>
        <w:trPr>
          <w:trHeight w:val="209"/>
        </w:trPr>
        <w:tc>
          <w:tcPr>
            <w:tcW w:w="25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w:t>
            </w:r>
          </w:p>
        </w:tc>
      </w:tr>
      <w:tr>
        <w:trPr>
          <w:trHeight w:val="196"/>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CPR</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5"/>
        </w:trPr>
        <w:tc>
          <w:tcPr>
            <w:tcW w:w="2540" w:type="dxa"/>
            <w:vAlign w:val="bottom"/>
          </w:tcPr>
          <w:p>
            <w:pPr>
              <w:ind w:left="140"/>
              <w:spacing w:after="0"/>
              <w:rPr>
                <w:sz w:val="20"/>
                <w:szCs w:val="20"/>
                <w:color w:val="auto"/>
              </w:rPr>
            </w:pPr>
            <w:r>
              <w:rPr>
                <w:rFonts w:ascii="Arial" w:cs="Arial" w:eastAsia="Arial" w:hAnsi="Arial"/>
                <w:sz w:val="16"/>
                <w:szCs w:val="16"/>
                <w:i w:val="1"/>
                <w:iCs w:val="1"/>
                <w:color w:val="auto"/>
              </w:rPr>
              <w:t>Marketable Securities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7"/>
        </w:trPr>
        <w:tc>
          <w:tcPr>
            <w:tcW w:w="2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Residual interest 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15"/>
        </w:trPr>
        <w:tc>
          <w:tcPr>
            <w:tcW w:w="2540" w:type="dxa"/>
            <w:vAlign w:val="bottom"/>
          </w:tcPr>
          <w:p>
            <w:pPr>
              <w:ind w:left="140"/>
              <w:spacing w:after="0"/>
              <w:rPr>
                <w:sz w:val="20"/>
                <w:szCs w:val="20"/>
                <w:color w:val="auto"/>
              </w:rPr>
            </w:pPr>
            <w:r>
              <w:rPr>
                <w:rFonts w:ascii="Arial" w:cs="Arial" w:eastAsia="Arial" w:hAnsi="Arial"/>
                <w:sz w:val="16"/>
                <w:szCs w:val="16"/>
                <w:i w:val="1"/>
                <w:iCs w:val="1"/>
                <w:color w:val="auto"/>
              </w:rPr>
              <w:t>Servicing Assets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7"/>
        </w:trPr>
        <w:tc>
          <w:tcPr>
            <w:tcW w:w="2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HELOC loans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(5.6)</w:t>
            </w:r>
          </w:p>
        </w:tc>
      </w:tr>
      <w:tr>
        <w:trPr>
          <w:trHeight w:val="215"/>
        </w:trPr>
        <w:tc>
          <w:tcPr>
            <w:tcW w:w="2540" w:type="dxa"/>
            <w:vAlign w:val="bottom"/>
          </w:tcPr>
          <w:p>
            <w:pPr>
              <w:ind w:left="240"/>
              <w:spacing w:after="0"/>
              <w:rPr>
                <w:sz w:val="20"/>
                <w:szCs w:val="20"/>
                <w:color w:val="auto"/>
              </w:rPr>
            </w:pPr>
            <w:r>
              <w:rPr>
                <w:rFonts w:ascii="Arial" w:cs="Arial" w:eastAsia="Arial" w:hAnsi="Arial"/>
                <w:sz w:val="16"/>
                <w:szCs w:val="16"/>
                <w:color w:val="auto"/>
              </w:rPr>
              <w:t>Mortgage loans</w:t>
            </w:r>
          </w:p>
        </w:tc>
        <w:tc>
          <w:tcPr>
            <w:tcW w:w="92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120"/>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12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(5.1)</w:t>
            </w:r>
          </w:p>
        </w:tc>
      </w:tr>
      <w:tr>
        <w:trPr>
          <w:trHeight w:val="217"/>
        </w:trPr>
        <w:tc>
          <w:tcPr>
            <w:tcW w:w="254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i w:val="1"/>
                <w:iCs w:val="1"/>
                <w:color w:val="auto"/>
              </w:rPr>
              <w:t>Loans Held for Sale</w:t>
            </w:r>
            <w:r>
              <w:rPr>
                <w:rFonts w:ascii="Arial" w:cs="Arial" w:eastAsia="Arial" w:hAnsi="Arial"/>
                <w:sz w:val="21"/>
                <w:szCs w:val="21"/>
                <w:i w:val="1"/>
                <w:iCs w:val="1"/>
                <w:color w:val="auto"/>
                <w:vertAlign w:val="superscript"/>
              </w:rPr>
              <w:t>(A)</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5"/>
        </w:trPr>
        <w:tc>
          <w:tcPr>
            <w:tcW w:w="2540" w:type="dxa"/>
            <w:vAlign w:val="bottom"/>
          </w:tcPr>
          <w:p>
            <w:pPr>
              <w:ind w:left="240"/>
              <w:spacing w:after="0"/>
              <w:rPr>
                <w:sz w:val="20"/>
                <w:szCs w:val="20"/>
                <w:color w:val="auto"/>
              </w:rPr>
            </w:pPr>
            <w:r>
              <w:rPr>
                <w:rFonts w:ascii="Arial" w:cs="Arial" w:eastAsia="Arial" w:hAnsi="Arial"/>
                <w:sz w:val="16"/>
                <w:szCs w:val="16"/>
                <w:color w:val="auto"/>
              </w:rPr>
              <w:t>HELOC loans</w:t>
            </w:r>
          </w:p>
        </w:tc>
        <w:tc>
          <w:tcPr>
            <w:tcW w:w="920" w:type="dxa"/>
            <w:vAlign w:val="bottom"/>
          </w:tcPr>
          <w:p>
            <w:pPr>
              <w:jc w:val="right"/>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120"/>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12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(0.2)</w:t>
            </w:r>
          </w:p>
        </w:tc>
      </w:tr>
      <w:tr>
        <w:trPr>
          <w:trHeight w:val="217"/>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CDR</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5"/>
        </w:trPr>
        <w:tc>
          <w:tcPr>
            <w:tcW w:w="2540" w:type="dxa"/>
            <w:vAlign w:val="bottom"/>
          </w:tcPr>
          <w:p>
            <w:pPr>
              <w:ind w:left="140"/>
              <w:spacing w:after="0"/>
              <w:rPr>
                <w:sz w:val="20"/>
                <w:szCs w:val="20"/>
                <w:color w:val="auto"/>
              </w:rPr>
            </w:pPr>
            <w:r>
              <w:rPr>
                <w:rFonts w:ascii="Arial" w:cs="Arial" w:eastAsia="Arial" w:hAnsi="Arial"/>
                <w:sz w:val="16"/>
                <w:szCs w:val="16"/>
                <w:i w:val="1"/>
                <w:iCs w:val="1"/>
                <w:color w:val="auto"/>
              </w:rPr>
              <w:t>Marketable Securities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7"/>
        </w:trPr>
        <w:tc>
          <w:tcPr>
            <w:tcW w:w="2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Residual interest 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(3.7)</w:t>
            </w:r>
          </w:p>
        </w:tc>
      </w:tr>
      <w:tr>
        <w:trPr>
          <w:trHeight w:val="216"/>
        </w:trPr>
        <w:tc>
          <w:tcPr>
            <w:tcW w:w="2540" w:type="dxa"/>
            <w:vAlign w:val="bottom"/>
          </w:tcPr>
          <w:p>
            <w:pPr>
              <w:ind w:left="140"/>
              <w:spacing w:after="0" w:line="216" w:lineRule="exact"/>
              <w:rPr>
                <w:sz w:val="20"/>
                <w:szCs w:val="20"/>
                <w:color w:val="auto"/>
              </w:rPr>
            </w:pPr>
            <w:r>
              <w:rPr>
                <w:rFonts w:ascii="Arial" w:cs="Arial" w:eastAsia="Arial" w:hAnsi="Arial"/>
                <w:sz w:val="16"/>
                <w:szCs w:val="16"/>
                <w:i w:val="1"/>
                <w:iCs w:val="1"/>
                <w:color w:val="auto"/>
              </w:rPr>
              <w:t>Loans Held for Sale</w:t>
            </w:r>
            <w:r>
              <w:rPr>
                <w:rFonts w:ascii="Arial" w:cs="Arial" w:eastAsia="Arial" w:hAnsi="Arial"/>
                <w:sz w:val="21"/>
                <w:szCs w:val="21"/>
                <w:i w:val="1"/>
                <w:iCs w:val="1"/>
                <w:color w:val="auto"/>
                <w:vertAlign w:val="superscript"/>
              </w:rPr>
              <w:t>(A)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HELOC loans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(0.3)</w:t>
            </w:r>
          </w:p>
        </w:tc>
      </w:tr>
      <w:tr>
        <w:trPr>
          <w:trHeight w:val="216"/>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Servicing Rate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54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Servicing Assets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5"/>
        </w:trPr>
        <w:tc>
          <w:tcPr>
            <w:tcW w:w="2540" w:type="dxa"/>
            <w:vAlign w:val="bottom"/>
          </w:tcPr>
          <w:p>
            <w:pPr>
              <w:ind w:left="240"/>
              <w:spacing w:after="0"/>
              <w:rPr>
                <w:sz w:val="20"/>
                <w:szCs w:val="20"/>
                <w:color w:val="auto"/>
              </w:rPr>
            </w:pPr>
            <w:r>
              <w:rPr>
                <w:rFonts w:ascii="Arial" w:cs="Arial" w:eastAsia="Arial" w:hAnsi="Arial"/>
                <w:sz w:val="16"/>
                <w:szCs w:val="16"/>
                <w:color w:val="auto"/>
              </w:rPr>
              <w:t>HELOC loans</w:t>
            </w:r>
          </w:p>
        </w:tc>
        <w:tc>
          <w:tcPr>
            <w:tcW w:w="920" w:type="dxa"/>
            <w:vAlign w:val="bottom"/>
          </w:tcPr>
          <w:p>
            <w:pPr>
              <w:jc w:val="right"/>
              <w:spacing w:after="0"/>
              <w:rPr>
                <w:sz w:val="20"/>
                <w:szCs w:val="20"/>
                <w:color w:val="auto"/>
              </w:rPr>
            </w:pPr>
            <w:r>
              <w:rPr>
                <w:rFonts w:ascii="Arial" w:cs="Arial" w:eastAsia="Arial" w:hAnsi="Arial"/>
                <w:sz w:val="16"/>
                <w:szCs w:val="16"/>
                <w:color w:val="auto"/>
              </w:rPr>
              <w:t>6,020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120"/>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12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(6.8)</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tabs>
          <w:tab w:leader="none" w:pos="3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Excludes non-HELOC loans as they are not considered material.</w:t>
      </w:r>
    </w:p>
    <w:p>
      <w:pPr>
        <w:spacing w:after="0" w:line="148"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Assets and Liabilities Not Measured at Fair Value on a Recurring Basis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Debt is presented at face value, net of debt issuance costs that are amortized over the contractual term using the effective interest method. The carrying value of debt associated with the warehouse facilities and MSR financing approximates the fair value due to their relatively short maturities. The carrying value of debt associated with financed retained residuals is disclosed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F-99</w:t>
      </w:r>
    </w:p>
    <w:p>
      <w:pPr>
        <w:sectPr>
          <w:pgSz w:w="11900" w:h="16838" w:orient="portrait"/>
          <w:cols w:equalWidth="0" w:num="1">
            <w:col w:w="11240"/>
          </w:cols>
          <w:pgMar w:left="320" w:top="229" w:right="339" w:bottom="1440" w:gutter="0" w:footer="0" w:header="0"/>
        </w:sectPr>
      </w:pPr>
    </w:p>
    <w:bookmarkStart w:id="352" w:name="page353"/>
    <w:bookmarkEnd w:id="352"/>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table summarizes information about the liabilities that are not measured at fair value on a recurring basis at December 31, 2024 and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2024</w:t>
            </w:r>
          </w:p>
        </w:tc>
        <w:tc>
          <w:tcPr>
            <w:tcW w:w="9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95"/>
        </w:trPr>
        <w:tc>
          <w:tcPr>
            <w:tcW w:w="4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Fair Value</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98"/>
        </w:trPr>
        <w:tc>
          <w:tcPr>
            <w:tcW w:w="4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26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7"/>
                <w:szCs w:val="17"/>
                <w:color w:val="auto"/>
              </w:rPr>
            </w:pPr>
          </w:p>
        </w:tc>
        <w:tc>
          <w:tcPr>
            <w:tcW w:w="1180" w:type="dxa"/>
            <w:vAlign w:val="bottom"/>
            <w:gridSpan w:val="2"/>
          </w:tcPr>
          <w:p>
            <w:pPr>
              <w:ind w:left="120"/>
              <w:spacing w:after="0" w:line="198" w:lineRule="exact"/>
              <w:rPr>
                <w:sz w:val="20"/>
                <w:szCs w:val="20"/>
                <w:color w:val="auto"/>
              </w:rPr>
            </w:pPr>
            <w:r>
              <w:rPr>
                <w:rFonts w:ascii="Arial" w:cs="Arial" w:eastAsia="Arial" w:hAnsi="Arial"/>
                <w:sz w:val="14"/>
                <w:szCs w:val="14"/>
                <w:b w:val="1"/>
                <w:bCs w:val="1"/>
                <w:color w:val="auto"/>
              </w:rPr>
              <w:t>Level 2</w:t>
            </w:r>
            <w:r>
              <w:rPr>
                <w:rFonts w:ascii="Arial" w:cs="Arial" w:eastAsia="Arial" w:hAnsi="Arial"/>
                <w:sz w:val="18"/>
                <w:szCs w:val="18"/>
                <w:b w:val="1"/>
                <w:bCs w:val="1"/>
                <w:color w:val="auto"/>
                <w:vertAlign w:val="superscript"/>
              </w:rPr>
              <w:t>(A)</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16"/>
              <w:spacing w:after="0"/>
              <w:rPr>
                <w:sz w:val="20"/>
                <w:szCs w:val="20"/>
                <w:color w:val="auto"/>
              </w:rPr>
            </w:pPr>
            <w:r>
              <w:rPr>
                <w:rFonts w:ascii="Arial" w:cs="Arial" w:eastAsia="Arial" w:hAnsi="Arial"/>
                <w:sz w:val="14"/>
                <w:szCs w:val="14"/>
                <w:b w:val="1"/>
                <w:bCs w:val="1"/>
                <w:color w:val="auto"/>
              </w:rPr>
              <w:t>Total</w:t>
            </w:r>
          </w:p>
        </w:tc>
      </w:tr>
      <w:tr>
        <w:trPr>
          <w:trHeight w:val="210"/>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4260" w:type="dxa"/>
            <w:vAlign w:val="bottom"/>
          </w:tcPr>
          <w:p>
            <w:pPr>
              <w:ind w:left="460"/>
              <w:spacing w:after="0"/>
              <w:rPr>
                <w:sz w:val="20"/>
                <w:szCs w:val="20"/>
                <w:color w:val="auto"/>
              </w:rPr>
            </w:pPr>
            <w:r>
              <w:rPr>
                <w:rFonts w:ascii="Arial" w:cs="Arial" w:eastAsia="Arial" w:hAnsi="Arial"/>
                <w:sz w:val="18"/>
                <w:szCs w:val="18"/>
                <w:color w:val="auto"/>
              </w:rPr>
              <w:t>Financed Retained Interests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128,101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127,327</w:t>
            </w:r>
          </w:p>
        </w:tc>
        <w:tc>
          <w:tcPr>
            <w:tcW w:w="100" w:type="dxa"/>
            <w:vAlign w:val="bottom"/>
          </w:tcPr>
          <w:p>
            <w:pPr>
              <w:spacing w:after="0"/>
              <w:rPr>
                <w:sz w:val="19"/>
                <w:szCs w:val="19"/>
                <w:color w:val="auto"/>
              </w:rPr>
            </w:pP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127,327</w:t>
            </w:r>
          </w:p>
        </w:tc>
      </w:tr>
      <w:tr>
        <w:trPr>
          <w:trHeight w:val="248"/>
        </w:trPr>
        <w:tc>
          <w:tcPr>
            <w:tcW w:w="42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127,327</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459"/>
        </w:trPr>
        <w:tc>
          <w:tcPr>
            <w:tcW w:w="4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2023</w:t>
            </w: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95"/>
        </w:trPr>
        <w:tc>
          <w:tcPr>
            <w:tcW w:w="4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Fair Value</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98"/>
        </w:trPr>
        <w:tc>
          <w:tcPr>
            <w:tcW w:w="4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26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7"/>
                <w:szCs w:val="17"/>
                <w:color w:val="auto"/>
              </w:rPr>
            </w:pPr>
          </w:p>
        </w:tc>
        <w:tc>
          <w:tcPr>
            <w:tcW w:w="1180" w:type="dxa"/>
            <w:vAlign w:val="bottom"/>
            <w:gridSpan w:val="2"/>
          </w:tcPr>
          <w:p>
            <w:pPr>
              <w:ind w:left="120"/>
              <w:spacing w:after="0" w:line="198" w:lineRule="exact"/>
              <w:rPr>
                <w:sz w:val="20"/>
                <w:szCs w:val="20"/>
                <w:color w:val="auto"/>
              </w:rPr>
            </w:pPr>
            <w:r>
              <w:rPr>
                <w:rFonts w:ascii="Arial" w:cs="Arial" w:eastAsia="Arial" w:hAnsi="Arial"/>
                <w:sz w:val="14"/>
                <w:szCs w:val="14"/>
                <w:b w:val="1"/>
                <w:bCs w:val="1"/>
                <w:color w:val="auto"/>
              </w:rPr>
              <w:t>Level 2</w:t>
            </w:r>
            <w:r>
              <w:rPr>
                <w:rFonts w:ascii="Arial" w:cs="Arial" w:eastAsia="Arial" w:hAnsi="Arial"/>
                <w:sz w:val="18"/>
                <w:szCs w:val="18"/>
                <w:b w:val="1"/>
                <w:bCs w:val="1"/>
                <w:color w:val="auto"/>
                <w:vertAlign w:val="superscript"/>
              </w:rPr>
              <w:t>(A)</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16"/>
              <w:spacing w:after="0"/>
              <w:rPr>
                <w:sz w:val="20"/>
                <w:szCs w:val="20"/>
                <w:color w:val="auto"/>
              </w:rPr>
            </w:pPr>
            <w:r>
              <w:rPr>
                <w:rFonts w:ascii="Arial" w:cs="Arial" w:eastAsia="Arial" w:hAnsi="Arial"/>
                <w:sz w:val="14"/>
                <w:szCs w:val="14"/>
                <w:b w:val="1"/>
                <w:bCs w:val="1"/>
                <w:color w:val="auto"/>
              </w:rPr>
              <w:t>Total</w:t>
            </w:r>
          </w:p>
        </w:tc>
      </w:tr>
      <w:tr>
        <w:trPr>
          <w:trHeight w:val="209"/>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4260" w:type="dxa"/>
            <w:vAlign w:val="bottom"/>
          </w:tcPr>
          <w:p>
            <w:pPr>
              <w:ind w:left="460"/>
              <w:spacing w:after="0"/>
              <w:rPr>
                <w:sz w:val="20"/>
                <w:szCs w:val="20"/>
                <w:color w:val="auto"/>
              </w:rPr>
            </w:pPr>
            <w:r>
              <w:rPr>
                <w:rFonts w:ascii="Arial" w:cs="Arial" w:eastAsia="Arial" w:hAnsi="Arial"/>
                <w:sz w:val="18"/>
                <w:szCs w:val="18"/>
                <w:color w:val="auto"/>
              </w:rPr>
              <w:t>Financed Retained Interests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25,048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24,667</w:t>
            </w:r>
          </w:p>
        </w:tc>
        <w:tc>
          <w:tcPr>
            <w:tcW w:w="100" w:type="dxa"/>
            <w:vAlign w:val="bottom"/>
          </w:tcPr>
          <w:p>
            <w:pPr>
              <w:spacing w:after="0"/>
              <w:rPr>
                <w:sz w:val="19"/>
                <w:szCs w:val="19"/>
                <w:color w:val="auto"/>
              </w:rPr>
            </w:pP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24,667</w:t>
            </w:r>
          </w:p>
        </w:tc>
      </w:tr>
      <w:tr>
        <w:trPr>
          <w:trHeight w:val="248"/>
        </w:trPr>
        <w:tc>
          <w:tcPr>
            <w:tcW w:w="42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24,667</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340" w:hanging="332"/>
        <w:spacing w:after="0" w:line="270" w:lineRule="auto"/>
        <w:tabs>
          <w:tab w:leader="none" w:pos="3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fair value of financed retained interests was classified as Level 2 and valued using a discounted cash flow model, with key inputs relating to the underlying contractual coupons, terms, discount rate and expectations for defaults and prepayments.</w:t>
      </w:r>
    </w:p>
    <w:p>
      <w:pPr>
        <w:spacing w:after="0" w:line="111" w:lineRule="exact"/>
        <w:rPr>
          <w:rFonts w:ascii="Arial" w:cs="Arial" w:eastAsia="Arial" w:hAnsi="Arial"/>
          <w:sz w:val="16"/>
          <w:szCs w:val="16"/>
          <w:color w:val="auto"/>
        </w:rPr>
      </w:pPr>
    </w:p>
    <w:p>
      <w:pPr>
        <w:ind w:left="340" w:right="6120"/>
        <w:spacing w:after="0" w:line="437" w:lineRule="auto"/>
        <w:rPr>
          <w:rFonts w:ascii="Arial" w:cs="Arial" w:eastAsia="Arial" w:hAnsi="Arial"/>
          <w:sz w:val="16"/>
          <w:szCs w:val="16"/>
          <w:color w:val="auto"/>
        </w:rPr>
      </w:pPr>
      <w:r>
        <w:rPr>
          <w:rFonts w:ascii="Arial" w:cs="Arial" w:eastAsia="Arial" w:hAnsi="Arial"/>
          <w:sz w:val="18"/>
          <w:szCs w:val="18"/>
          <w:b w:val="1"/>
          <w:bCs w:val="1"/>
          <w:i w:val="1"/>
          <w:iCs w:val="1"/>
          <w:color w:val="auto"/>
        </w:rPr>
        <w:t xml:space="preserve">Assets Measured at Fair Value on a Non-recurring Basis </w:t>
      </w:r>
      <w:r>
        <w:rPr>
          <w:rFonts w:ascii="Arial" w:cs="Arial" w:eastAsia="Arial" w:hAnsi="Arial"/>
          <w:sz w:val="18"/>
          <w:szCs w:val="18"/>
          <w:u w:val="single" w:color="auto"/>
          <w:color w:val="auto"/>
        </w:rPr>
        <w:t>Digital Assets</w:t>
      </w:r>
    </w:p>
    <w:p>
      <w:pPr>
        <w:jc w:val="both"/>
        <w:ind w:firstLine="324"/>
        <w:spacing w:after="0" w:line="257" w:lineRule="auto"/>
        <w:rPr>
          <w:sz w:val="20"/>
          <w:szCs w:val="20"/>
          <w:color w:val="auto"/>
        </w:rPr>
      </w:pPr>
      <w:r>
        <w:rPr>
          <w:rFonts w:ascii="Arial" w:cs="Arial" w:eastAsia="Arial" w:hAnsi="Arial"/>
          <w:sz w:val="18"/>
          <w:szCs w:val="18"/>
          <w:color w:val="auto"/>
        </w:rPr>
        <w:t>The Company held Hash at cost of $1.5 million at December 31, 2024 as intangible assets presented within Digital Assets in the Combined Consolidated Balance Sheets. During the year ended December 31, 2024, the Company recognized an impairment of $5.9 million in Other income (expense), net in the Combined Consolidated Statements of Operations. The Company determined an impairment indicator existed upon performing a valuation, with the assistance of a third-party specialist, of Hash in connection to the Reorganization. Therefore the Company recognized an impairment equal to the difference between the fair value and costs basis. The Company did not record any impairment for the year ended December 31, 2023.</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files two separate consolidated federal income tax returns for FTI and Markets.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provision for income taxes is included in the Income Tax Provision in the Combined Consolidated Statements of Operations. The following table details the Company’s income tax provision for the years ended December 31, 2024 and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Federal</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State</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3"/>
        </w:trPr>
        <w:tc>
          <w:tcPr>
            <w:tcW w:w="7980" w:type="dxa"/>
            <w:vAlign w:val="bottom"/>
          </w:tcPr>
          <w:p>
            <w:pPr>
              <w:ind w:left="240"/>
              <w:spacing w:after="0" w:line="223" w:lineRule="exact"/>
              <w:rPr>
                <w:sz w:val="20"/>
                <w:szCs w:val="20"/>
                <w:color w:val="auto"/>
              </w:rPr>
            </w:pPr>
            <w:r>
              <w:rPr>
                <w:rFonts w:ascii="Arial" w:cs="Arial" w:eastAsia="Arial" w:hAnsi="Arial"/>
                <w:sz w:val="18"/>
                <w:szCs w:val="18"/>
                <w:color w:val="auto"/>
              </w:rPr>
              <w:t>Total current</w:t>
            </w:r>
            <w:r>
              <w:rPr>
                <w:rFonts w:ascii="Arial" w:cs="Arial" w:eastAsia="Arial" w:hAnsi="Arial"/>
                <w:sz w:val="23"/>
                <w:szCs w:val="23"/>
                <w:color w:val="auto"/>
                <w:vertAlign w:val="superscript"/>
              </w:rPr>
              <w:t>(A)</w:t>
            </w: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 The deferred tax component of the Company’s income tax provision is fully reserved in the valuation allowance.</w:t>
      </w:r>
    </w:p>
    <w:p>
      <w:pPr>
        <w:spacing w:after="0" w:line="15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Company’s income tax provision for the years ended December 31, 2024 and 2023 is $2.2 million and $0.1 million, respectively. The income tax expense in the current year is due to overall profits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F-100</w:t>
      </w:r>
    </w:p>
    <w:p>
      <w:pPr>
        <w:sectPr>
          <w:pgSz w:w="11900" w:h="16838" w:orient="portrait"/>
          <w:cols w:equalWidth="0" w:num="1">
            <w:col w:w="11240"/>
          </w:cols>
          <w:pgMar w:left="320" w:top="229" w:right="339" w:bottom="1440" w:gutter="0" w:footer="0" w:header="0"/>
          <w:type w:val="continuous"/>
        </w:sectPr>
      </w:pPr>
    </w:p>
    <w:bookmarkStart w:id="353" w:name="page354"/>
    <w:bookmarkEnd w:id="353"/>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of FTI for which we are not able to fully offset by net operating losses due to restricted usage pursuant to the Tax Cuts and Jobs Act of 2017.</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Rate Reconciliation</w:t>
      </w:r>
    </w:p>
    <w:p>
      <w:pPr>
        <w:spacing w:after="0" w:line="16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table is a reconciliation of the income taxes expected at the statutory federal income tax rate and income tax provision (benefit) for the years ended December 31, 2024 and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r>
      <w:tr>
        <w:trPr>
          <w:trHeight w:val="196"/>
        </w:trPr>
        <w:tc>
          <w:tcPr>
            <w:tcW w:w="77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2023</w:t>
            </w:r>
          </w:p>
        </w:tc>
      </w:tr>
      <w:tr>
        <w:trPr>
          <w:trHeight w:val="224"/>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at federal statutory rate</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7760" w:type="dxa"/>
            <w:vAlign w:val="bottom"/>
          </w:tcPr>
          <w:p>
            <w:pPr>
              <w:ind w:left="240"/>
              <w:spacing w:after="0"/>
              <w:rPr>
                <w:sz w:val="20"/>
                <w:szCs w:val="20"/>
                <w:color w:val="auto"/>
              </w:rPr>
            </w:pPr>
            <w:r>
              <w:rPr>
                <w:rFonts w:ascii="Arial" w:cs="Arial" w:eastAsia="Arial" w:hAnsi="Arial"/>
                <w:sz w:val="18"/>
                <w:szCs w:val="18"/>
                <w:color w:val="auto"/>
              </w:rPr>
              <w:t>State tax, net of federal benefit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0.4</w:t>
            </w:r>
          </w:p>
        </w:tc>
      </w:tr>
      <w:tr>
        <w:trPr>
          <w:trHeight w:val="230"/>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Permanent items</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tcPr>
          <w:p>
            <w:pPr>
              <w:ind w:left="240"/>
              <w:spacing w:after="0"/>
              <w:rPr>
                <w:sz w:val="20"/>
                <w:szCs w:val="20"/>
                <w:color w:val="auto"/>
              </w:rPr>
            </w:pPr>
            <w:r>
              <w:rPr>
                <w:rFonts w:ascii="Arial" w:cs="Arial" w:eastAsia="Arial" w:hAnsi="Arial"/>
                <w:sz w:val="18"/>
                <w:szCs w:val="18"/>
                <w:color w:val="auto"/>
              </w:rPr>
              <w:t>Change in valuation allowance</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(0.2)</w:t>
            </w:r>
          </w:p>
        </w:tc>
      </w:tr>
      <w:tr>
        <w:trPr>
          <w:trHeight w:val="229"/>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 compensation</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w:t>
            </w: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color w:val="auto"/>
              </w:rPr>
              <w:t>Tax credits</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(4.1)</w:t>
            </w:r>
          </w:p>
        </w:tc>
      </w:tr>
      <w:tr>
        <w:trPr>
          <w:trHeight w:val="229"/>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Return to provision</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(15.1)</w:t>
            </w: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color w:val="auto"/>
              </w:rPr>
              <w:t>Rate change / state deferred adjustments</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unrecognized tax benefits</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451"/>
        </w:trPr>
        <w:tc>
          <w:tcPr>
            <w:tcW w:w="9660" w:type="dxa"/>
            <w:vAlign w:val="bottom"/>
            <w:gridSpan w:val="7"/>
          </w:tcPr>
          <w:p>
            <w:pPr>
              <w:ind w:left="340"/>
              <w:spacing w:after="0"/>
              <w:rPr>
                <w:sz w:val="20"/>
                <w:szCs w:val="20"/>
                <w:color w:val="auto"/>
              </w:rPr>
            </w:pPr>
            <w:r>
              <w:rPr>
                <w:rFonts w:ascii="Arial" w:cs="Arial" w:eastAsia="Arial" w:hAnsi="Arial"/>
                <w:sz w:val="18"/>
                <w:szCs w:val="18"/>
                <w:color w:val="auto"/>
              </w:rPr>
              <w:t>The components of the Company's deferred tax assets and liabilities at December 31, 2024 and 2023 are as follows:</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86"/>
        </w:trPr>
        <w:tc>
          <w:tcPr>
            <w:tcW w:w="7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24"/>
                <w:szCs w:val="24"/>
                <w:color w:val="auto"/>
              </w:rPr>
            </w:pPr>
          </w:p>
        </w:tc>
      </w:tr>
      <w:tr>
        <w:trPr>
          <w:trHeight w:val="196"/>
        </w:trPr>
        <w:tc>
          <w:tcPr>
            <w:tcW w:w="77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r>
      <w:tr>
        <w:trPr>
          <w:trHeight w:val="21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7760" w:type="dxa"/>
            <w:vAlign w:val="bottom"/>
          </w:tcPr>
          <w:p>
            <w:pPr>
              <w:ind w:left="460"/>
              <w:spacing w:after="0"/>
              <w:rPr>
                <w:sz w:val="20"/>
                <w:szCs w:val="20"/>
                <w:color w:val="auto"/>
              </w:rPr>
            </w:pPr>
            <w:r>
              <w:rPr>
                <w:rFonts w:ascii="Arial" w:cs="Arial" w:eastAsia="Arial" w:hAnsi="Arial"/>
                <w:sz w:val="18"/>
                <w:szCs w:val="18"/>
                <w:color w:val="auto"/>
              </w:rPr>
              <w:t>Net operating losses</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59,423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63,193</w:t>
            </w:r>
          </w:p>
        </w:tc>
      </w:tr>
      <w:tr>
        <w:trPr>
          <w:trHeight w:val="229"/>
        </w:trPr>
        <w:tc>
          <w:tcPr>
            <w:tcW w:w="7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Tax credits</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30"/>
        </w:trPr>
        <w:tc>
          <w:tcPr>
            <w:tcW w:w="7760" w:type="dxa"/>
            <w:vAlign w:val="bottom"/>
          </w:tcPr>
          <w:p>
            <w:pPr>
              <w:ind w:left="460"/>
              <w:spacing w:after="0"/>
              <w:rPr>
                <w:sz w:val="20"/>
                <w:szCs w:val="20"/>
                <w:color w:val="auto"/>
              </w:rPr>
            </w:pPr>
            <w:r>
              <w:rPr>
                <w:rFonts w:ascii="Arial" w:cs="Arial" w:eastAsia="Arial" w:hAnsi="Arial"/>
                <w:sz w:val="18"/>
                <w:szCs w:val="18"/>
                <w:color w:val="auto"/>
              </w:rPr>
              <w:t>Loan sale indemnification reserve</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1,520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30"/>
        </w:trPr>
        <w:tc>
          <w:tcPr>
            <w:tcW w:w="7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w:t>
            </w:r>
          </w:p>
        </w:tc>
      </w:tr>
      <w:tr>
        <w:trPr>
          <w:trHeight w:val="230"/>
        </w:trPr>
        <w:tc>
          <w:tcPr>
            <w:tcW w:w="7760" w:type="dxa"/>
            <w:vAlign w:val="bottom"/>
          </w:tcPr>
          <w:p>
            <w:pPr>
              <w:ind w:left="46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5,334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1,425</w:t>
            </w:r>
          </w:p>
        </w:tc>
      </w:tr>
      <w:tr>
        <w:trPr>
          <w:trHeight w:val="229"/>
        </w:trPr>
        <w:tc>
          <w:tcPr>
            <w:tcW w:w="7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Research and development capitalization</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12,797</w:t>
            </w:r>
          </w:p>
        </w:tc>
      </w:tr>
      <w:tr>
        <w:trPr>
          <w:trHeight w:val="230"/>
        </w:trPr>
        <w:tc>
          <w:tcPr>
            <w:tcW w:w="7760" w:type="dxa"/>
            <w:vAlign w:val="bottom"/>
          </w:tcPr>
          <w:p>
            <w:pPr>
              <w:ind w:left="460"/>
              <w:spacing w:after="0"/>
              <w:rPr>
                <w:sz w:val="20"/>
                <w:szCs w:val="20"/>
                <w:color w:val="auto"/>
              </w:rPr>
            </w:pPr>
            <w:r>
              <w:rPr>
                <w:rFonts w:ascii="Arial" w:cs="Arial" w:eastAsia="Arial" w:hAnsi="Arial"/>
                <w:sz w:val="18"/>
                <w:szCs w:val="18"/>
                <w:color w:val="auto"/>
              </w:rPr>
              <w:t>Lease liabilities</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1,396</w:t>
            </w:r>
          </w:p>
        </w:tc>
      </w:tr>
      <w:tr>
        <w:trPr>
          <w:trHeight w:val="230"/>
        </w:trPr>
        <w:tc>
          <w:tcPr>
            <w:tcW w:w="7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r>
      <w:tr>
        <w:trPr>
          <w:trHeight w:val="223"/>
        </w:trPr>
        <w:tc>
          <w:tcPr>
            <w:tcW w:w="7760" w:type="dxa"/>
            <w:vAlign w:val="bottom"/>
          </w:tcPr>
          <w:p>
            <w:pPr>
              <w:ind w:left="240"/>
              <w:spacing w:after="0"/>
              <w:rPr>
                <w:sz w:val="20"/>
                <w:szCs w:val="20"/>
                <w:color w:val="auto"/>
              </w:rPr>
            </w:pPr>
            <w:r>
              <w:rPr>
                <w:rFonts w:ascii="Arial" w:cs="Arial" w:eastAsia="Arial" w:hAnsi="Arial"/>
                <w:sz w:val="18"/>
                <w:szCs w:val="18"/>
                <w:color w:val="auto"/>
              </w:rPr>
              <w:t>Total deferred tax assets</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95,822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85,900</w:t>
            </w:r>
          </w:p>
        </w:tc>
      </w:tr>
      <w:tr>
        <w:trPr>
          <w:trHeight w:val="230"/>
        </w:trPr>
        <w:tc>
          <w:tcPr>
            <w:tcW w:w="7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(69,608)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(71,129)</w:t>
            </w:r>
          </w:p>
        </w:tc>
      </w:tr>
      <w:tr>
        <w:trPr>
          <w:trHeight w:val="223"/>
        </w:trPr>
        <w:tc>
          <w:tcPr>
            <w:tcW w:w="77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26,214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14,771</w:t>
            </w:r>
          </w:p>
        </w:tc>
      </w:tr>
      <w:tr>
        <w:trPr>
          <w:trHeight w:val="250"/>
        </w:trPr>
        <w:tc>
          <w:tcPr>
            <w:tcW w:w="7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7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Servicing asset</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13,517</w:t>
            </w:r>
          </w:p>
        </w:tc>
      </w:tr>
      <w:tr>
        <w:trPr>
          <w:trHeight w:val="230"/>
        </w:trPr>
        <w:tc>
          <w:tcPr>
            <w:tcW w:w="7760" w:type="dxa"/>
            <w:vAlign w:val="bottom"/>
          </w:tcPr>
          <w:p>
            <w:pPr>
              <w:ind w:left="460"/>
              <w:spacing w:after="0" w:line="230" w:lineRule="exact"/>
              <w:rPr>
                <w:sz w:val="20"/>
                <w:szCs w:val="20"/>
                <w:color w:val="auto"/>
              </w:rPr>
            </w:pPr>
            <w:r>
              <w:rPr>
                <w:rFonts w:ascii="Arial" w:cs="Arial" w:eastAsia="Arial" w:hAnsi="Arial"/>
                <w:sz w:val="18"/>
                <w:szCs w:val="18"/>
                <w:color w:val="auto"/>
              </w:rPr>
              <w:t>Unrealized gains (losses)</w:t>
            </w:r>
            <w:r>
              <w:rPr>
                <w:rFonts w:ascii="Arial" w:cs="Arial" w:eastAsia="Arial" w:hAnsi="Arial"/>
                <w:sz w:val="23"/>
                <w:szCs w:val="23"/>
                <w:color w:val="auto"/>
                <w:vertAlign w:val="superscript"/>
              </w:rPr>
              <w:t>(A)</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2,621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ROU assets</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r>
      <w:tr>
        <w:trPr>
          <w:trHeight w:val="223"/>
        </w:trPr>
        <w:tc>
          <w:tcPr>
            <w:tcW w:w="77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deferred tax liabilities</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26,214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14,771</w:t>
            </w:r>
          </w:p>
        </w:tc>
      </w:tr>
      <w:tr>
        <w:trPr>
          <w:trHeight w:val="248"/>
        </w:trPr>
        <w:tc>
          <w:tcPr>
            <w:tcW w:w="7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deferred tax assets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 Primarily relates to unrealized gains from digital assets held for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F-101</w:t>
      </w:r>
    </w:p>
    <w:p>
      <w:pPr>
        <w:sectPr>
          <w:pgSz w:w="11900" w:h="16838" w:orient="portrait"/>
          <w:cols w:equalWidth="0" w:num="1">
            <w:col w:w="11240"/>
          </w:cols>
          <w:pgMar w:left="320" w:top="229" w:right="339" w:bottom="1440" w:gutter="0" w:footer="0" w:header="0"/>
        </w:sectPr>
      </w:pPr>
    </w:p>
    <w:bookmarkStart w:id="354" w:name="page355"/>
    <w:bookmarkEnd w:id="354"/>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Based on available objective evidence, management believes it is more-likely-than-not that our deferred tax assets may not be realizable as of the balance sheet date. Accordingly, the Company has recorded a valuation allowance on deferred tax assets in excess of deferred tax liabilities. The Company continues to establish a full valuation allowance against its net deferred tax assets. The change in valuation allowance during December 31, 2024 decreased by $1.5 million. At December 31, 2024 and 2023, the valuation allowance was $69.6 million and $71.1 million, respectively.</w:t>
      </w:r>
    </w:p>
    <w:p>
      <w:pPr>
        <w:spacing w:after="0" w:line="1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For the years ended December 31, 2024 and 2023, the Company has net operating losses for U.S. federal and state tax purposes of approximately $221.9 million and $176.6 million, respectively. Federal tax losses will carryforward indefinitely. For state purposes, such losses would begin to expire in 2029.</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 ended December 31, 2024 and 2023, the Company has federal and state research tax credit carryforwards of $5.7 million and $0.2 million, respectively. The federal credits have a 20-year carryforward period and will begin to expire in 2038 and the state credits may be carried forward indefinitely. The Company is performing an R&amp;D tax credit study in connection with the filing of its 2024 federal income tax return, but has not completed the study before the Company's Combined Consolidated Financial Statements were available to be issued.</w:t>
      </w:r>
    </w:p>
    <w:p>
      <w:pPr>
        <w:spacing w:after="0" w:line="1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Company's ability to utilize the net operating loss in the future may be subject to substantial restrictions in the event of past or future ownership changes as defined in Section 382 of the Internal Revenue Code and similar state tax laws.</w:t>
      </w:r>
    </w:p>
    <w:p>
      <w:pPr>
        <w:spacing w:after="0" w:line="9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recognizes a tax benefit from an uncertain tax position when it is more likely than not that the position will be sustained upon examination, including resolutions of any related appeals or litigation processes, based on the technical merits. Income tax positions must meet a more-likely-than-not recognition at the effective date to be recognized. At December 31, 2024 and 2023, the unrecognized tax benefits recorded were approximately $3.0 million and $0.1 million, respectively. The unrecognized tax benefits are netted against the respective deferred tax assets. The Company does not anticipate a significant change in the unrecognized tax benefits within the next 12 months.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amounts of unrecognized tax benefit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2023</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at beginning of year</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Increases related to current year tax positions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Increases related to prior year tax positions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Unrecognized tax benefits at end of year</w:t>
            </w: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7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None of the unrecognized tax benefits would affect the Company's effective tax rate if these amounts are recognized due to our full valuation allowance.</w:t>
      </w:r>
    </w:p>
    <w:p>
      <w:pPr>
        <w:spacing w:after="0" w:line="99"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The Company’s operations and resulting income taxes are calculated as if the Company filed a combined separate federal income tax return. All tax years since inception are subject to examination by tax authorities. The Company is currently not under examination by any federal or state jurisdiction.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following events occurred subsequent to December 31, 2024 through April 7, 2025, the date at which the Company's Combined Consolidated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F-102</w:t>
      </w:r>
    </w:p>
    <w:p>
      <w:pPr>
        <w:sectPr>
          <w:pgSz w:w="11900" w:h="16838" w:orient="portrait"/>
          <w:cols w:equalWidth="0" w:num="1">
            <w:col w:w="11240"/>
          </w:cols>
          <w:pgMar w:left="320" w:top="229" w:right="339" w:bottom="1440" w:gutter="0" w:footer="0" w:header="0"/>
        </w:sectPr>
      </w:pPr>
    </w:p>
    <w:bookmarkStart w:id="355" w:name="page356"/>
    <w:bookmarkEnd w:id="355"/>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Amendment to Warehouse Facility 4</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On January 29, 2025, the Company amended Warehouse Facility 4 to adjust the maximum borrowings available to be issued through the facility of $335.3 million and extend the maturity date to January 2026.</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Digital Asset Loan Facility Agreement</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April 3, 2025, Figure Markets Credit LLC (“FMC”) executed a Master Participation Agreement with an asset management firm that allows FMC to grant 100% participation interest for digital asset backed loans owned by FMC. An initial facility size of $30.0 million was established, with the ability to increase to a maximum facility size of $ 50.0 million. The facility bears interest at a rate of 13.5%, has a scheduled termination date in April 2026, after which the purchase period will close and the facility matures in October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F-103</w:t>
      </w:r>
    </w:p>
    <w:p>
      <w:pPr>
        <w:sectPr>
          <w:pgSz w:w="11900" w:h="16838" w:orient="portrait"/>
          <w:cols w:equalWidth="0" w:num="1">
            <w:col w:w="11240"/>
          </w:cols>
          <w:pgMar w:left="320" w:top="229" w:right="339" w:bottom="1440" w:gutter="0" w:footer="0" w:header="0"/>
        </w:sectPr>
      </w:pPr>
    </w:p>
    <w:bookmarkStart w:id="356" w:name="page357"/>
    <w:bookmarkEnd w:id="3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1245870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1203325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252095</wp:posOffset>
            </wp:positionV>
            <wp:extent cx="2057400" cy="436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5740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FT Intermediate,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551815</wp:posOffset>
            </wp:positionV>
            <wp:extent cx="15170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tabs>
          <w:tab w:leader="none" w:pos="5120" w:val="left"/>
          <w:tab w:leader="none" w:pos="932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Jefferies</w:t>
      </w:r>
      <w:r>
        <w:rPr>
          <w:sz w:val="20"/>
          <w:szCs w:val="20"/>
          <w:color w:val="auto"/>
        </w:rPr>
        <w:tab/>
      </w:r>
      <w:r>
        <w:rPr>
          <w:rFonts w:ascii="Arial" w:cs="Arial" w:eastAsia="Arial" w:hAnsi="Arial"/>
          <w:sz w:val="25"/>
          <w:szCs w:val="25"/>
          <w:b w:val="1"/>
          <w:bCs w:val="1"/>
          <w:color w:val="auto"/>
        </w:rPr>
        <w:t>BofA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219075</wp:posOffset>
            </wp:positionV>
            <wp:extent cx="10369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b w:val="1"/>
          <w:bCs w:val="1"/>
          <w:color w:val="auto"/>
        </w:rPr>
        <w:t>Through and including , 2025 (the 25</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xml:space="preserve">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80" w:type="dxa"/>
            <w:vAlign w:val="bottom"/>
          </w:tcPr>
          <w:p>
            <w:pPr>
              <w:ind w:left="4400"/>
              <w:spacing w:after="0"/>
              <w:rPr>
                <w:sz w:val="20"/>
                <w:szCs w:val="20"/>
                <w:color w:val="auto"/>
              </w:rPr>
            </w:pPr>
            <w:r>
              <w:rPr>
                <w:rFonts w:ascii="Arial" w:cs="Arial" w:eastAsia="Arial" w:hAnsi="Arial"/>
                <w:sz w:val="18"/>
                <w:szCs w:val="18"/>
                <w:color w:val="auto"/>
              </w:rPr>
              <w:t>Prospectus dated</w:t>
            </w:r>
          </w:p>
        </w:tc>
        <w:tc>
          <w:tcPr>
            <w:tcW w:w="5160" w:type="dxa"/>
            <w:vAlign w:val="bottom"/>
          </w:tcPr>
          <w:p>
            <w:pPr>
              <w:jc w:val="right"/>
              <w:ind w:right="4310"/>
              <w:spacing w:after="0"/>
              <w:rPr>
                <w:sz w:val="20"/>
                <w:szCs w:val="20"/>
                <w:color w:val="auto"/>
              </w:rPr>
            </w:pPr>
            <w:r>
              <w:rPr>
                <w:rFonts w:ascii="Arial" w:cs="Arial" w:eastAsia="Arial" w:hAnsi="Arial"/>
                <w:sz w:val="18"/>
                <w:szCs w:val="18"/>
                <w:color w:val="auto"/>
              </w:rPr>
              <w:t>, 2025</w:t>
            </w:r>
          </w:p>
        </w:tc>
      </w:tr>
      <w:tr>
        <w:trPr>
          <w:trHeight w:val="192"/>
        </w:trPr>
        <w:tc>
          <w:tcPr>
            <w:tcW w:w="608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tcPr>
          <w:p>
            <w:pPr>
              <w:spacing w:after="0"/>
              <w:rPr>
                <w:sz w:val="16"/>
                <w:szCs w:val="16"/>
                <w:color w:val="auto"/>
              </w:rPr>
            </w:pPr>
          </w:p>
        </w:tc>
      </w:tr>
      <w:tr>
        <w:trPr>
          <w:trHeight w:val="40"/>
        </w:trPr>
        <w:tc>
          <w:tcPr>
            <w:tcW w:w="6080" w:type="dxa"/>
            <w:vAlign w:val="bottom"/>
            <w:tcBorders>
              <w:bottom w:val="single" w:sz="8" w:color="auto"/>
            </w:tcBorders>
          </w:tcPr>
          <w:p>
            <w:pPr>
              <w:spacing w:after="0"/>
              <w:rPr>
                <w:sz w:val="3"/>
                <w:szCs w:val="3"/>
                <w:color w:val="auto"/>
              </w:rPr>
            </w:pPr>
          </w:p>
        </w:tc>
        <w:tc>
          <w:tcPr>
            <w:tcW w:w="5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440" w:right="339" w:bottom="1440" w:gutter="0" w:footer="0" w:header="0"/>
        </w:sectPr>
      </w:pPr>
    </w:p>
    <w:bookmarkStart w:id="357" w:name="page358"/>
    <w:bookmarkEnd w:id="357"/>
    <w:p>
      <w:pPr>
        <w:spacing w:after="0" w:line="13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following table sets forth all expenses to be paid by us in connection with this registration statement and the listing of our Class A common stock, other than underwriting discounts and commissions. All amounts shown are estimates except for the SEC registration fee, the FINRA filing fee, and the exchange listing fee.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 exchange listing fee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Accounting fees and expenses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Transfer agent and registrar fees and expenses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Miscellaneous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20" w:hanging="312"/>
        <w:spacing w:after="0"/>
        <w:tabs>
          <w:tab w:leader="none" w:pos="32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To be provided by amendment.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 Paid or to be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Paid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8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93" w:lineRule="exact"/>
        <w:rPr>
          <w:sz w:val="20"/>
          <w:szCs w:val="20"/>
          <w:color w:val="auto"/>
        </w:rPr>
      </w:pPr>
    </w:p>
    <w:p>
      <w:pPr>
        <w:sectPr>
          <w:pgSz w:w="11900" w:h="16838" w:orient="portrait"/>
          <w:cols w:equalWidth="0" w:num="2">
            <w:col w:w="8940" w:space="720"/>
            <w:col w:w="1580"/>
          </w:cols>
          <w:pgMar w:left="320" w:top="1440" w:right="339" w:bottom="1440" w:gutter="0" w:footer="0" w:header="0"/>
          <w:type w:val="continuous"/>
        </w:sectPr>
      </w:pPr>
    </w:p>
    <w:p>
      <w:pPr>
        <w:jc w:val="both"/>
        <w:ind w:firstLine="324"/>
        <w:spacing w:after="0" w:line="257" w:lineRule="auto"/>
        <w:rPr>
          <w:sz w:val="20"/>
          <w:szCs w:val="20"/>
          <w:color w:val="auto"/>
        </w:rPr>
      </w:pPr>
      <w:r>
        <w:rPr>
          <w:rFonts w:ascii="Arial" w:cs="Arial" w:eastAsia="Arial" w:hAnsi="Arial"/>
          <w:sz w:val="18"/>
          <w:szCs w:val="18"/>
          <w:color w:val="auto"/>
        </w:rPr>
        <w:t>NRS 78.138 provides that, subject to certain exceptions under Nevada law, unless the articles of incorporation or an amendment thereto provides for greater individual liability, a director or officer is not individually liable to a corporation or its stockholders or creditors for any damages as a result of any act or failure to act in his or her capacity as a director or officer unless the presumption of the business judgment rule set forth in NRS 78.138(3) has been rebutted and it is proven that (i) the director’s or officer’s act or failure to act constituted a breach of his or her fiduciary duties as a director or officer and (ii) the breach of those duties involved intentional misconduct, fraud or a knowing violation of law.</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NRS 78.7502 provides, in general, that a corporation may indemnify, pursuant to that statutory mechanism, any person who was or is a party or is threatened to be made a party to any threatened, pending or completed action, suit or proceeding, whether civil, criminal, administrative or investigative, except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 company, against expenses, including attorneys’ fees, judgments, fines and amounts paid in settlement actually and reasonably incurred by the person in connection with the action, suit or proceeding if the person is not liable pursuant to NRS 78.138 or acted in good faith and in a manner which he or she reasonably believed to be in or not opposed to the best interests of the corporation, and, with respect to any criminal action or proceeding, had no reasonable cause to believe the conduct was unlawful.</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NRS 78.7502 also provides, in general, that a corporation may indemnify, pursuant to that statutory mechanism,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1440" w:right="339" w:bottom="1440" w:gutter="0" w:footer="0" w:header="0"/>
          <w:type w:val="continuous"/>
        </w:sectPr>
      </w:pPr>
    </w:p>
    <w:bookmarkStart w:id="358" w:name="page359"/>
    <w:bookmarkEnd w:id="358"/>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company, against expenses, including amounts paid in settlement and attorneys’ fees actually and reasonably incurred by the person in connection with the defense or settlement of the action or suit if the person is not liable pursuant to NRS 78.138 or acted in good faith and in a manner which he or she reasonably believed to be in or not opposed to the best interests of the corporation; provided, however, that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13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Any indemnification pursuant to the statutory mechanism provided under NRS 78.7502, as described above, unless ordered by a court or advanced pursuant to NRS 78.751(2), may be made by the corporation only as authorized in the specific case upon a determination that indemnification of the director, officer, employee or agent is proper in the circumstances. The determination must be made: (a) by the stockholders; (b) by the board of directors by majority vote of a quorum consisting of directors who were not parties to the action, suit or proceeding; (c) if a majority vote of a quorum consisting of directors who were not parties to the action, suit or proceeding so orders, by independent legal counsel in a written opinion; or (d) if a quorum consisting of directors who were not parties to the action, suit or proceeding cannot be obtained, by independent legal counsel in a written opinion.</w:t>
      </w:r>
    </w:p>
    <w:p>
      <w:pPr>
        <w:spacing w:after="0" w:line="12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NRS 78.751 further provides that indemnification pursuant to the statutory mechanism provided under NRS 78.7502 does not exclude any other rights to which a person seeking indemnification or advancement of expenses may be entitled under the registrant’s amended and restated articles of incorporation, or any bylaw, agreement, vote of stockholders or disinterested directors or otherwise, for either an action in the person’s official capacity or an action in another capacity while holding office, except that indemnification, unless ordered by a court pursuant to NRS 78.7502 or for the advancement of expenses, may not be made to or on behalf of any director or officer finally adjudged by a court of competent jurisdiction, after exhaustion of any appeals, to be liable for intentional misconduct, fraud or a knowing violation of law, and such misconduct, fraud or violation was material to the cause of action.</w:t>
      </w:r>
    </w:p>
    <w:p>
      <w:pPr>
        <w:spacing w:after="0" w:line="1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expect to adopt amended and restated articles of incorporation, which will become effective immediately prior to the completion of this offering, and which will contain provisions that limit the individual liability of our directors and certain of our officers for damages to the fullest extent permitted by the NRS. Any amendment, repeal, or elimination of these provisions will not eliminate or reduce the effect of these provisions in respect of any act, omission or claim that occurred or arose prior to that amendment, repeal, or elimination. If the NRS is amended to provide for further limitations on the personal liability of directors or officers of corporations, then the personal liability of our directors and officers will be further limited to the greatest extent permitted by the NRS.</w:t>
      </w:r>
    </w:p>
    <w:p>
      <w:pPr>
        <w:spacing w:after="0" w:line="12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addition, we expect to adopt amended and restated bylaws, which will become effective as of the closing of this offering, and which will provide that we will indemnify our directors and officers, and may indemnify our employees, agents, and any other persons, to the fullest extent permitted by the NRS. Our bylaws will also provide that we must advance expenses incurred by or on behalf of a director or officer in advance of the final disposition of any action or proceeding, subject to limited exceptions.</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 we have entered into or will enter into indemnification agreements with each of our directors and executive officers that may be broader than the specific indemnification provisions contained in the NRS. These indemnification agreements require us to, among other things, indemnify our directors and executive officers against liabilities that may arise by reason of their status or service. These indemnification agreements also generally require us to advance all expenses reasonably and actually incurred by our directors and executive officers in investigating or defending any such action, suit, or proceeding. We believe that these agreements are necessary to attract and retain qualified individuals to serve as directors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440" w:right="339" w:bottom="1440" w:gutter="0" w:footer="0" w:header="0"/>
        </w:sectPr>
      </w:pPr>
    </w:p>
    <w:bookmarkStart w:id="359" w:name="page360"/>
    <w:bookmarkEnd w:id="359"/>
    <w:p>
      <w:pPr>
        <w:spacing w:after="0" w:line="13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limitation of liability and indemnification provisions in our amended and restated articles of incorporation, amended and restated bylaws, and indemnification agreements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our directors and executive officers as required by these indemnification provisions. At present, we are not aware of any pending litigation or proceeding involving any person who is or was one of our directors or officers, or is or was one of our directors or officers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to obtain and maintain insurance policies under which our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our directors or officers. The coverage provided by these policies may apply whether or not we would have the power to indemnify such person against such liability under the provisions of the NRS.</w:t>
      </w:r>
    </w:p>
    <w:p>
      <w:pPr>
        <w:spacing w:after="0" w:line="1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9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underwriting agreement to be filed as Exhibit 1.1 to this registration statement will provide for indemnification by the underwriters of us and directors and officers for certain liabilities arising under the Securities Act of 1933, as amended, or the Securities Act, or otherwise.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On March 18, 2024, we issued 100,000 shares of common stock, par value $ 0.00001 per share, to FTI in exchange for $1.00. The issuance was exempt from registration under Section 4(a)(2) of the Securities Act, as a transaction by an issuer not involving any public offering.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(10)(a) Exhibits</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See the Exhibit Index immediately preceding the signature page hereto for a list of exhibits filed as part of this registration statement on Form S-1, which Exhibit Index is incorporated herein by reference.</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All financial statement schedules are omitted because the information called for is not required or is shown either in the consolidated financial statements or in the accompanying notes.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1440" w:right="339" w:bottom="1440" w:gutter="0" w:footer="0" w:header="0"/>
        </w:sectPr>
      </w:pPr>
    </w:p>
    <w:bookmarkStart w:id="360" w:name="page361"/>
    <w:bookmarkEnd w:id="360"/>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indemnification by it is against public policy as expressed in the Securities Act and will be governed by the final adjudication of such issue.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 that:</w:t>
      </w:r>
    </w:p>
    <w:p>
      <w:pPr>
        <w:spacing w:after="0" w:line="171" w:lineRule="exact"/>
        <w:rPr>
          <w:sz w:val="20"/>
          <w:szCs w:val="20"/>
          <w:color w:val="auto"/>
        </w:rPr>
      </w:pPr>
    </w:p>
    <w:p>
      <w:pPr>
        <w:jc w:val="both"/>
        <w:ind w:left="660" w:hanging="328"/>
        <w:spacing w:after="0" w:line="262" w:lineRule="auto"/>
        <w:tabs>
          <w:tab w:leader="none" w:pos="65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22"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1440" w:right="339" w:bottom="1440" w:gutter="0" w:footer="0" w:header="0"/>
        </w:sectPr>
      </w:pPr>
    </w:p>
    <w:bookmarkStart w:id="361" w:name="page362"/>
    <w:bookmarkEnd w:id="361"/>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tcPr>
          <w:p>
            <w:pPr>
              <w:ind w:left="320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94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19"/>
        </w:trPr>
        <w:tc>
          <w:tcPr>
            <w:tcW w:w="1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9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Form of Underwriting Agreement.</w:t>
            </w:r>
          </w:p>
        </w:tc>
      </w:tr>
      <w:tr>
        <w:trPr>
          <w:trHeight w:val="181"/>
        </w:trPr>
        <w:tc>
          <w:tcPr>
            <w:tcW w:w="1660" w:type="dxa"/>
            <w:vAlign w:val="bottom"/>
          </w:tcPr>
          <w:p>
            <w:pPr>
              <w:ind w:left="20"/>
              <w:spacing w:after="0" w:line="181"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9480" w:type="dxa"/>
            <w:vAlign w:val="bottom"/>
          </w:tcPr>
          <w:p>
            <w:pPr>
              <w:ind w:left="20"/>
              <w:spacing w:after="0" w:line="181" w:lineRule="exact"/>
              <w:rPr>
                <w:sz w:val="20"/>
                <w:szCs w:val="20"/>
                <w:color w:val="auto"/>
              </w:rPr>
            </w:pPr>
            <w:r>
              <w:rPr>
                <w:rFonts w:ascii="Arial" w:cs="Arial" w:eastAsia="Arial" w:hAnsi="Arial"/>
                <w:sz w:val="18"/>
                <w:szCs w:val="18"/>
                <w:color w:val="auto"/>
              </w:rPr>
              <w:t>Form of Amended and Restated Articles of Incorporation of the registrant, to be in effect upon completion of this</w:t>
            </w:r>
          </w:p>
        </w:tc>
      </w:tr>
      <w:tr>
        <w:trPr>
          <w:trHeight w:val="238"/>
        </w:trPr>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offering.</w:t>
            </w:r>
          </w:p>
        </w:tc>
      </w:tr>
      <w:tr>
        <w:trPr>
          <w:trHeight w:val="229"/>
        </w:trPr>
        <w:tc>
          <w:tcPr>
            <w:tcW w:w="166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Form of Amended and Restated Bylaws of the registrant, to be in effect upon completion of this offering.</w:t>
            </w:r>
          </w:p>
        </w:tc>
      </w:tr>
      <w:tr>
        <w:trPr>
          <w:trHeight w:val="229"/>
        </w:trPr>
        <w:tc>
          <w:tcPr>
            <w:tcW w:w="166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Form of Class A Common Stock Certificate.</w:t>
            </w:r>
          </w:p>
        </w:tc>
      </w:tr>
      <w:tr>
        <w:trPr>
          <w:trHeight w:val="230"/>
        </w:trPr>
        <w:tc>
          <w:tcPr>
            <w:tcW w:w="1660" w:type="dxa"/>
            <w:vAlign w:val="bottom"/>
          </w:tcPr>
          <w:p>
            <w:pPr>
              <w:ind w:left="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Opinion of Brownstein Hyatt Farber Schreck, LLP.</w:t>
            </w:r>
          </w:p>
        </w:tc>
      </w:tr>
      <w:tr>
        <w:trPr>
          <w:trHeight w:val="229"/>
        </w:trPr>
        <w:tc>
          <w:tcPr>
            <w:tcW w:w="166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Form of Director and Executive Officer Indemnification Agreement.</w:t>
            </w:r>
          </w:p>
        </w:tc>
      </w:tr>
      <w:tr>
        <w:trPr>
          <w:trHeight w:val="229"/>
        </w:trPr>
        <w:tc>
          <w:tcPr>
            <w:tcW w:w="166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2018 Equity Incentive Plan and related form award agreements.</w:t>
            </w:r>
          </w:p>
        </w:tc>
      </w:tr>
      <w:tr>
        <w:trPr>
          <w:trHeight w:val="230"/>
        </w:trPr>
        <w:tc>
          <w:tcPr>
            <w:tcW w:w="166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2025 Incentive Award Plan, to be in effect upon completion of this offering.</w:t>
            </w:r>
          </w:p>
        </w:tc>
      </w:tr>
      <w:tr>
        <w:trPr>
          <w:trHeight w:val="229"/>
        </w:trPr>
        <w:tc>
          <w:tcPr>
            <w:tcW w:w="166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Form of Restricted Stock Unit Grant Notice and Agreement under the 2025 Incentive Award Plan.</w:t>
            </w:r>
          </w:p>
        </w:tc>
      </w:tr>
      <w:tr>
        <w:trPr>
          <w:trHeight w:val="230"/>
        </w:trPr>
        <w:tc>
          <w:tcPr>
            <w:tcW w:w="166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Form of Stock Option Grant Notice and Agreement under the 2025 Incentive Award Plan.</w:t>
            </w:r>
          </w:p>
        </w:tc>
      </w:tr>
      <w:tr>
        <w:trPr>
          <w:trHeight w:val="229"/>
        </w:trPr>
        <w:tc>
          <w:tcPr>
            <w:tcW w:w="166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Employee Stock Purchase Plan, to be in effect upon completion of this offering.</w:t>
            </w:r>
          </w:p>
        </w:tc>
      </w:tr>
      <w:tr>
        <w:trPr>
          <w:trHeight w:val="229"/>
        </w:trPr>
        <w:tc>
          <w:tcPr>
            <w:tcW w:w="166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Non-Employee Director Compensation Policy.</w:t>
            </w:r>
          </w:p>
        </w:tc>
      </w:tr>
      <w:tr>
        <w:trPr>
          <w:trHeight w:val="181"/>
        </w:trPr>
        <w:tc>
          <w:tcPr>
            <w:tcW w:w="1660" w:type="dxa"/>
            <w:vAlign w:val="bottom"/>
          </w:tcPr>
          <w:p>
            <w:pPr>
              <w:ind w:left="20"/>
              <w:spacing w:after="0" w:line="181" w:lineRule="exact"/>
              <w:rPr>
                <w:sz w:val="20"/>
                <w:szCs w:val="20"/>
                <w:color w:val="auto"/>
              </w:rPr>
            </w:pPr>
            <w:r>
              <w:rPr>
                <w:rFonts w:ascii="Arial" w:cs="Arial" w:eastAsia="Arial" w:hAnsi="Arial"/>
                <w:sz w:val="18"/>
                <w:szCs w:val="18"/>
                <w:color w:val="auto"/>
              </w:rPr>
              <w:t>10.6#*</w:t>
            </w:r>
          </w:p>
        </w:tc>
        <w:tc>
          <w:tcPr>
            <w:tcW w:w="100" w:type="dxa"/>
            <w:vAlign w:val="bottom"/>
          </w:tcPr>
          <w:p>
            <w:pPr>
              <w:spacing w:after="0"/>
              <w:rPr>
                <w:sz w:val="15"/>
                <w:szCs w:val="15"/>
                <w:color w:val="auto"/>
              </w:rPr>
            </w:pPr>
          </w:p>
        </w:tc>
        <w:tc>
          <w:tcPr>
            <w:tcW w:w="9480" w:type="dxa"/>
            <w:vAlign w:val="bottom"/>
          </w:tcPr>
          <w:p>
            <w:pPr>
              <w:ind w:left="20"/>
              <w:spacing w:after="0" w:line="181" w:lineRule="exact"/>
              <w:rPr>
                <w:sz w:val="20"/>
                <w:szCs w:val="20"/>
                <w:color w:val="auto"/>
              </w:rPr>
            </w:pPr>
            <w:r>
              <w:rPr>
                <w:rFonts w:ascii="Arial" w:cs="Arial" w:eastAsia="Arial" w:hAnsi="Arial"/>
                <w:sz w:val="18"/>
                <w:szCs w:val="18"/>
                <w:color w:val="auto"/>
              </w:rPr>
              <w:t>Contribution Agreement, dated December 31, 2023, between Figure Lending Corp. and Figure Technologies, Inc., as</w:t>
            </w:r>
          </w:p>
        </w:tc>
      </w:tr>
      <w:tr>
        <w:trPr>
          <w:trHeight w:val="238"/>
        </w:trPr>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amended on April 9, 2024.</w:t>
            </w:r>
          </w:p>
        </w:tc>
      </w:tr>
      <w:tr>
        <w:trPr>
          <w:trHeight w:val="230"/>
        </w:trPr>
        <w:tc>
          <w:tcPr>
            <w:tcW w:w="1660" w:type="dxa"/>
            <w:vAlign w:val="bottom"/>
          </w:tcPr>
          <w:p>
            <w:pPr>
              <w:ind w:lef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Contribution Agreement, dated March 18, 2024, between Figure Lending Corp. and Figure Technologies, Inc.</w:t>
            </w:r>
          </w:p>
        </w:tc>
      </w:tr>
      <w:tr>
        <w:trPr>
          <w:trHeight w:val="181"/>
        </w:trPr>
        <w:tc>
          <w:tcPr>
            <w:tcW w:w="1660" w:type="dxa"/>
            <w:vAlign w:val="bottom"/>
          </w:tcPr>
          <w:p>
            <w:pPr>
              <w:ind w:left="20"/>
              <w:spacing w:after="0" w:line="181" w:lineRule="exact"/>
              <w:rPr>
                <w:sz w:val="20"/>
                <w:szCs w:val="20"/>
                <w:color w:val="auto"/>
              </w:rPr>
            </w:pPr>
            <w:r>
              <w:rPr>
                <w:rFonts w:ascii="Arial" w:cs="Arial" w:eastAsia="Arial" w:hAnsi="Arial"/>
                <w:sz w:val="18"/>
                <w:szCs w:val="18"/>
                <w:color w:val="auto"/>
              </w:rPr>
              <w:t>10.8#*</w:t>
            </w:r>
          </w:p>
        </w:tc>
        <w:tc>
          <w:tcPr>
            <w:tcW w:w="100" w:type="dxa"/>
            <w:vAlign w:val="bottom"/>
          </w:tcPr>
          <w:p>
            <w:pPr>
              <w:spacing w:after="0"/>
              <w:rPr>
                <w:sz w:val="15"/>
                <w:szCs w:val="15"/>
                <w:color w:val="auto"/>
              </w:rPr>
            </w:pPr>
          </w:p>
        </w:tc>
        <w:tc>
          <w:tcPr>
            <w:tcW w:w="9480" w:type="dxa"/>
            <w:vAlign w:val="bottom"/>
          </w:tcPr>
          <w:p>
            <w:pPr>
              <w:ind w:left="20"/>
              <w:spacing w:after="0" w:line="181" w:lineRule="exact"/>
              <w:rPr>
                <w:sz w:val="20"/>
                <w:szCs w:val="20"/>
                <w:color w:val="auto"/>
              </w:rPr>
            </w:pPr>
            <w:r>
              <w:rPr>
                <w:rFonts w:ascii="Arial" w:cs="Arial" w:eastAsia="Arial" w:hAnsi="Arial"/>
                <w:sz w:val="18"/>
                <w:szCs w:val="18"/>
                <w:color w:val="auto"/>
              </w:rPr>
              <w:t>Transition Services Agreement, dated March 18, 2024, between Figure Lending Corp. and Figure Markets Holdings,</w:t>
            </w:r>
          </w:p>
        </w:tc>
      </w:tr>
      <w:tr>
        <w:trPr>
          <w:trHeight w:val="238"/>
        </w:trPr>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Inc.</w:t>
            </w:r>
          </w:p>
        </w:tc>
      </w:tr>
      <w:tr>
        <w:trPr>
          <w:trHeight w:val="229"/>
        </w:trPr>
        <w:tc>
          <w:tcPr>
            <w:tcW w:w="1660" w:type="dxa"/>
            <w:vAlign w:val="bottom"/>
          </w:tcPr>
          <w:p>
            <w:pPr>
              <w:ind w:left="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Tax Matters Agreement, dated March 19, 2024, between FT Intermediate, Inc. and Figure Markets Holdings, Inc.</w:t>
            </w:r>
          </w:p>
        </w:tc>
      </w:tr>
      <w:tr>
        <w:trPr>
          <w:trHeight w:val="181"/>
        </w:trPr>
        <w:tc>
          <w:tcPr>
            <w:tcW w:w="1660" w:type="dxa"/>
            <w:vAlign w:val="bottom"/>
          </w:tcPr>
          <w:p>
            <w:pPr>
              <w:ind w:left="20"/>
              <w:spacing w:after="0" w:line="181" w:lineRule="exact"/>
              <w:rPr>
                <w:sz w:val="20"/>
                <w:szCs w:val="20"/>
                <w:color w:val="auto"/>
              </w:rPr>
            </w:pPr>
            <w:r>
              <w:rPr>
                <w:rFonts w:ascii="Arial" w:cs="Arial" w:eastAsia="Arial" w:hAnsi="Arial"/>
                <w:sz w:val="18"/>
                <w:szCs w:val="18"/>
                <w:color w:val="auto"/>
              </w:rPr>
              <w:t>10.10#*</w:t>
            </w:r>
          </w:p>
        </w:tc>
        <w:tc>
          <w:tcPr>
            <w:tcW w:w="100" w:type="dxa"/>
            <w:vAlign w:val="bottom"/>
          </w:tcPr>
          <w:p>
            <w:pPr>
              <w:spacing w:after="0"/>
              <w:rPr>
                <w:sz w:val="15"/>
                <w:szCs w:val="15"/>
                <w:color w:val="auto"/>
              </w:rPr>
            </w:pPr>
          </w:p>
        </w:tc>
        <w:tc>
          <w:tcPr>
            <w:tcW w:w="9480" w:type="dxa"/>
            <w:vAlign w:val="bottom"/>
          </w:tcPr>
          <w:p>
            <w:pPr>
              <w:ind w:left="20"/>
              <w:spacing w:after="0" w:line="181" w:lineRule="exact"/>
              <w:rPr>
                <w:sz w:val="20"/>
                <w:szCs w:val="20"/>
                <w:color w:val="auto"/>
              </w:rPr>
            </w:pPr>
            <w:r>
              <w:rPr>
                <w:rFonts w:ascii="Arial" w:cs="Arial" w:eastAsia="Arial" w:hAnsi="Arial"/>
                <w:sz w:val="18"/>
                <w:szCs w:val="18"/>
                <w:color w:val="auto"/>
              </w:rPr>
              <w:t>Sixth Amended and Restated Investors’ Rights Agreement, dated April 28, 2024, among FT Intermediate, Inc. and the</w:t>
            </w:r>
          </w:p>
        </w:tc>
      </w:tr>
      <w:tr>
        <w:trPr>
          <w:trHeight w:val="238"/>
        </w:trPr>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investors party thereto.</w:t>
            </w:r>
          </w:p>
        </w:tc>
      </w:tr>
      <w:tr>
        <w:trPr>
          <w:trHeight w:val="230"/>
        </w:trPr>
        <w:tc>
          <w:tcPr>
            <w:tcW w:w="1760" w:type="dxa"/>
            <w:vAlign w:val="bottom"/>
            <w:gridSpan w:val="2"/>
          </w:tcPr>
          <w:p>
            <w:pPr>
              <w:ind w:left="20"/>
              <w:spacing w:after="0"/>
              <w:rPr>
                <w:sz w:val="20"/>
                <w:szCs w:val="20"/>
                <w:color w:val="auto"/>
              </w:rPr>
            </w:pPr>
            <w:r>
              <w:rPr>
                <w:rFonts w:ascii="Arial" w:cs="Arial" w:eastAsia="Arial" w:hAnsi="Arial"/>
                <w:sz w:val="18"/>
                <w:szCs w:val="18"/>
                <w:color w:val="auto"/>
              </w:rPr>
              <w:t>10.11■†</w:t>
            </w:r>
          </w:p>
        </w:tc>
        <w:tc>
          <w:tcPr>
            <w:tcW w:w="9480" w:type="dxa"/>
            <w:vAlign w:val="bottom"/>
          </w:tcPr>
          <w:p>
            <w:pPr>
              <w:ind w:left="20"/>
              <w:spacing w:after="0"/>
              <w:rPr>
                <w:sz w:val="20"/>
                <w:szCs w:val="20"/>
                <w:color w:val="auto"/>
              </w:rPr>
            </w:pPr>
            <w:r>
              <w:rPr>
                <w:rFonts w:ascii="Arial" w:cs="Arial" w:eastAsia="Arial" w:hAnsi="Arial"/>
                <w:sz w:val="18"/>
                <w:szCs w:val="18"/>
                <w:color w:val="auto"/>
              </w:rPr>
              <w:t>Amended and Restated Limited Liability Company Agreement of Fig Six Mortgage LLC</w:t>
            </w:r>
          </w:p>
        </w:tc>
      </w:tr>
      <w:tr>
        <w:trPr>
          <w:trHeight w:val="181"/>
        </w:trPr>
        <w:tc>
          <w:tcPr>
            <w:tcW w:w="1660" w:type="dxa"/>
            <w:vAlign w:val="bottom"/>
          </w:tcPr>
          <w:p>
            <w:pPr>
              <w:ind w:left="20"/>
              <w:spacing w:after="0" w:line="181" w:lineRule="exact"/>
              <w:rPr>
                <w:sz w:val="20"/>
                <w:szCs w:val="20"/>
                <w:color w:val="auto"/>
              </w:rPr>
            </w:pPr>
            <w:r>
              <w:rPr>
                <w:rFonts w:ascii="Arial" w:cs="Arial" w:eastAsia="Arial" w:hAnsi="Arial"/>
                <w:sz w:val="18"/>
                <w:szCs w:val="18"/>
                <w:color w:val="auto"/>
              </w:rPr>
              <w:t>10.12</w:t>
            </w:r>
          </w:p>
        </w:tc>
        <w:tc>
          <w:tcPr>
            <w:tcW w:w="100" w:type="dxa"/>
            <w:vAlign w:val="bottom"/>
          </w:tcPr>
          <w:p>
            <w:pPr>
              <w:spacing w:after="0"/>
              <w:rPr>
                <w:sz w:val="15"/>
                <w:szCs w:val="15"/>
                <w:color w:val="auto"/>
              </w:rPr>
            </w:pPr>
          </w:p>
        </w:tc>
        <w:tc>
          <w:tcPr>
            <w:tcW w:w="9480" w:type="dxa"/>
            <w:vAlign w:val="bottom"/>
          </w:tcPr>
          <w:p>
            <w:pPr>
              <w:ind w:left="20"/>
              <w:spacing w:after="0" w:line="181" w:lineRule="exact"/>
              <w:rPr>
                <w:sz w:val="20"/>
                <w:szCs w:val="20"/>
                <w:color w:val="auto"/>
              </w:rPr>
            </w:pPr>
            <w:r>
              <w:rPr>
                <w:rFonts w:ascii="Arial" w:cs="Arial" w:eastAsia="Arial" w:hAnsi="Arial"/>
                <w:sz w:val="18"/>
                <w:szCs w:val="18"/>
                <w:color w:val="auto"/>
              </w:rPr>
              <w:t>Second Amended and Restated Term Note issued by Provenance Blockchain Foundation Inc. in favor of Figure</w:t>
            </w:r>
          </w:p>
        </w:tc>
      </w:tr>
      <w:tr>
        <w:trPr>
          <w:trHeight w:val="238"/>
        </w:trPr>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Technologies, Inc.</w:t>
            </w:r>
          </w:p>
        </w:tc>
      </w:tr>
      <w:tr>
        <w:trPr>
          <w:trHeight w:val="230"/>
        </w:trPr>
        <w:tc>
          <w:tcPr>
            <w:tcW w:w="1660" w:type="dxa"/>
            <w:vAlign w:val="bottom"/>
          </w:tcPr>
          <w:p>
            <w:pPr>
              <w:ind w:left="2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List of subsidiaries of the registrant.</w:t>
            </w:r>
          </w:p>
        </w:tc>
      </w:tr>
      <w:tr>
        <w:trPr>
          <w:trHeight w:val="230"/>
        </w:trPr>
        <w:tc>
          <w:tcPr>
            <w:tcW w:w="1660" w:type="dxa"/>
            <w:vAlign w:val="bottom"/>
          </w:tcPr>
          <w:p>
            <w:pPr>
              <w:ind w:left="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Consent of Independent Registered Public Accounting Firm, as to FT Intermediate, Inc.</w:t>
            </w:r>
          </w:p>
        </w:tc>
      </w:tr>
      <w:tr>
        <w:trPr>
          <w:trHeight w:val="181"/>
        </w:trPr>
        <w:tc>
          <w:tcPr>
            <w:tcW w:w="1660" w:type="dxa"/>
            <w:vAlign w:val="bottom"/>
          </w:tcPr>
          <w:p>
            <w:pPr>
              <w:ind w:left="20"/>
              <w:spacing w:after="0" w:line="181" w:lineRule="exact"/>
              <w:rPr>
                <w:sz w:val="20"/>
                <w:szCs w:val="20"/>
                <w:color w:val="auto"/>
              </w:rPr>
            </w:pPr>
            <w:r>
              <w:rPr>
                <w:rFonts w:ascii="Arial" w:cs="Arial" w:eastAsia="Arial" w:hAnsi="Arial"/>
                <w:sz w:val="18"/>
                <w:szCs w:val="18"/>
                <w:color w:val="auto"/>
              </w:rPr>
              <w:t>23.2*</w:t>
            </w:r>
          </w:p>
        </w:tc>
        <w:tc>
          <w:tcPr>
            <w:tcW w:w="100" w:type="dxa"/>
            <w:vAlign w:val="bottom"/>
          </w:tcPr>
          <w:p>
            <w:pPr>
              <w:spacing w:after="0"/>
              <w:rPr>
                <w:sz w:val="15"/>
                <w:szCs w:val="15"/>
                <w:color w:val="auto"/>
              </w:rPr>
            </w:pPr>
          </w:p>
        </w:tc>
        <w:tc>
          <w:tcPr>
            <w:tcW w:w="9480" w:type="dxa"/>
            <w:vAlign w:val="bottom"/>
          </w:tcPr>
          <w:p>
            <w:pPr>
              <w:ind w:left="20"/>
              <w:spacing w:after="0" w:line="181" w:lineRule="exact"/>
              <w:rPr>
                <w:sz w:val="20"/>
                <w:szCs w:val="20"/>
                <w:color w:val="auto"/>
              </w:rPr>
            </w:pPr>
            <w:r>
              <w:rPr>
                <w:rFonts w:ascii="Arial" w:cs="Arial" w:eastAsia="Arial" w:hAnsi="Arial"/>
                <w:sz w:val="18"/>
                <w:szCs w:val="18"/>
                <w:color w:val="auto"/>
              </w:rPr>
              <w:t>Consent of Brownstein Hyatt Farber Schreck, LLP (included in the opinion filed as Exhibit 5.1 to this registration</w:t>
            </w:r>
          </w:p>
        </w:tc>
      </w:tr>
      <w:tr>
        <w:trPr>
          <w:trHeight w:val="238"/>
        </w:trPr>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statement).</w:t>
            </w:r>
          </w:p>
        </w:tc>
      </w:tr>
      <w:tr>
        <w:trPr>
          <w:trHeight w:val="230"/>
        </w:trPr>
        <w:tc>
          <w:tcPr>
            <w:tcW w:w="1660" w:type="dxa"/>
            <w:vAlign w:val="bottom"/>
          </w:tcPr>
          <w:p>
            <w:pPr>
              <w:ind w:left="2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Power of Attorney (included on the signature page to this registration statement).</w:t>
            </w:r>
          </w:p>
        </w:tc>
      </w:tr>
      <w:tr>
        <w:trPr>
          <w:trHeight w:val="239"/>
        </w:trPr>
        <w:tc>
          <w:tcPr>
            <w:tcW w:w="1660" w:type="dxa"/>
            <w:vAlign w:val="bottom"/>
          </w:tcPr>
          <w:p>
            <w:pPr>
              <w:ind w:lef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Filing Fee Table.</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right="7000" w:firstLine="8"/>
        <w:spacing w:after="0" w:line="252" w:lineRule="auto"/>
        <w:tabs>
          <w:tab w:leader="none" w:pos="324"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 To be filed by amendment.</w:t>
      </w:r>
    </w:p>
    <w:p>
      <w:pPr>
        <w:spacing w:after="0" w:line="1" w:lineRule="exact"/>
        <w:rPr>
          <w:rFonts w:ascii="Arial" w:cs="Arial" w:eastAsia="Arial" w:hAnsi="Arial"/>
          <w:sz w:val="16"/>
          <w:szCs w:val="16"/>
          <w:color w:val="auto"/>
        </w:rPr>
      </w:pPr>
    </w:p>
    <w:p>
      <w:pPr>
        <w:ind w:left="340" w:hanging="324"/>
        <w:spacing w:after="0" w:line="255" w:lineRule="auto"/>
        <w:rPr>
          <w:rFonts w:ascii="Arial" w:cs="Arial" w:eastAsia="Arial" w:hAnsi="Arial"/>
          <w:sz w:val="16"/>
          <w:szCs w:val="16"/>
          <w:color w:val="auto"/>
        </w:rPr>
      </w:pPr>
      <w:r>
        <w:rPr>
          <w:rFonts w:ascii="Arial" w:cs="Arial" w:eastAsia="Arial" w:hAnsi="Arial"/>
          <w:sz w:val="16"/>
          <w:szCs w:val="16"/>
          <w:color w:val="auto"/>
        </w:rPr>
        <w:t># Certain confidential information contained in this exhibit has been omitted because it is both (i) not material; and (ii) the type that the registrant treats as private or confidential.</w:t>
      </w:r>
    </w:p>
    <w:p>
      <w:pPr>
        <w:ind w:left="340" w:hanging="324"/>
        <w:spacing w:after="0" w:line="249" w:lineRule="auto"/>
        <w:rPr>
          <w:rFonts w:ascii="Arial" w:cs="Arial" w:eastAsia="Arial" w:hAnsi="Arial"/>
          <w:sz w:val="16"/>
          <w:szCs w:val="16"/>
          <w:color w:val="auto"/>
        </w:rPr>
      </w:pPr>
      <w:r>
        <w:rPr>
          <w:rFonts w:ascii="Arial" w:cs="Arial" w:eastAsia="Arial" w:hAnsi="Arial"/>
          <w:sz w:val="16"/>
          <w:szCs w:val="16"/>
          <w:color w:val="auto"/>
        </w:rPr>
        <w:t>† Certain of the schedules and attachments to this exhibit have been omitted pursuant to Regulation S-K, Item 601(a)(5). The registrant hereby undertakes to provide further information regarding such omitted materials to the SEC upon request.</w:t>
      </w:r>
    </w:p>
    <w:p>
      <w:pPr>
        <w:spacing w:after="0"/>
        <w:rPr>
          <w:rFonts w:ascii="Arial" w:cs="Arial" w:eastAsia="Arial" w:hAnsi="Arial"/>
          <w:sz w:val="16"/>
          <w:szCs w:val="16"/>
          <w:color w:val="auto"/>
        </w:rPr>
      </w:pPr>
      <w:r>
        <w:rPr>
          <w:rFonts w:ascii="Arial" w:cs="Arial" w:eastAsia="Arial" w:hAnsi="Arial"/>
          <w:sz w:val="16"/>
          <w:szCs w:val="16"/>
          <w:color w:val="auto"/>
        </w:rPr>
        <w:t>■   Certain portions of this exhibit (indicated by “[***]” have been redacted pursuant to Regulation S-K, Item 601(a)(6).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1440" w:right="339" w:bottom="1440" w:gutter="0" w:footer="0" w:header="0"/>
        </w:sectPr>
      </w:pPr>
    </w:p>
    <w:bookmarkStart w:id="362" w:name="page363"/>
    <w:bookmarkEnd w:id="362"/>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460" w:type="dxa"/>
            <w:vAlign w:val="bottom"/>
          </w:tcPr>
          <w:p>
            <w:pPr>
              <w:spacing w:after="0"/>
              <w:rPr>
                <w:sz w:val="20"/>
                <w:szCs w:val="20"/>
                <w:color w:val="auto"/>
              </w:rPr>
            </w:pPr>
            <w:r>
              <w:rPr>
                <w:rFonts w:ascii="Arial" w:cs="Arial" w:eastAsia="Arial" w:hAnsi="Arial"/>
                <w:sz w:val="18"/>
                <w:szCs w:val="18"/>
                <w:color w:val="auto"/>
              </w:rPr>
              <w:t>behalf by the undersigned, thereunto duly authorized in the City of New York, State of New York, on</w:t>
            </w:r>
          </w:p>
        </w:tc>
        <w:tc>
          <w:tcPr>
            <w:tcW w:w="1100" w:type="dxa"/>
            <w:vAlign w:val="bottom"/>
          </w:tcPr>
          <w:p>
            <w:pPr>
              <w:jc w:val="right"/>
              <w:spacing w:after="0"/>
              <w:rPr>
                <w:sz w:val="20"/>
                <w:szCs w:val="20"/>
                <w:color w:val="auto"/>
              </w:rPr>
            </w:pPr>
            <w:r>
              <w:rPr>
                <w:rFonts w:ascii="Arial" w:cs="Arial" w:eastAsia="Arial" w:hAnsi="Arial"/>
                <w:sz w:val="18"/>
                <w:szCs w:val="18"/>
                <w:color w:val="auto"/>
              </w:rPr>
              <w:t>, 2025.</w:t>
            </w:r>
          </w:p>
        </w:tc>
      </w:tr>
    </w:tbl>
    <w:p>
      <w:pPr>
        <w:spacing w:after="0" w:line="162"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FT INTERMEDIATE, INC.</w:t>
      </w:r>
    </w:p>
    <w:p>
      <w:pPr>
        <w:spacing w:after="0" w:line="29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17780</wp:posOffset>
            </wp:positionV>
            <wp:extent cx="34118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Michael Tannenbaum</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Executive Officer and Director</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KNOW ALL PERSONS BY THESE PRESENTS, that each person whose signature appears below constitutes and appoints</w:t>
      </w:r>
    </w:p>
    <w:p>
      <w:pPr>
        <w:spacing w:after="0" w:line="27" w:lineRule="exact"/>
        <w:rPr>
          <w:sz w:val="20"/>
          <w:szCs w:val="20"/>
          <w:color w:val="auto"/>
        </w:rPr>
      </w:pPr>
    </w:p>
    <w:p>
      <w:pPr>
        <w:jc w:val="both"/>
        <w:ind w:firstLine="1218"/>
        <w:spacing w:after="0" w:line="252" w:lineRule="auto"/>
        <w:rPr>
          <w:sz w:val="20"/>
          <w:szCs w:val="20"/>
          <w:color w:val="auto"/>
        </w:rPr>
      </w:pPr>
      <w:r>
        <w:rPr>
          <w:rFonts w:ascii="Arial" w:cs="Arial" w:eastAsia="Arial" w:hAnsi="Arial"/>
          <w:sz w:val="18"/>
          <w:szCs w:val="18"/>
          <w:color w:val="auto"/>
        </w:rPr>
        <w:t>and , and each one of them, as their true and lawful attorneys-in-fact and agents, with full power of substitution and resubstitution, for them and in their name, place and stead, in any and all capacities, to sign any and all amendments (including post-effective amendments) to this registration statement, and to sign any new registration statement with respect to the offering contemplated thereby filed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said attorneys-in-fact and agents or any of them, or their substitute or substitutes, may lawfully do or cause to be done by virtue hereof.</w:t>
      </w:r>
    </w:p>
    <w:p>
      <w:pPr>
        <w:spacing w:after="0" w:line="13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7"/>
                <w:szCs w:val="17"/>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80" w:type="dxa"/>
            <w:vAlign w:val="bottom"/>
          </w:tcPr>
          <w:p>
            <w:pPr>
              <w:spacing w:after="0"/>
              <w:rPr>
                <w:sz w:val="17"/>
                <w:szCs w:val="17"/>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65"/>
        </w:trPr>
        <w:tc>
          <w:tcPr>
            <w:tcW w:w="4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5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Chief Executive Officer and Director (Principal Executive</w:t>
            </w:r>
          </w:p>
        </w:tc>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95"/>
              </w:rPr>
              <w:t>, 2025</w:t>
            </w:r>
          </w:p>
        </w:tc>
        <w:tc>
          <w:tcPr>
            <w:tcW w:w="0" w:type="dxa"/>
            <w:vAlign w:val="bottom"/>
          </w:tcPr>
          <w:p>
            <w:pPr>
              <w:spacing w:after="0"/>
              <w:rPr>
                <w:sz w:val="1"/>
                <w:szCs w:val="1"/>
                <w:color w:val="auto"/>
              </w:rPr>
            </w:pPr>
          </w:p>
        </w:tc>
      </w:tr>
      <w:tr>
        <w:trPr>
          <w:trHeight w:val="40"/>
        </w:trPr>
        <w:tc>
          <w:tcPr>
            <w:tcW w:w="4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5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4"/>
              </w:rPr>
              <w:t>Officer)</w:t>
            </w:r>
          </w:p>
        </w:tc>
        <w:tc>
          <w:tcPr>
            <w:tcW w:w="2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4440" w:type="dxa"/>
            <w:vAlign w:val="bottom"/>
            <w:vMerge w:val="restart"/>
          </w:tcPr>
          <w:p>
            <w:pPr>
              <w:jc w:val="center"/>
              <w:spacing w:after="0"/>
              <w:rPr>
                <w:sz w:val="20"/>
                <w:szCs w:val="20"/>
                <w:color w:val="auto"/>
              </w:rPr>
            </w:pPr>
            <w:r>
              <w:rPr>
                <w:rFonts w:ascii="Arial" w:cs="Arial" w:eastAsia="Arial" w:hAnsi="Arial"/>
                <w:sz w:val="18"/>
                <w:szCs w:val="18"/>
                <w:color w:val="auto"/>
                <w:w w:val="98"/>
              </w:rPr>
              <w:t>Michael Tannenbaum</w:t>
            </w:r>
          </w:p>
        </w:tc>
        <w:tc>
          <w:tcPr>
            <w:tcW w:w="100" w:type="dxa"/>
            <w:vAlign w:val="bottom"/>
          </w:tcPr>
          <w:p>
            <w:pPr>
              <w:spacing w:after="0"/>
              <w:rPr>
                <w:sz w:val="8"/>
                <w:szCs w:val="8"/>
                <w:color w:val="auto"/>
              </w:rPr>
            </w:pPr>
          </w:p>
        </w:tc>
        <w:tc>
          <w:tcPr>
            <w:tcW w:w="4560" w:type="dxa"/>
            <w:vAlign w:val="bottom"/>
            <w:gridSpan w:val="2"/>
            <w:vMerge w:val="continue"/>
          </w:tcPr>
          <w:p>
            <w:pPr>
              <w:spacing w:after="0"/>
              <w:rPr>
                <w:sz w:val="8"/>
                <w:szCs w:val="8"/>
                <w:color w:val="auto"/>
              </w:rPr>
            </w:pPr>
          </w:p>
        </w:tc>
        <w:tc>
          <w:tcPr>
            <w:tcW w:w="2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4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560" w:type="dxa"/>
            <w:vAlign w:val="bottom"/>
            <w:gridSpan w:val="2"/>
            <w:vMerge w:val="continue"/>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4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5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Chief Financial Officer</w:t>
            </w:r>
          </w:p>
        </w:tc>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95"/>
              </w:rPr>
              <w:t>, 2025</w:t>
            </w:r>
          </w:p>
        </w:tc>
        <w:tc>
          <w:tcPr>
            <w:tcW w:w="0" w:type="dxa"/>
            <w:vAlign w:val="bottom"/>
          </w:tcPr>
          <w:p>
            <w:pPr>
              <w:spacing w:after="0"/>
              <w:rPr>
                <w:sz w:val="1"/>
                <w:szCs w:val="1"/>
                <w:color w:val="auto"/>
              </w:rPr>
            </w:pPr>
          </w:p>
        </w:tc>
      </w:tr>
      <w:tr>
        <w:trPr>
          <w:trHeight w:val="188"/>
        </w:trPr>
        <w:tc>
          <w:tcPr>
            <w:tcW w:w="4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560" w:type="dxa"/>
            <w:vAlign w:val="bottom"/>
            <w:gridSpan w:val="2"/>
          </w:tcPr>
          <w:p>
            <w:pPr>
              <w:jc w:val="center"/>
              <w:ind w:right="80"/>
              <w:spacing w:after="0" w:line="189" w:lineRule="exact"/>
              <w:rPr>
                <w:sz w:val="20"/>
                <w:szCs w:val="20"/>
                <w:color w:val="auto"/>
              </w:rPr>
            </w:pPr>
            <w:r>
              <w:rPr>
                <w:rFonts w:ascii="Arial" w:cs="Arial" w:eastAsia="Arial" w:hAnsi="Arial"/>
                <w:sz w:val="18"/>
                <w:szCs w:val="18"/>
                <w:color w:val="auto"/>
                <w:w w:val="99"/>
              </w:rPr>
              <w:t>(Principal Financial Officer and Principal Accounting</w:t>
            </w:r>
          </w:p>
        </w:tc>
        <w:tc>
          <w:tcPr>
            <w:tcW w:w="2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440" w:type="dxa"/>
            <w:vAlign w:val="bottom"/>
          </w:tcPr>
          <w:p>
            <w:pPr>
              <w:jc w:val="center"/>
              <w:spacing w:after="0"/>
              <w:rPr>
                <w:sz w:val="20"/>
                <w:szCs w:val="20"/>
                <w:color w:val="auto"/>
              </w:rPr>
            </w:pPr>
            <w:r>
              <w:rPr>
                <w:rFonts w:ascii="Arial" w:cs="Arial" w:eastAsia="Arial" w:hAnsi="Arial"/>
                <w:sz w:val="18"/>
                <w:szCs w:val="18"/>
                <w:color w:val="auto"/>
                <w:w w:val="98"/>
              </w:rPr>
              <w:t>Macrina Kgil</w:t>
            </w:r>
          </w:p>
        </w:tc>
        <w:tc>
          <w:tcPr>
            <w:tcW w:w="100" w:type="dxa"/>
            <w:vAlign w:val="bottom"/>
          </w:tcPr>
          <w:p>
            <w:pPr>
              <w:spacing w:after="0"/>
              <w:rPr>
                <w:sz w:val="20"/>
                <w:szCs w:val="20"/>
                <w:color w:val="auto"/>
              </w:rPr>
            </w:pPr>
          </w:p>
        </w:tc>
        <w:tc>
          <w:tcPr>
            <w:tcW w:w="4560" w:type="dxa"/>
            <w:vAlign w:val="bottom"/>
            <w:gridSpan w:val="2"/>
          </w:tcPr>
          <w:p>
            <w:pPr>
              <w:jc w:val="center"/>
              <w:ind w:right="80"/>
              <w:spacing w:after="0"/>
              <w:rPr>
                <w:sz w:val="20"/>
                <w:szCs w:val="20"/>
                <w:color w:val="auto"/>
              </w:rPr>
            </w:pPr>
            <w:r>
              <w:rPr>
                <w:rFonts w:ascii="Arial" w:cs="Arial" w:eastAsia="Arial" w:hAnsi="Arial"/>
                <w:sz w:val="18"/>
                <w:szCs w:val="18"/>
                <w:color w:val="auto"/>
              </w:rPr>
              <w:t>Officer)</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444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45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95"/>
              </w:rPr>
              <w:t>, 2025</w:t>
            </w:r>
          </w:p>
        </w:tc>
        <w:tc>
          <w:tcPr>
            <w:tcW w:w="0" w:type="dxa"/>
            <w:vAlign w:val="bottom"/>
          </w:tcPr>
          <w:p>
            <w:pPr>
              <w:spacing w:after="0"/>
              <w:rPr>
                <w:sz w:val="1"/>
                <w:szCs w:val="1"/>
                <w:color w:val="auto"/>
              </w:rPr>
            </w:pPr>
          </w:p>
        </w:tc>
      </w:tr>
      <w:tr>
        <w:trPr>
          <w:trHeight w:val="92"/>
        </w:trPr>
        <w:tc>
          <w:tcPr>
            <w:tcW w:w="4440" w:type="dxa"/>
            <w:vAlign w:val="bottom"/>
            <w:vMerge w:val="restart"/>
          </w:tcPr>
          <w:p>
            <w:pPr>
              <w:jc w:val="center"/>
              <w:spacing w:after="0"/>
              <w:rPr>
                <w:sz w:val="20"/>
                <w:szCs w:val="20"/>
                <w:color w:val="auto"/>
              </w:rPr>
            </w:pPr>
            <w:r>
              <w:rPr>
                <w:rFonts w:ascii="Arial" w:cs="Arial" w:eastAsia="Arial" w:hAnsi="Arial"/>
                <w:sz w:val="18"/>
                <w:szCs w:val="18"/>
                <w:color w:val="auto"/>
                <w:w w:val="97"/>
              </w:rPr>
              <w:t>Michael Cagney</w:t>
            </w:r>
          </w:p>
        </w:tc>
        <w:tc>
          <w:tcPr>
            <w:tcW w:w="100" w:type="dxa"/>
            <w:vAlign w:val="bottom"/>
            <w:vMerge w:val="continue"/>
          </w:tcPr>
          <w:p>
            <w:pPr>
              <w:spacing w:after="0"/>
              <w:rPr>
                <w:sz w:val="8"/>
                <w:szCs w:val="8"/>
                <w:color w:val="auto"/>
              </w:rPr>
            </w:pPr>
          </w:p>
        </w:tc>
        <w:tc>
          <w:tcPr>
            <w:tcW w:w="4560" w:type="dxa"/>
            <w:vAlign w:val="bottom"/>
            <w:gridSpan w:val="2"/>
            <w:vMerge w:val="continue"/>
          </w:tcPr>
          <w:p>
            <w:pPr>
              <w:spacing w:after="0"/>
              <w:rPr>
                <w:sz w:val="8"/>
                <w:szCs w:val="8"/>
                <w:color w:val="auto"/>
              </w:rPr>
            </w:pPr>
          </w:p>
        </w:tc>
        <w:tc>
          <w:tcPr>
            <w:tcW w:w="2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4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8"/>
        </w:trPr>
        <w:tc>
          <w:tcPr>
            <w:tcW w:w="444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45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95"/>
              </w:rPr>
              <w:t>, 2025</w:t>
            </w:r>
          </w:p>
        </w:tc>
        <w:tc>
          <w:tcPr>
            <w:tcW w:w="0" w:type="dxa"/>
            <w:vAlign w:val="bottom"/>
          </w:tcPr>
          <w:p>
            <w:pPr>
              <w:spacing w:after="0"/>
              <w:rPr>
                <w:sz w:val="1"/>
                <w:szCs w:val="1"/>
                <w:color w:val="auto"/>
              </w:rPr>
            </w:pPr>
          </w:p>
        </w:tc>
      </w:tr>
      <w:tr>
        <w:trPr>
          <w:trHeight w:val="92"/>
        </w:trPr>
        <w:tc>
          <w:tcPr>
            <w:tcW w:w="444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4560" w:type="dxa"/>
            <w:vAlign w:val="bottom"/>
            <w:gridSpan w:val="2"/>
            <w:vMerge w:val="continue"/>
          </w:tcPr>
          <w:p>
            <w:pPr>
              <w:spacing w:after="0"/>
              <w:rPr>
                <w:sz w:val="8"/>
                <w:szCs w:val="8"/>
                <w:color w:val="auto"/>
              </w:rPr>
            </w:pPr>
          </w:p>
        </w:tc>
        <w:tc>
          <w:tcPr>
            <w:tcW w:w="2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68"/>
        </w:trPr>
        <w:tc>
          <w:tcPr>
            <w:tcW w:w="444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45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95"/>
              </w:rPr>
              <w:t>, 2025</w:t>
            </w:r>
          </w:p>
        </w:tc>
        <w:tc>
          <w:tcPr>
            <w:tcW w:w="0" w:type="dxa"/>
            <w:vAlign w:val="bottom"/>
          </w:tcPr>
          <w:p>
            <w:pPr>
              <w:spacing w:after="0"/>
              <w:rPr>
                <w:sz w:val="1"/>
                <w:szCs w:val="1"/>
                <w:color w:val="auto"/>
              </w:rPr>
            </w:pPr>
          </w:p>
        </w:tc>
      </w:tr>
      <w:tr>
        <w:trPr>
          <w:trHeight w:val="92"/>
        </w:trPr>
        <w:tc>
          <w:tcPr>
            <w:tcW w:w="444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4560" w:type="dxa"/>
            <w:vAlign w:val="bottom"/>
            <w:gridSpan w:val="2"/>
            <w:vMerge w:val="continue"/>
          </w:tcPr>
          <w:p>
            <w:pPr>
              <w:spacing w:after="0"/>
              <w:rPr>
                <w:sz w:val="8"/>
                <w:szCs w:val="8"/>
                <w:color w:val="auto"/>
              </w:rPr>
            </w:pPr>
          </w:p>
        </w:tc>
        <w:tc>
          <w:tcPr>
            <w:tcW w:w="2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68"/>
        </w:trPr>
        <w:tc>
          <w:tcPr>
            <w:tcW w:w="444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45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95"/>
              </w:rPr>
              <w:t>, 2025</w:t>
            </w:r>
          </w:p>
        </w:tc>
        <w:tc>
          <w:tcPr>
            <w:tcW w:w="0" w:type="dxa"/>
            <w:vAlign w:val="bottom"/>
          </w:tcPr>
          <w:p>
            <w:pPr>
              <w:spacing w:after="0"/>
              <w:rPr>
                <w:sz w:val="1"/>
                <w:szCs w:val="1"/>
                <w:color w:val="auto"/>
              </w:rPr>
            </w:pPr>
          </w:p>
        </w:tc>
      </w:tr>
      <w:tr>
        <w:trPr>
          <w:trHeight w:val="92"/>
        </w:trPr>
        <w:tc>
          <w:tcPr>
            <w:tcW w:w="444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4560" w:type="dxa"/>
            <w:vAlign w:val="bottom"/>
            <w:gridSpan w:val="2"/>
            <w:vMerge w:val="continue"/>
          </w:tcPr>
          <w:p>
            <w:pPr>
              <w:spacing w:after="0"/>
              <w:rPr>
                <w:sz w:val="8"/>
                <w:szCs w:val="8"/>
                <w:color w:val="auto"/>
              </w:rPr>
            </w:pPr>
          </w:p>
        </w:tc>
        <w:tc>
          <w:tcPr>
            <w:tcW w:w="2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69"/>
        </w:trPr>
        <w:tc>
          <w:tcPr>
            <w:tcW w:w="444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45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95"/>
              </w:rPr>
              <w:t>, 2025</w:t>
            </w:r>
          </w:p>
        </w:tc>
        <w:tc>
          <w:tcPr>
            <w:tcW w:w="0" w:type="dxa"/>
            <w:vAlign w:val="bottom"/>
          </w:tcPr>
          <w:p>
            <w:pPr>
              <w:spacing w:after="0"/>
              <w:rPr>
                <w:sz w:val="1"/>
                <w:szCs w:val="1"/>
                <w:color w:val="auto"/>
              </w:rPr>
            </w:pPr>
          </w:p>
        </w:tc>
      </w:tr>
      <w:tr>
        <w:trPr>
          <w:trHeight w:val="92"/>
        </w:trPr>
        <w:tc>
          <w:tcPr>
            <w:tcW w:w="444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4560" w:type="dxa"/>
            <w:vAlign w:val="bottom"/>
            <w:gridSpan w:val="2"/>
            <w:vMerge w:val="continue"/>
          </w:tcPr>
          <w:p>
            <w:pPr>
              <w:spacing w:after="0"/>
              <w:rPr>
                <w:sz w:val="8"/>
                <w:szCs w:val="8"/>
                <w:color w:val="auto"/>
              </w:rPr>
            </w:pPr>
          </w:p>
        </w:tc>
        <w:tc>
          <w:tcPr>
            <w:tcW w:w="2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40"/>
          </w:cols>
          <w:pgMar w:left="320" w:top="1440" w:right="339" w:bottom="1440" w:gutter="0" w:footer="0" w:header="0"/>
        </w:sectPr>
      </w:pPr>
    </w:p>
    <w:bookmarkStart w:id="363" w:name="page364"/>
    <w:bookmarkEnd w:id="363"/>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LIMITED LIABILITY COMPANY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FIG SIX MORTGAGE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b w:val="1"/>
          <w:bCs w:val="1"/>
          <w:color w:val="auto"/>
        </w:rPr>
        <w:t>THE MEMBERSHIP INTERESTS EVIDENCED BY THIS AMENDED AND RESTATED LIMITED LIABILITY COMPANY AGREEMENT ARE SUBJECT TO CERTAIN RESTRICTIONS PURSUANT TO THIS AGREEMENT. THE MEMBERSHIP INTERESTS HAVE NOT BEEN REGISTERED UNDER THE SECURITIES ACT OF 1933, AS AMENDED, OR THE SECURITIES LAWS OF ANY STATE OR OTHER JURISDICTION. NO MEMBERSHIP INTEREST MAY BE SOLD OR OFFERED FOR SALE (WITHIN THE MEANING OF ANY APPLICABLE SECURITIES LAW) UNLESS A REGISTRATION STATEMENT UNDER SUCH LAWS WITH RESPECT TO THE MEMBERSHIP INTERESTS IS THEN IN EFFECT OR AN EXEMPTION FROM THE REGISTRATION REQUIREMENTS OF SUCH LAWS IS THEN APPLICABLE TO THE MEMBERSHIP INTERESTS. MEMBERSHIP INTERESTS ALSO MAY NOT BE TRANSFERRED OR ENCUMBERED UNLESS THE PROVISIONS OF THIS AGREEMENT WITH RESPECT TO SUCH TRANSFER OR ENCUMBRANCE ARE SATISFIED.</w:t>
      </w:r>
    </w:p>
    <w:p>
      <w:pPr>
        <w:sectPr>
          <w:pgSz w:w="11900" w:h="16838" w:orient="portrait"/>
          <w:cols w:equalWidth="0" w:num="1">
            <w:col w:w="11240"/>
          </w:cols>
          <w:pgMar w:left="320" w:top="117" w:right="339" w:bottom="1440" w:gutter="0" w:footer="0" w:header="0"/>
        </w:sectPr>
      </w:pPr>
    </w:p>
    <w:bookmarkStart w:id="364" w:name="page365"/>
    <w:bookmarkEnd w:id="364"/>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9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 DEFINITIONS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52"/>
        </w:trPr>
        <w:tc>
          <w:tcPr>
            <w:tcW w:w="9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 FORMATION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2.1</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Organization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2.2</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Agreement</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2.3</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Name</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2.4</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Term</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2.5</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Registered Agent and Office</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82"/>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2.6</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Principal Office</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52"/>
        </w:trPr>
        <w:tc>
          <w:tcPr>
            <w:tcW w:w="9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III PURPOSE; NATURE OF BUSINESS</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3.1</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Purpose</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3.2</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Separateness Covenants</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82"/>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3.3</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Subsidiaries</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52"/>
        </w:trPr>
        <w:tc>
          <w:tcPr>
            <w:tcW w:w="9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IV MEMBERS</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4.1</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Members</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4.2</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Bad Act Termination Events</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82"/>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4.3</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Run-Off Period</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52"/>
        </w:trPr>
        <w:tc>
          <w:tcPr>
            <w:tcW w:w="9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 ACCOUNTING AND RECORDS</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70"/>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5.1</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Records to be Maintained</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70"/>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5.2</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Books and Records</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70"/>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5.3</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Reports to Members</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5.4</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Tax Returns and Reports</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5.5</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Company Budget</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82"/>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5.6</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Company Accountant</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52"/>
        </w:trPr>
        <w:tc>
          <w:tcPr>
            <w:tcW w:w="9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 INTERESTS IN THE COMPANY</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6.1</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Return of Capital</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6.2</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Ownership</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82"/>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6.3</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Waiver of Partition; Nature of Interests in the Company</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79"/>
        </w:trPr>
        <w:tc>
          <w:tcPr>
            <w:tcW w:w="9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 RIGHTS AND DUTIES OF MEMBERS; REPRESENTATIONS AND WARRANTIES</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7.1</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No Management Rights as Members; Voting</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7.2</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Intentionally Omitted</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70"/>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7.3</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Representations, Warranties and Covenants</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70"/>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7.4</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Conflicts of Interest Waiver; Waiver of Duties</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82"/>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7.5</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Cooperation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52"/>
        </w:trPr>
        <w:tc>
          <w:tcPr>
            <w:tcW w:w="9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VIII MANAGEMENT</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70"/>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8.1</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Board of Managers</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70"/>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8.2</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Authority of Administrative Member</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8.3</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Limitations on Administrative Member</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8.4</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[Reserved]</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82"/>
        </w:trPr>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8.5</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Actions of Administrative Member</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bl>
    <w:p>
      <w:pPr>
        <w:spacing w:after="0" w:line="200" w:lineRule="exact"/>
        <w:rPr>
          <w:sz w:val="20"/>
          <w:szCs w:val="20"/>
          <w:color w:val="auto"/>
        </w:rPr>
      </w:pPr>
    </w:p>
    <w:p>
      <w:pPr>
        <w:sectPr>
          <w:pgSz w:w="11900" w:h="16838" w:orient="portrait"/>
          <w:cols w:equalWidth="0" w:num="1">
            <w:col w:w="11200"/>
          </w:cols>
          <w:pgMar w:left="34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00"/>
          </w:cols>
          <w:pgMar w:left="340" w:top="122" w:right="359" w:bottom="1440" w:gutter="0" w:footer="0" w:header="0"/>
          <w:type w:val="continuous"/>
        </w:sectPr>
      </w:pPr>
    </w:p>
    <w:bookmarkStart w:id="365" w:name="page366"/>
    <w:bookmarkEnd w:id="365"/>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(continued)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5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474"/>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8.6</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Limitation on Liability; Indemnification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0"/>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8.7</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Manager’s Discharge of Duties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70"/>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8.8</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Resignation; Removal of Manager</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70"/>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8.9</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Distributions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82"/>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8.10</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Reimbursable Expenses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352"/>
        </w:trPr>
        <w:tc>
          <w:tcPr>
            <w:tcW w:w="8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IX CONTRIBUTIONS AND CAPITAL ACCOUNTS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9.1</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Capital Contributions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9.2</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Initial Capital Contributions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9.3</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Additional Capital Contributions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9.4</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Failure to Contribute</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9.5</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Capital Account</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70"/>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9.6</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Obligation to Restore Deficit Balance</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9.7</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Interest</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82"/>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9.8</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Repayment of Capital Contribution</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352"/>
        </w:trPr>
        <w:tc>
          <w:tcPr>
            <w:tcW w:w="8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 ALLOCATIONS AND DISTRIBUTIONS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10.1</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Allocations of Profits and Losses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10.2</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Special Allocations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70"/>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10.3</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Reserved</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270"/>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10.4</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Section 754 Election</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270"/>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10.5</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Allocation Rules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270"/>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10.6</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Distributions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282"/>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10.7</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Amounts Withheld</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352"/>
        </w:trPr>
        <w:tc>
          <w:tcPr>
            <w:tcW w:w="8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XI TAXES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70"/>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11.1</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Tax Characterization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82"/>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11.2</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Partnership Representative</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352"/>
        </w:trPr>
        <w:tc>
          <w:tcPr>
            <w:tcW w:w="8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XII TRANSFER OF MEMBERSHIP INTEREST</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270"/>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12.1</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Compliance with Securities Laws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270"/>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12.2</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Transfer of Membership Interest</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70"/>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12.3</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Substitute Members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282"/>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12.4</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Register</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352"/>
        </w:trPr>
        <w:tc>
          <w:tcPr>
            <w:tcW w:w="8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XIII DISSOLUTION, LIQUIDATION AND WINDING UP</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70"/>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13.1</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Dissolution and Liquidation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70"/>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13.2</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Effect of Dissolution; Certain Procedures of Dissolution</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13.3</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Distribution of Assets on Dissolution</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13.4</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Winding Up and Certificate of Cancellation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82"/>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13.5</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Claims of Members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352"/>
        </w:trPr>
        <w:tc>
          <w:tcPr>
            <w:tcW w:w="8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XIV MISCELLANEOUS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70"/>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14.1</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Notices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70"/>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14.2</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Headings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70"/>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14.3</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Entire Agreement</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82"/>
        </w:trPr>
        <w:tc>
          <w:tcPr>
            <w:tcW w:w="1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14.4</w:t>
            </w:r>
          </w:p>
        </w:tc>
        <w:tc>
          <w:tcPr>
            <w:tcW w:w="7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Binding Agreement</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bl>
    <w:p>
      <w:pPr>
        <w:spacing w:after="0" w:line="200" w:lineRule="exact"/>
        <w:rPr>
          <w:sz w:val="20"/>
          <w:szCs w:val="20"/>
          <w:color w:val="auto"/>
        </w:rPr>
      </w:pPr>
    </w:p>
    <w:p>
      <w:pPr>
        <w:sectPr>
          <w:pgSz w:w="11900" w:h="16838" w:orient="portrait"/>
          <w:cols w:equalWidth="0" w:num="1">
            <w:col w:w="11200"/>
          </w:cols>
          <w:pgMar w:left="34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00"/>
          </w:cols>
          <w:pgMar w:left="340" w:top="122" w:right="359" w:bottom="1440" w:gutter="0" w:footer="0" w:header="0"/>
          <w:type w:val="continuous"/>
        </w:sectPr>
      </w:pPr>
    </w:p>
    <w:bookmarkStart w:id="366" w:name="page367"/>
    <w:bookmarkEnd w:id="366"/>
    <w:p>
      <w:pPr>
        <w:jc w:val="center"/>
        <w:ind w:right="88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22"/>
          <w:szCs w:val="22"/>
          <w:color w:val="auto"/>
        </w:rPr>
        <w:t>(continued)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70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474"/>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14.5</w:t>
            </w:r>
          </w:p>
        </w:tc>
        <w:tc>
          <w:tcPr>
            <w:tcW w:w="7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Saving Clause</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14.6</w:t>
            </w:r>
          </w:p>
        </w:tc>
        <w:tc>
          <w:tcPr>
            <w:tcW w:w="7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Counterparts</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14.7</w:t>
            </w:r>
          </w:p>
        </w:tc>
        <w:tc>
          <w:tcPr>
            <w:tcW w:w="7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Governing Law; Submission to Jurisdiction; Waiver of Jury Trial</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14.8</w:t>
            </w:r>
          </w:p>
        </w:tc>
        <w:tc>
          <w:tcPr>
            <w:tcW w:w="7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 Partnership Intended for Nontax Purposes</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14.9</w:t>
            </w:r>
          </w:p>
        </w:tc>
        <w:tc>
          <w:tcPr>
            <w:tcW w:w="7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 Rights of Creditors and Third Parties under Agreement</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14.10</w:t>
            </w:r>
          </w:p>
        </w:tc>
        <w:tc>
          <w:tcPr>
            <w:tcW w:w="7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Specific Performance and Prevailing Party Litigation; Injunctive Relief</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14.11</w:t>
            </w:r>
          </w:p>
        </w:tc>
        <w:tc>
          <w:tcPr>
            <w:tcW w:w="7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Single Representative</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14.12</w:t>
            </w:r>
          </w:p>
        </w:tc>
        <w:tc>
          <w:tcPr>
            <w:tcW w:w="7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General Interpretive Principles</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14.13</w:t>
            </w:r>
          </w:p>
        </w:tc>
        <w:tc>
          <w:tcPr>
            <w:tcW w:w="7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Confidentiality</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14.14</w:t>
            </w:r>
          </w:p>
        </w:tc>
        <w:tc>
          <w:tcPr>
            <w:tcW w:w="7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Amendment; Waiver</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14.15</w:t>
            </w:r>
          </w:p>
        </w:tc>
        <w:tc>
          <w:tcPr>
            <w:tcW w:w="7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Patriot Act; Sanctions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14.16</w:t>
            </w:r>
          </w:p>
        </w:tc>
        <w:tc>
          <w:tcPr>
            <w:tcW w:w="7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Corporate Transparency Act</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14.17</w:t>
            </w:r>
          </w:p>
        </w:tc>
        <w:tc>
          <w:tcPr>
            <w:tcW w:w="7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Severability</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14.18</w:t>
            </w:r>
          </w:p>
        </w:tc>
        <w:tc>
          <w:tcPr>
            <w:tcW w:w="7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Attorney Representation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14.19</w:t>
            </w:r>
          </w:p>
        </w:tc>
        <w:tc>
          <w:tcPr>
            <w:tcW w:w="7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Attorneys’ Fees</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14.20</w:t>
            </w:r>
          </w:p>
        </w:tc>
        <w:tc>
          <w:tcPr>
            <w:tcW w:w="7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Successors and Assigns</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14.21</w:t>
            </w:r>
          </w:p>
        </w:tc>
        <w:tc>
          <w:tcPr>
            <w:tcW w:w="7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Extension Not a Waiver</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14.22</w:t>
            </w:r>
          </w:p>
        </w:tc>
        <w:tc>
          <w:tcPr>
            <w:tcW w:w="7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Further Assurances</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14.23</w:t>
            </w:r>
          </w:p>
        </w:tc>
        <w:tc>
          <w:tcPr>
            <w:tcW w:w="7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Waiver of Consequential Damages</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0320"/>
          </w:cols>
          <w:pgMar w:left="1220" w:top="122" w:right="359" w:bottom="1440" w:gutter="0" w:footer="0" w:header="0"/>
        </w:sectPr>
      </w:pPr>
    </w:p>
    <w:bookmarkStart w:id="367" w:name="page368"/>
    <w:bookmarkEnd w:id="367"/>
    <w:p>
      <w:pPr>
        <w:ind w:left="2120"/>
        <w:spacing w:after="0"/>
        <w:rPr>
          <w:sz w:val="20"/>
          <w:szCs w:val="20"/>
          <w:color w:val="auto"/>
        </w:rPr>
      </w:pPr>
      <w:r>
        <w:rPr>
          <w:rFonts w:ascii="Times New Roman" w:cs="Times New Roman" w:eastAsia="Times New Roman" w:hAnsi="Times New Roman"/>
          <w:sz w:val="20"/>
          <w:szCs w:val="20"/>
          <w:b w:val="1"/>
          <w:bCs w:val="1"/>
          <w:color w:val="auto"/>
        </w:rPr>
        <w:t>AMENDED AND RESTATED LIMITED LIABILITY COMPANY AGREEMENT</w:t>
      </w:r>
    </w:p>
    <w:p>
      <w:pPr>
        <w:spacing w:after="0" w:line="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FIG SIX MORTGAGE LLC</w:t>
      </w:r>
    </w:p>
    <w:p>
      <w:pPr>
        <w:spacing w:after="0" w:line="1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THIS AMENDED AND RESTATED LIMITED LIABILITY COMPANY AGREEMENT of Fig Six Mortgage LLC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is made and entered into effective as of the 26th day of February, 2025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by and among the Company, Fig SSP Member LLC, a Delaware limited liability company (together with its permitted successors and/or assigns, collectively, the “</w:t>
      </w:r>
      <w:r>
        <w:rPr>
          <w:rFonts w:ascii="Times New Roman" w:cs="Times New Roman" w:eastAsia="Times New Roman" w:hAnsi="Times New Roman"/>
          <w:sz w:val="20"/>
          <w:szCs w:val="20"/>
          <w:b w:val="1"/>
          <w:bCs w:val="1"/>
          <w:color w:val="auto"/>
        </w:rPr>
        <w:t>Figure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Member</w:t>
      </w:r>
      <w:r>
        <w:rPr>
          <w:rFonts w:ascii="Times New Roman" w:cs="Times New Roman" w:eastAsia="Times New Roman" w:hAnsi="Times New Roman"/>
          <w:sz w:val="20"/>
          <w:szCs w:val="20"/>
          <w:color w:val="auto"/>
        </w:rPr>
        <w:t>”), and [***] (together with its permitted successors and/or assigns, collectively, the “</w:t>
      </w:r>
      <w:r>
        <w:rPr>
          <w:rFonts w:ascii="Times New Roman" w:cs="Times New Roman" w:eastAsia="Times New Roman" w:hAnsi="Times New Roman"/>
          <w:sz w:val="20"/>
          <w:szCs w:val="20"/>
          <w:b w:val="1"/>
          <w:bCs w:val="1"/>
          <w:color w:val="auto"/>
        </w:rPr>
        <w:t>Investor Member</w:t>
      </w:r>
      <w:r>
        <w:rPr>
          <w:rFonts w:ascii="Times New Roman" w:cs="Times New Roman" w:eastAsia="Times New Roman" w:hAnsi="Times New Roman"/>
          <w:sz w:val="20"/>
          <w:szCs w:val="20"/>
          <w:color w:val="auto"/>
        </w:rPr>
        <w:t>”), and each other Person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who may become a Member after the date hereof in accordance with this Agreement.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18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was formed by the filing of a Certificate of Formation with the Secretary of State of the State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Delaware on the 6th day of February, 2025 and the Figure Member entered into that certain Limited Liability Company Agreement of the Company on the 13th day of February, 2025 (the “</w:t>
      </w:r>
      <w:r>
        <w:rPr>
          <w:rFonts w:ascii="Times New Roman" w:cs="Times New Roman" w:eastAsia="Times New Roman" w:hAnsi="Times New Roman"/>
          <w:sz w:val="20"/>
          <w:szCs w:val="20"/>
          <w:b w:val="1"/>
          <w:bCs w:val="1"/>
          <w:color w:val="auto"/>
        </w:rPr>
        <w:t>Original LLC Agreement</w:t>
      </w:r>
      <w:r>
        <w:rPr>
          <w:rFonts w:ascii="Times New Roman" w:cs="Times New Roman" w:eastAsia="Times New Roman" w:hAnsi="Times New Roman"/>
          <w:sz w:val="20"/>
          <w:szCs w:val="20"/>
          <w:color w:val="auto"/>
        </w:rPr>
        <w:t>”);</w:t>
      </w:r>
    </w:p>
    <w:p>
      <w:pPr>
        <w:spacing w:after="0" w:line="11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Figure Member and the Company desire to admit the Investor Member as a Member of the Company and to amend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restate the Original LLC Agreement in its entirety, and thus are entering into this Agreement;</w:t>
      </w:r>
    </w:p>
    <w:p>
      <w:pPr>
        <w:spacing w:after="0" w:line="111"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hereto desire to work cooperatively and in good faith to effectuate the purposes of the Company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described in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pursuant to the terms and conditions set forth herein; and</w:t>
      </w:r>
    </w:p>
    <w:p>
      <w:pPr>
        <w:spacing w:after="0" w:line="9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hereto desire to enter into this Agreement to set forth their understanding with respect to the operation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upon the terms and conditions set forth herein.</w:t>
      </w:r>
    </w:p>
    <w:p>
      <w:pPr>
        <w:spacing w:after="0" w:line="11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NOW</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THEREFORE</w:t>
      </w:r>
      <w:r>
        <w:rPr>
          <w:rFonts w:ascii="Times New Roman" w:cs="Times New Roman" w:eastAsia="Times New Roman" w:hAnsi="Times New Roman"/>
          <w:sz w:val="20"/>
          <w:szCs w:val="20"/>
          <w:color w:val="auto"/>
        </w:rPr>
        <w:t>, in consideration of the mutual covenants and promises contained herein and for other good and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the receipt and adequacy of which are hereby acknowledged, the parties hereto hereby agree that the Original LLC Agreement is hereby amended and restated in its entirety as follows: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For purposes of this Agreement, unless the context clearly indicates otherwise, the following terms shall have the following meanings:</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ABS</w:t>
      </w:r>
      <w:r>
        <w:rPr>
          <w:rFonts w:ascii="Times New Roman" w:cs="Times New Roman" w:eastAsia="Times New Roman" w:hAnsi="Times New Roman"/>
          <w:sz w:val="20"/>
          <w:szCs w:val="20"/>
          <w:color w:val="auto"/>
        </w:rPr>
        <w:t>” means an asset-backed securitization.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 means the Delaware Limited Liability Company Act, 6 Del. C. § 18 101 et seq. as amended from time to time.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Capital Contribution</w:t>
      </w:r>
      <w:r>
        <w:rPr>
          <w:rFonts w:ascii="Times New Roman" w:cs="Times New Roman" w:eastAsia="Times New Roman" w:hAnsi="Times New Roman"/>
          <w:sz w:val="20"/>
          <w:szCs w:val="20"/>
          <w:color w:val="auto"/>
        </w:rPr>
        <w:t xml:space="preserve">” means an additional capital contribution payable by a Member pursuant to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Capital Account Deficit</w:t>
      </w:r>
      <w:r>
        <w:rPr>
          <w:rFonts w:ascii="Times New Roman" w:cs="Times New Roman" w:eastAsia="Times New Roman" w:hAnsi="Times New Roman"/>
          <w:sz w:val="20"/>
          <w:szCs w:val="20"/>
          <w:color w:val="auto"/>
        </w:rPr>
        <w:t>” means, with respect to any Member, the deficit balance, if any, in such Member’s Capital Account as of the end of the relevant Fiscal Year, after giving effect to the</w:t>
      </w:r>
    </w:p>
    <w:p>
      <w:pPr>
        <w:sectPr>
          <w:pgSz w:w="11900" w:h="16838" w:orient="portrait"/>
          <w:cols w:equalWidth="0" w:num="1">
            <w:col w:w="11240"/>
          </w:cols>
          <w:pgMar w:left="320" w:top="1409" w:right="339" w:bottom="1440" w:gutter="0" w:footer="0" w:header="0"/>
        </w:sectPr>
      </w:pPr>
    </w:p>
    <w:bookmarkStart w:id="368" w:name="page369"/>
    <w:bookmarkEnd w:id="368"/>
    <w:p>
      <w:pPr>
        <w:jc w:val="both"/>
        <w:spacing w:after="0" w:line="260" w:lineRule="auto"/>
        <w:rPr>
          <w:sz w:val="20"/>
          <w:szCs w:val="20"/>
          <w:color w:val="auto"/>
        </w:rPr>
      </w:pPr>
      <w:r>
        <w:rPr>
          <w:rFonts w:ascii="Times New Roman" w:cs="Times New Roman" w:eastAsia="Times New Roman" w:hAnsi="Times New Roman"/>
          <w:sz w:val="19"/>
          <w:szCs w:val="19"/>
          <w:color w:val="auto"/>
        </w:rPr>
        <w:t>following adjustments: (a) credit to such Capital Account any amounts that such Member is obligated to restore pursuant to this Agreement or is deemed to be obligated to restore pursuant to section 1.704- 1(b)(2)(ii)(c) of the Regulations or pursuant to the penultimate sentences of sections 1.704-2(g)(1) and 1.704-2(i)(5) of the Regulations; and (b) debit to such Capital Account the items described in sections 1.704-1(b)</w:t>
      </w:r>
    </w:p>
    <w:p>
      <w:pPr>
        <w:jc w:val="both"/>
        <w:spacing w:after="0" w:line="237" w:lineRule="auto"/>
        <w:rPr>
          <w:sz w:val="20"/>
          <w:szCs w:val="20"/>
          <w:color w:val="auto"/>
        </w:rPr>
      </w:pPr>
      <w:r>
        <w:rPr>
          <w:rFonts w:ascii="Times New Roman" w:cs="Times New Roman" w:eastAsia="Times New Roman" w:hAnsi="Times New Roman"/>
          <w:sz w:val="20"/>
          <w:szCs w:val="20"/>
          <w:color w:val="auto"/>
        </w:rPr>
        <w:t>(2)(ii)(d)(4), 1.704-1(b)(2)(ii)(d)(5) and 1.704-1(b)(2)(ii)(d)(6) of the Regulations. The foregoing definition of Adjusted Capital Account Deficit is intended to comply with the provisions of section 1.704-1(b)(2)(ii)(d) of the Regulations and shall be interpreted consistently therewith.</w:t>
      </w:r>
    </w:p>
    <w:p>
      <w:pPr>
        <w:spacing w:after="0" w:line="14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Administrative Member</w:t>
      </w:r>
      <w:r>
        <w:rPr>
          <w:rFonts w:ascii="Times New Roman" w:cs="Times New Roman" w:eastAsia="Times New Roman" w:hAnsi="Times New Roman"/>
          <w:sz w:val="20"/>
          <w:szCs w:val="20"/>
          <w:color w:val="auto"/>
        </w:rPr>
        <w:t xml:space="preserve">” means initially, the Figure Member, or upon removal or resignation of the Figure Member as Administrative Member in accordance with the terms of this Agreement (it being understood that the Figure Member may not resign as Administrative Member other than in accordance with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or if Figure ceases to own any Membership Interests in the Company, the Figure Member shall have the right to resign, as Administrative Member of the Company, effective as of the date Investor has appointed a replacement Administrative Member;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Investor shall use its reasonable best efforts to appoint and identify a suitable replacement for the Administrative Member as promptly as practicable following receipt of written notice from Figure of its intent to resign as Administrative Member and in any event within one hundred twenty (120) days (and if a replacement Administrative Member has not been appointed within such one hundred twenty (120) day period, then the Figure Member shall have the right (but not the obligation) to deem its resignation to nonetheless be effective as of such one hundred twentieth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such other Person as may be appointed as Administrative Member in accordance with the terms of this Agreement.</w:t>
      </w:r>
    </w:p>
    <w:p>
      <w:pPr>
        <w:spacing w:after="0" w:line="14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Adverse Regulatory Event</w:t>
      </w:r>
      <w:r>
        <w:rPr>
          <w:rFonts w:ascii="Times New Roman" w:cs="Times New Roman" w:eastAsia="Times New Roman" w:hAnsi="Times New Roman"/>
          <w:sz w:val="20"/>
          <w:szCs w:val="20"/>
          <w:color w:val="auto"/>
        </w:rPr>
        <w:t xml:space="preserve">” means any change in applicable non-tax law or regulation or enforcement action taken by a Governmental Entity that has, or would reasonably be expected to have, a material and adverse effect on (i) the value of the Company Assets as a whole (which for purposes of this definition shall mean that the value of the Company Assets have decreased or would be reasonably expected to decrease by [***] on an aggregate basis as a result of such Adverse Regulatory Event), or (ii) the enforceability or performance of any Basic Document or this Agreement in any material respect;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a period of ninety (90) days after a Member notifies the other Member of any Adverse Regulatory Event, the Members shall use their commercially reasonable efforts to resolve any such Adverse Regulatory Event, if such Adverse Regulatory Event in all material respects, can be so resolved.</w:t>
      </w:r>
    </w:p>
    <w:p>
      <w:pPr>
        <w:spacing w:after="0" w:line="13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xml:space="preserve">” means, with respect to any Person, any entity Controlling, Controlled by or under common Control with such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for the purpose of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no Manager shall be considered to be an Affiliate of any other Manager. With respect to Investor, the term “Affiliate” shall include the Sixth Street Persons and with respect to Figure, the term “Affiliate” shall include the Figure Persons. Notwithstanding anything to the contrary herein, neither the Company nor any Subsidiaries shall be deemed to be an Affiliate of either Member.</w:t>
      </w:r>
    </w:p>
    <w:p>
      <w:pPr>
        <w:spacing w:after="0" w:line="14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Affiliate Agreement</w:t>
      </w:r>
      <w:r>
        <w:rPr>
          <w:rFonts w:ascii="Times New Roman" w:cs="Times New Roman" w:eastAsia="Times New Roman" w:hAnsi="Times New Roman"/>
          <w:sz w:val="19"/>
          <w:szCs w:val="19"/>
          <w:color w:val="auto"/>
        </w:rPr>
        <w:t>” means, with respect to each Member, any agreement between the Company or any Subsidiary on the one hand, and a Member or a Related Party of such Member, on the other hand. For the avoidance of doubt, the Figure Connect Documents shall be considered Affiliate Agreements with respect to Figure, and the terms and conditions of this Agreement applicable to the Administrative Member shall be considered an Affiliate Agreement with respect to Figure so long as Figure is serving as Administrative Member.</w:t>
      </w:r>
    </w:p>
    <w:p>
      <w:pPr>
        <w:spacing w:after="0" w:line="11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 Service Provider</w:t>
      </w:r>
      <w:r>
        <w:rPr>
          <w:rFonts w:ascii="Times New Roman" w:cs="Times New Roman" w:eastAsia="Times New Roman" w:hAnsi="Times New Roman"/>
          <w:sz w:val="20"/>
          <w:szCs w:val="20"/>
          <w:color w:val="auto"/>
        </w:rPr>
        <w:t>” means, with respect to each Member, such Member and any Person that is a Related Party of such Member providing services of any kind from time to time to the Company or any Subsidiary thereof pursuant to an Affiliate Agreement, in each case, in accordance with this Agreement and such Affiliate Agreement,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3" w:right="339" w:bottom="1440" w:gutter="0" w:footer="0" w:header="0"/>
        </w:sectPr>
      </w:pPr>
    </w:p>
    <w:bookmarkStart w:id="369" w:name="page370"/>
    <w:bookmarkEnd w:id="369"/>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means this Amended and Restated Limited Liability Company Agreement as amended, restated, modified or supplemented from time to time in accordance with the terms hereof.</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AML Laws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7.3(a)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Approved Accountant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8.3(a)(xx)</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Asset</w:t>
      </w:r>
      <w:r>
        <w:rPr>
          <w:rFonts w:ascii="Times New Roman" w:cs="Times New Roman" w:eastAsia="Times New Roman" w:hAnsi="Times New Roman"/>
          <w:sz w:val="20"/>
          <w:szCs w:val="20"/>
          <w:color w:val="auto"/>
        </w:rPr>
        <w:t>” means any (i) HELOC, (ii) asset-backed securities collateralized by HELOCs, (iii) non-qualified mortgages or (iv) other type of financial assets, in each case, originated by a Figure Person or its Related Parties.</w:t>
      </w:r>
    </w:p>
    <w:p>
      <w:pPr>
        <w:spacing w:after="0" w:line="11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Assumed Tax Rate</w:t>
      </w:r>
      <w:r>
        <w:rPr>
          <w:rFonts w:ascii="Times New Roman" w:cs="Times New Roman" w:eastAsia="Times New Roman" w:hAnsi="Times New Roman"/>
          <w:sz w:val="20"/>
          <w:szCs w:val="20"/>
          <w:color w:val="auto"/>
        </w:rPr>
        <w:t>” means the highest marginal federal, state and local individual tax rates (including the tax rate imposed pursuant to section 1411 of the Code, but not taking into account section 199A of the Code) then applicable to an individual resident in New York, New York, taking into account the character of the Company’s income and gain, as reasonably determined by the Members.</w:t>
      </w:r>
    </w:p>
    <w:p>
      <w:pPr>
        <w:spacing w:after="0" w:line="12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Bad Act Termination Event</w:t>
      </w:r>
      <w:r>
        <w:rPr>
          <w:rFonts w:ascii="Times New Roman" w:cs="Times New Roman" w:eastAsia="Times New Roman" w:hAnsi="Times New Roman"/>
          <w:sz w:val="20"/>
          <w:szCs w:val="20"/>
          <w:color w:val="auto"/>
        </w:rPr>
        <w:t>” means, with respect to any Member, the occurrence of any of the following actions, events, circumstances, or occurrences:</w:t>
      </w:r>
    </w:p>
    <w:p>
      <w:pPr>
        <w:spacing w:after="0" w:line="129" w:lineRule="exact"/>
        <w:rPr>
          <w:sz w:val="20"/>
          <w:szCs w:val="20"/>
          <w:color w:val="auto"/>
        </w:rPr>
      </w:pPr>
    </w:p>
    <w:p>
      <w:pPr>
        <w:jc w:val="both"/>
        <w:ind w:firstLine="656"/>
        <w:spacing w:after="0"/>
        <w:tabs>
          <w:tab w:leader="none" w:pos="1131"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any (x) breach of any representation, warranty or covenant by such Member or its Affiliate contained in any Basic Document (other than a Basic Securitization Document) to which such Member is a party, or (y) with respect to Figure, any Event of Servicing Termination (as defined in the Servicing Agreement) under the Servicing Agreement, which in each case, would reasonably be expected to have, (i) a material and adverse effect on the other Member or any of its Affiliates as a whole, or (ii) a material and adverse effect on the Company or any of its Subsidiaries as a whole, and in each case, such breach is not cured within any applicable notice and cure periods set forth in such Basic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breach of any representations and warranties under any Common Marketplace Terms by a Member or its Affiliate shall not constitute a breach if the applicable HELOC or other Asset is repurchased in accordance with the terms thereof;</w:t>
      </w:r>
    </w:p>
    <w:p>
      <w:pPr>
        <w:spacing w:after="0" w:line="162" w:lineRule="exact"/>
        <w:rPr>
          <w:rFonts w:ascii="Times New Roman" w:cs="Times New Roman" w:eastAsia="Times New Roman" w:hAnsi="Times New Roman"/>
          <w:sz w:val="22"/>
          <w:szCs w:val="22"/>
          <w:color w:val="auto"/>
        </w:rPr>
      </w:pPr>
    </w:p>
    <w:p>
      <w:pPr>
        <w:jc w:val="both"/>
        <w:ind w:firstLine="656"/>
        <w:spacing w:after="0"/>
        <w:tabs>
          <w:tab w:leader="none" w:pos="1129"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any breach of any representation, warranty or covenant by such Member contained in this Agreement, in each case, other than such Member’s failure to make Additional Capital Contributions, that has, or would reasonably be expected to have, (i) a material and adverse effect on the other Member or any of its Affiliates as a whole, or (ii) a material and adverse effect on the Company or any of its Subsidiaries as a whole, and in each case, such breach is not cured (if curable) within fifteen (15) days after the earlier of (x) written notice from the other Member or (y) the date that any Manager appointed by such Member had actual knowledge of such breach;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breach is not reasonably capable of being cured within such fifteen (15) day period as determined in good faith by such Member, then such cure period shall be increased by such additional period of time as may be reasonably necessary to complete such cure not to exceed an additional forty-five (45) days, provided that the breaching Member has commenced such cure within such initial fifteen (15) day period and is thereafter diligently pursuing the same;</w:t>
      </w:r>
    </w:p>
    <w:p>
      <w:pPr>
        <w:spacing w:after="0" w:line="161" w:lineRule="exact"/>
        <w:rPr>
          <w:rFonts w:ascii="Times New Roman" w:cs="Times New Roman" w:eastAsia="Times New Roman" w:hAnsi="Times New Roman"/>
          <w:sz w:val="22"/>
          <w:szCs w:val="22"/>
          <w:color w:val="auto"/>
        </w:rPr>
      </w:pPr>
    </w:p>
    <w:p>
      <w:pPr>
        <w:jc w:val="both"/>
        <w:ind w:firstLine="656"/>
        <w:spacing w:after="0" w:line="255" w:lineRule="auto"/>
        <w:tabs>
          <w:tab w:leader="none" w:pos="1117"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any breach by such Member or its Affiliate of its obligations under any Basic Securitization Document to which such Member is a party, which breach has, or would reasonably be expected to have, (i) a material and adverse effect on the other Member or any of its Affiliates as a whole, or (ii) a material and adverse effect on the Company or any of its Subsidiaries as a whole, and in each case, such breach is not cured within any applicable notice and cure periods set forth in such Basic Securitization Document;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for the avoidance of doubt, a breach of any asset-level representations and warranties under any Basic Securitization Document by a Member or its Affiliate shall not constitute a breach hereunder if the applicable HELOC or other Asset is repurchased in accordance with the terms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9" w:right="339" w:bottom="1440" w:gutter="0" w:footer="0" w:header="0"/>
        </w:sectPr>
      </w:pPr>
    </w:p>
    <w:bookmarkStart w:id="370" w:name="page371"/>
    <w:bookmarkEnd w:id="370"/>
    <w:p>
      <w:pPr>
        <w:jc w:val="both"/>
        <w:ind w:firstLine="656"/>
        <w:spacing w:after="0" w:line="252" w:lineRule="auto"/>
        <w:tabs>
          <w:tab w:leader="none" w:pos="1183"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any breach by such Member or its Affiliate of its obligations under any law or rule applicable to such Member or Affiliate thereof in respect of the securitization transaction for which such Member or its Affiliate is acting as sponsor (including without limitation Rule 15Ga-2 under the Securities Exchange Act of 1934, as amended (the “</w:t>
      </w:r>
      <w:r>
        <w:rPr>
          <w:rFonts w:ascii="Times New Roman" w:cs="Times New Roman" w:eastAsia="Times New Roman" w:hAnsi="Times New Roman"/>
          <w:sz w:val="19"/>
          <w:szCs w:val="19"/>
          <w:b w:val="1"/>
          <w:bCs w:val="1"/>
          <w:color w:val="auto"/>
        </w:rPr>
        <w:t>Exchange Act</w:t>
      </w:r>
      <w:r>
        <w:rPr>
          <w:rFonts w:ascii="Times New Roman" w:cs="Times New Roman" w:eastAsia="Times New Roman" w:hAnsi="Times New Roman"/>
          <w:sz w:val="19"/>
          <w:szCs w:val="19"/>
          <w:color w:val="auto"/>
        </w:rPr>
        <w:t xml:space="preserve">”), Rule 15Ga-1 under the Exchange Act, Rule 17g-5 under the Exchange Act, Regulation RR, 17 C.F.R. § 246.1, et seq., the Investment Company Act of 1940, as amended, Regulation (EU) 2017/2402, as amended and the UK Securitization Framework), which breach has, or would reasonably be expected to have, (i) a material and adverse effect on the other Member or any of its Affiliates as a whole, or (ii) a material and adverse effect on the Company or any of its Subsidiaries as a whole, and in each case, such breach is not cured (if curable) within fifteen (15) days after the earlier of (x) written notice from the other Member, or (y) the date any Manager appointed by such Member had actual knowledge of such breach;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breach is not reasonably capable of being cured within such fifteen (15) day period as determined in good faith by such Member, then such cure period shall be increased by such additional period of time as may be reasonably necessary to complete such cure not to exceed an additional forty-five (45) days (or such longer period as may be permitted under applicable law);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breaching Member or its Affiliate has commenced such cure within such initial fifteen (15) day period and is thereafter diligently pursuing the same;</w:t>
      </w:r>
    </w:p>
    <w:p>
      <w:pPr>
        <w:spacing w:after="0" w:line="152" w:lineRule="exact"/>
        <w:rPr>
          <w:rFonts w:ascii="Times New Roman" w:cs="Times New Roman" w:eastAsia="Times New Roman" w:hAnsi="Times New Roman"/>
          <w:sz w:val="21"/>
          <w:szCs w:val="21"/>
          <w:color w:val="auto"/>
        </w:rPr>
      </w:pPr>
    </w:p>
    <w:p>
      <w:pPr>
        <w:ind w:left="1120" w:hanging="464"/>
        <w:spacing w:after="0"/>
        <w:tabs>
          <w:tab w:leader="none" w:pos="112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Change of Control with respect to such Member;</w:t>
      </w:r>
    </w:p>
    <w:p>
      <w:pPr>
        <w:spacing w:after="0" w:line="179"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Insolvency Event of, or with respect to, such Member or any Affiliate thereof that is a party to a Basic Document;</w:t>
      </w:r>
    </w:p>
    <w:p>
      <w:pPr>
        <w:spacing w:after="0" w:line="17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such Member’s failure to make any Additional Capital Contributions required hereunder three or more times;</w:t>
      </w:r>
    </w:p>
    <w:p>
      <w:pPr>
        <w:spacing w:after="0" w:line="165" w:lineRule="exact"/>
        <w:rPr>
          <w:rFonts w:ascii="Times New Roman" w:cs="Times New Roman" w:eastAsia="Times New Roman" w:hAnsi="Times New Roman"/>
          <w:sz w:val="22"/>
          <w:szCs w:val="22"/>
          <w:color w:val="auto"/>
        </w:rPr>
      </w:pPr>
    </w:p>
    <w:p>
      <w:pPr>
        <w:jc w:val="both"/>
        <w:ind w:firstLine="656"/>
        <w:spacing w:after="0" w:line="248" w:lineRule="auto"/>
        <w:tabs>
          <w:tab w:leader="none" w:pos="1116"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commission of fraud, willful misconduct or gross negligence by a Member or its Affiliate, or any of their respective Related Parties, in connection with this Agreement, the Basic Documents or any transaction contemplated hereunder or thereunder, or otherwise in connection with the Company or any of its Subsidiaries, in each case, other than an Excusable Employee Misconduct.</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Bad Act Termination Event Asset Buyout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4.2(a)(vii)</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Bad Act Termination Event Buyout</w:t>
      </w:r>
      <w:r>
        <w:rPr>
          <w:rFonts w:ascii="Times New Roman" w:cs="Times New Roman" w:eastAsia="Times New Roman" w:hAnsi="Times New Roman"/>
          <w:sz w:val="20"/>
          <w:szCs w:val="20"/>
          <w:color w:val="auto"/>
        </w:rPr>
        <w:t>” means either a Bad Act Termination Event Asset Buyout or a Bad Act Termination Event Membership Interest Buyout, as the context may require.</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Bad Act Termination Event Membership Interest Buyout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4.2(a)(vii)</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Bad Act Termination Event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4.2(a)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Bad Act Termination Event Remedy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4.2(a)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Basic Documents</w:t>
      </w:r>
      <w:r>
        <w:rPr>
          <w:rFonts w:ascii="Times New Roman" w:cs="Times New Roman" w:eastAsia="Times New Roman" w:hAnsi="Times New Roman"/>
          <w:sz w:val="20"/>
          <w:szCs w:val="20"/>
          <w:color w:val="auto"/>
        </w:rPr>
        <w:t>” means (a) each Figure Connect Document, (b) the Basic Securitization Documents, and (c) any other material contract or agreement executed by the Company or any of its Subsidiaries in connection with any hedging, financing, warehousing or sale of any Company Assets.</w:t>
      </w:r>
    </w:p>
    <w:p>
      <w:pPr>
        <w:spacing w:after="0" w:line="13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Basic Securitization Documents</w:t>
      </w:r>
      <w:r>
        <w:rPr>
          <w:rFonts w:ascii="Times New Roman" w:cs="Times New Roman" w:eastAsia="Times New Roman" w:hAnsi="Times New Roman"/>
          <w:sz w:val="20"/>
          <w:szCs w:val="20"/>
          <w:color w:val="auto"/>
        </w:rPr>
        <w:t>” means each indenture, mortgage loan sale agreement, servicing Agreement, back-up servicing agreement, custodial agreement, administration agreement, note purchase agreement, Trust Agreement, loan data agent agreement, warranty agreement, EU risk retention letter and/or similarly styled agreements, in each case executed in connection with a securitization transaction with respect to Company Assets or any Committed ABS, in each case, sponsored by Figure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26" w:right="339" w:bottom="1440" w:gutter="0" w:footer="0" w:header="0"/>
        </w:sectPr>
      </w:pPr>
    </w:p>
    <w:bookmarkStart w:id="371" w:name="page372"/>
    <w:bookmarkEnd w:id="371"/>
    <w:p>
      <w:pPr>
        <w:spacing w:after="0" w:line="283" w:lineRule="auto"/>
        <w:rPr>
          <w:sz w:val="20"/>
          <w:szCs w:val="20"/>
          <w:color w:val="auto"/>
        </w:rPr>
      </w:pPr>
      <w:r>
        <w:rPr>
          <w:rFonts w:ascii="Times New Roman" w:cs="Times New Roman" w:eastAsia="Times New Roman" w:hAnsi="Times New Roman"/>
          <w:sz w:val="20"/>
          <w:szCs w:val="20"/>
          <w:color w:val="auto"/>
        </w:rPr>
        <w:t>any of its Affiliates or the Company or any Subsidiary with respect to which the Company or any Subsidiary is the retention party, and all other material agreements, documents, instruments and certificates delivered in connection with any such securitization transaction.</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other than (a) a Saturday or Sunday, or (b) a day on which banking and savings and loan institutions in the states of New York or California are authorized or obligated by law or executive order to be closed.</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Buying Member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4.3(c)</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Buyout Closing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4.2(b)(i)</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Buyout Price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4.2(b)(ii)</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Call Option Payments</w:t>
      </w:r>
      <w:r>
        <w:rPr>
          <w:rFonts w:ascii="Times New Roman" w:cs="Times New Roman" w:eastAsia="Times New Roman" w:hAnsi="Times New Roman"/>
          <w:sz w:val="19"/>
          <w:szCs w:val="19"/>
          <w:color w:val="auto"/>
        </w:rPr>
        <w:t>” means funds required to consummate any Call Options exercised with in accordance with this Agreement.</w:t>
      </w:r>
    </w:p>
    <w:p>
      <w:pPr>
        <w:spacing w:after="0" w:line="200"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Call Options</w:t>
      </w:r>
      <w:r>
        <w:rPr>
          <w:rFonts w:ascii="Times New Roman" w:cs="Times New Roman" w:eastAsia="Times New Roman" w:hAnsi="Times New Roman"/>
          <w:sz w:val="20"/>
          <w:szCs w:val="20"/>
          <w:color w:val="auto"/>
        </w:rPr>
        <w:t>” means any call or other termination options under or with respect to securitizations sponsored by the Company, any of its Subsidiaries, or any Figure Person or its Related Parties.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Account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9.5</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Call</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9.3(a)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Call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9.3(a)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Contribution</w:t>
      </w:r>
      <w:r>
        <w:rPr>
          <w:rFonts w:ascii="Times New Roman" w:cs="Times New Roman" w:eastAsia="Times New Roman" w:hAnsi="Times New Roman"/>
          <w:sz w:val="20"/>
          <w:szCs w:val="20"/>
          <w:color w:val="auto"/>
        </w:rPr>
        <w:t xml:space="preserve">” means, with respect to each Member, as of any date of determination, such Member’s Initial Capital Contribution,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any Additional Capital Contributions made by such Member in accordance with this Agreement.</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Contribution Cap</w:t>
      </w:r>
      <w:r>
        <w:rPr>
          <w:rFonts w:ascii="Times New Roman" w:cs="Times New Roman" w:eastAsia="Times New Roman" w:hAnsi="Times New Roman"/>
          <w:sz w:val="20"/>
          <w:szCs w:val="20"/>
          <w:color w:val="auto"/>
        </w:rPr>
        <w:t>” [***].</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Contribution Percentage</w:t>
      </w:r>
      <w:r>
        <w:rPr>
          <w:rFonts w:ascii="Times New Roman" w:cs="Times New Roman" w:eastAsia="Times New Roman" w:hAnsi="Times New Roman"/>
          <w:sz w:val="20"/>
          <w:szCs w:val="20"/>
          <w:color w:val="auto"/>
        </w:rPr>
        <w:t>” means, with respect to (i) Figure, five percent (5%), and (ii) Investor, ninety-five percent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(95%).</w:t>
      </w:r>
    </w:p>
    <w:p>
      <w:pPr>
        <w:spacing w:after="0" w:line="169"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Certificate of Formation</w:t>
      </w:r>
      <w:r>
        <w:rPr>
          <w:rFonts w:ascii="Times New Roman" w:cs="Times New Roman" w:eastAsia="Times New Roman" w:hAnsi="Times New Roman"/>
          <w:sz w:val="20"/>
          <w:szCs w:val="20"/>
          <w:color w:val="auto"/>
        </w:rPr>
        <w:t>” means the Certificate of Formation of the Company, as amended from time to time, and filed with the Secretary of State of the State of Delaware.</w:t>
      </w:r>
    </w:p>
    <w:p>
      <w:pPr>
        <w:spacing w:after="0" w:line="125"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means (i) with respect to Figure, that Figure ceases to be Controlled by Figure Corp., and (ii) with respect to Investor, if Investor ceases to be under common Control with SSP.</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Cost Adjustment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4.2(b)(ii)</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Internal Revenue Code of 1986, as amended and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3" w:right="339" w:bottom="1440" w:gutter="0" w:footer="0" w:header="0"/>
        </w:sectPr>
      </w:pPr>
    </w:p>
    <w:bookmarkStart w:id="372" w:name="page373"/>
    <w:bookmarkEnd w:id="372"/>
    <w:p>
      <w:pPr>
        <w:ind w:left="660"/>
        <w:spacing w:after="0"/>
        <w:rPr>
          <w:sz w:val="20"/>
          <w:szCs w:val="20"/>
          <w:color w:val="auto"/>
        </w:rPr>
      </w:pPr>
      <w:r>
        <w:rPr>
          <w:rFonts w:ascii="Times New Roman" w:cs="Times New Roman" w:eastAsia="Times New Roman" w:hAnsi="Times New Roman"/>
          <w:sz w:val="20"/>
          <w:szCs w:val="20"/>
          <w:color w:val="auto"/>
        </w:rPr>
        <w:t>[***]</w:t>
      </w:r>
    </w:p>
    <w:p>
      <w:pPr>
        <w:spacing w:after="0" w:line="15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Commitment Period</w:t>
      </w:r>
      <w:r>
        <w:rPr>
          <w:rFonts w:ascii="Times New Roman" w:cs="Times New Roman" w:eastAsia="Times New Roman" w:hAnsi="Times New Roman"/>
          <w:sz w:val="20"/>
          <w:szCs w:val="20"/>
          <w:color w:val="auto"/>
        </w:rPr>
        <w:t>” means the period beginning on the Side Letter Effective Date and ending on the twelve (12) month anniversary of the Side Letter Effective Date (the “</w:t>
      </w:r>
      <w:r>
        <w:rPr>
          <w:rFonts w:ascii="Times New Roman" w:cs="Times New Roman" w:eastAsia="Times New Roman" w:hAnsi="Times New Roman"/>
          <w:sz w:val="20"/>
          <w:szCs w:val="20"/>
          <w:b w:val="1"/>
          <w:bCs w:val="1"/>
          <w:color w:val="auto"/>
        </w:rPr>
        <w:t>Initial Commitment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so long as the Run-Off Commencement Date has not occurred, during the three (3) months prior to the expiration of the Initial Commitment Period, Investor may elect, in its sole discretion, to extend the Commitment Period for a period of an additional twelve (12) months after the end of the Initial Commitment Period (the “</w:t>
      </w:r>
      <w:r>
        <w:rPr>
          <w:rFonts w:ascii="Times New Roman" w:cs="Times New Roman" w:eastAsia="Times New Roman" w:hAnsi="Times New Roman"/>
          <w:sz w:val="20"/>
          <w:szCs w:val="20"/>
          <w:b w:val="1"/>
          <w:bCs w:val="1"/>
          <w:color w:val="auto"/>
        </w:rPr>
        <w:t>First Renewal Period</w:t>
      </w:r>
      <w:r>
        <w:rPr>
          <w:rFonts w:ascii="Times New Roman" w:cs="Times New Roman" w:eastAsia="Times New Roman" w:hAnsi="Times New Roman"/>
          <w:sz w:val="20"/>
          <w:szCs w:val="20"/>
          <w:color w:val="auto"/>
        </w:rPr>
        <w:t>”) and (ii) so long as the Run-Off Commencement Date has not occurred, during the three (3) months prior to the expiration of the First Renewal Period, the Members may mutually agree to extend the Commitment Period for a period of an additional twelve (12) months after the end of the First Renewal Period. The Commitment Period shall terminate upon the occurrence of the Run-Off Period Commencement Date.</w:t>
      </w:r>
    </w:p>
    <w:p>
      <w:pPr>
        <w:spacing w:after="0" w:line="144"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Common Marketplace Terms</w:t>
      </w:r>
      <w:r>
        <w:rPr>
          <w:rFonts w:ascii="Times New Roman" w:cs="Times New Roman" w:eastAsia="Times New Roman" w:hAnsi="Times New Roman"/>
          <w:sz w:val="20"/>
          <w:szCs w:val="20"/>
          <w:color w:val="auto"/>
        </w:rPr>
        <w:t>” means the Common Marketplace Terms, version 2, version date January 27, 2025, included as Exhibit B to the Marketplace SOW, as amended, supplemented or otherwise modified from time to time, including by the Side Letter.</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the meaning set forth in the preamble hereto.</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Accountant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5.6</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Assets</w:t>
      </w:r>
      <w:r>
        <w:rPr>
          <w:rFonts w:ascii="Times New Roman" w:cs="Times New Roman" w:eastAsia="Times New Roman" w:hAnsi="Times New Roman"/>
          <w:sz w:val="20"/>
          <w:szCs w:val="20"/>
          <w:color w:val="auto"/>
        </w:rPr>
        <w:t>” means, as of any date of determination, the Assets actually owned by the Company, whether directly or indirectly through its Subsidiaries.</w:t>
      </w:r>
    </w:p>
    <w:p>
      <w:pPr>
        <w:spacing w:after="0" w:line="12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Budget</w:t>
      </w:r>
      <w:r>
        <w:rPr>
          <w:rFonts w:ascii="Times New Roman" w:cs="Times New Roman" w:eastAsia="Times New Roman" w:hAnsi="Times New Roman"/>
          <w:sz w:val="20"/>
          <w:szCs w:val="20"/>
          <w:color w:val="auto"/>
        </w:rPr>
        <w:t xml:space="preserve">” means any monthly or annual operating plan or budget (or similar document) covering the Company’s and the Subsidiaries’ anticipated operations, including any Non-Discretionary Expenses, approved by the Board in accordance with this Agreement and in effect from time to time pursuant to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subject to a permitted variance (i) of the amounts set forth therein by ten percent (10%) with respect to each line item included therein, and (ii) up to the actual amount of any Non- Discretionary Expenses to the extent such Non-Discretionary expense is included as a line item therein.</w:t>
      </w:r>
    </w:p>
    <w:p>
      <w:pPr>
        <w:spacing w:after="0" w:line="14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Expenses</w:t>
      </w:r>
      <w:r>
        <w:rPr>
          <w:rFonts w:ascii="Times New Roman" w:cs="Times New Roman" w:eastAsia="Times New Roman" w:hAnsi="Times New Roman"/>
          <w:sz w:val="20"/>
          <w:szCs w:val="20"/>
          <w:color w:val="auto"/>
        </w:rPr>
        <w:t xml:space="preserve">” means all costs, expenses, fees and other amounts payable in connection with operating the Company and its Subsidiaries incurred by or on behalf of the Company or its Subsidiaries (including any amounts incurred by any Member, the Board or Manager and reimbursed by the Company in accordance with </w:t>
      </w:r>
      <w:r>
        <w:rPr>
          <w:rFonts w:ascii="Times New Roman" w:cs="Times New Roman" w:eastAsia="Times New Roman" w:hAnsi="Times New Roman"/>
          <w:sz w:val="20"/>
          <w:szCs w:val="20"/>
          <w:u w:val="single" w:color="auto"/>
          <w:color w:val="auto"/>
        </w:rPr>
        <w:t>Section 8.10</w:t>
      </w:r>
      <w:r>
        <w:rPr>
          <w:rFonts w:ascii="Times New Roman" w:cs="Times New Roman" w:eastAsia="Times New Roman" w:hAnsi="Times New Roman"/>
          <w:sz w:val="20"/>
          <w:szCs w:val="20"/>
          <w:color w:val="auto"/>
        </w:rPr>
        <w:t>), including, without limitation: (a) Organizational Expenses; (b) fees, costs and expenses of servicers, financing sources, custodians, administrators, agents, outside counsel, banks, tax advisors, auditors, administrators, consultants, compliance firms, information technology providers, diligence services providers, depositaries, accountants and advisors; (c) costs and expenses related to identifying, evaluating, arranging, negotiating, structuring, trading, or settling any transaction contemplated for investment by the Company or its Subsidiaries (regardless of whether such transaction is subsequently consummated); (d) costs, fees, expenses and other amounts payable in connection with monitoring, holding (including owning, operating, and maintaining), marketing, hedging, valuing, financing, securitizing, or selling any Assets, including record-keeping expenses; (e) costs of reporting to the Members, tax returns and Schedule K-1s, and of any meetings of the Board or the Members; (f) any taxes, fees or other governmental charges levied against the Company, its Subsidiaries, or on its income or assets or in connection with its business or operations; (g) insurance costs, expenses, and fees, including premiums; (h) costs, expenses, and other amounts payable in connection with any litigation and threatened litigation; (i) costs, expenses, and other amounts payable in connection with indemnification obligations; (j) liquidation costs and expenses; (k) capital payments, interest and other expenses in respect of indebtedness for borrowed money; (l) extraordinary expenses, including fees and expenses associated with any tax or other audit, investigation, proceeding, regulatory matter, settlement or review of the Company or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3" w:right="339" w:bottom="1440" w:gutter="0" w:footer="0" w:header="0"/>
        </w:sectPr>
      </w:pPr>
    </w:p>
    <w:bookmarkStart w:id="373" w:name="page374"/>
    <w:bookmarkEnd w:id="373"/>
    <w:p>
      <w:pPr>
        <w:jc w:val="both"/>
        <w:ind w:firstLine="8"/>
        <w:spacing w:after="0" w:line="253" w:lineRule="auto"/>
        <w:tabs>
          <w:tab w:leader="none" w:pos="335"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and expenses related to the Company’s and its Subsidiaries’ compliance with applicable laws; (n) amounts payable by the Company or its Subsidiaries pursuant to this Agreement, the Basic Documents or any other agreement entered into in accordance with this Agreement to which the Company or any Subsidiary is a party; (o) all deposits into reserve accounts established in accordance with this Agreement; (p) costs and expenses related to any road show or other marketing activities in connection with the business activities of the Company or any of its Subsidiaries; and (q) all other costs, expenses, and other amounts properly chargeable to the activities of the Company and its Subsidiaries.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Offer</w:t>
      </w:r>
      <w:r>
        <w:rPr>
          <w:rFonts w:ascii="Times New Roman" w:cs="Times New Roman" w:eastAsia="Times New Roman" w:hAnsi="Times New Roman"/>
          <w:sz w:val="20"/>
          <w:szCs w:val="20"/>
          <w:color w:val="auto"/>
        </w:rPr>
        <w:t xml:space="preserve">” has the meaning set forth </w:t>
      </w:r>
      <w:r>
        <w:rPr>
          <w:rFonts w:ascii="Times New Roman" w:cs="Times New Roman" w:eastAsia="Times New Roman" w:hAnsi="Times New Roman"/>
          <w:sz w:val="20"/>
          <w:szCs w:val="20"/>
          <w:u w:val="single" w:color="auto"/>
          <w:color w:val="auto"/>
        </w:rPr>
        <w:t>Section 4.3(d)</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Property</w:t>
      </w:r>
      <w:r>
        <w:rPr>
          <w:rFonts w:ascii="Times New Roman" w:cs="Times New Roman" w:eastAsia="Times New Roman" w:hAnsi="Times New Roman"/>
          <w:sz w:val="20"/>
          <w:szCs w:val="20"/>
          <w:color w:val="auto"/>
        </w:rPr>
        <w:t>” means, as of any date of determination, the Company Assets and all other assets and properties owned by the Company, whether directly or indirectly through the Subsidiaries.</w:t>
      </w:r>
    </w:p>
    <w:p>
      <w:pPr>
        <w:spacing w:after="0" w:line="12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Competitor</w:t>
      </w:r>
      <w:r>
        <w:rPr>
          <w:rFonts w:ascii="Times New Roman" w:cs="Times New Roman" w:eastAsia="Times New Roman" w:hAnsi="Times New Roman"/>
          <w:sz w:val="19"/>
          <w:szCs w:val="19"/>
          <w:color w:val="auto"/>
        </w:rPr>
        <w:t>” means, (i) ICE Mortgage Technology, Inc. (ii) Optimal Blue, LLC, (iii) Tradeweb Markets LLC, (iv) any Person (including any other mortgage tech company) directly or indirectly engaged in the origination, aggregation and/or securitization of greater than $25,000,000 per month or greater than $300,000,000 per year of Restricted Assets, (v) any Affiliate of any of the foregoing Persons, and</w:t>
      </w:r>
    </w:p>
    <w:p>
      <w:pPr>
        <w:spacing w:after="0" w:line="1" w:lineRule="exact"/>
        <w:rPr>
          <w:sz w:val="20"/>
          <w:szCs w:val="20"/>
          <w:color w:val="auto"/>
        </w:rPr>
      </w:pPr>
    </w:p>
    <w:p>
      <w:pPr>
        <w:jc w:val="both"/>
        <w:ind w:firstLine="8"/>
        <w:spacing w:after="0" w:line="249" w:lineRule="auto"/>
        <w:tabs>
          <w:tab w:leader="none" w:pos="309"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that directly or indirectly owns thirty percent (30%) or more of the beneficial interests in any of the foregoing Persons. “</w:t>
      </w:r>
      <w:r>
        <w:rPr>
          <w:rFonts w:ascii="Times New Roman" w:cs="Times New Roman" w:eastAsia="Times New Roman" w:hAnsi="Times New Roman"/>
          <w:sz w:val="20"/>
          <w:szCs w:val="20"/>
          <w:b w:val="1"/>
          <w:bCs w:val="1"/>
          <w:color w:val="auto"/>
        </w:rPr>
        <w:t>Restricted Assets</w:t>
      </w:r>
      <w:r>
        <w:rPr>
          <w:rFonts w:ascii="Times New Roman" w:cs="Times New Roman" w:eastAsia="Times New Roman" w:hAnsi="Times New Roman"/>
          <w:sz w:val="20"/>
          <w:szCs w:val="20"/>
          <w:color w:val="auto"/>
        </w:rPr>
        <w:t>” for purposes of this definition means any asset or types of Assets with respect to which Figure or any of its Related Parties is engaged in any business or otherwise involved.</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14.13(a)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Conflict of Interest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8.1(f)</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Contributing Member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(including, with correlative meanings, the terms “controlling,”, “controlled by” and “under common control with”), as used with respect to any Person, shall mean the possession, directly or indirectly, of the power to direct or cause the direction of the management and policies of such Person, whether through the ownership of voting interests of such Person, by contract or otherwise. A Person may be considered “controlled” by a Person even if one or more other Persons hold “major decision” or similar rights.</w:t>
      </w:r>
    </w:p>
    <w:p>
      <w:pPr>
        <w:spacing w:after="0" w:line="13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Cooling Off Period</w:t>
      </w:r>
      <w:r>
        <w:rPr>
          <w:rFonts w:ascii="Times New Roman" w:cs="Times New Roman" w:eastAsia="Times New Roman" w:hAnsi="Times New Roman"/>
          <w:sz w:val="20"/>
          <w:szCs w:val="20"/>
          <w:color w:val="auto"/>
        </w:rPr>
        <w:t>” means with respect to any Defaulting Member, the six (6) month anniversary of the later of (a) such Member becoming a Defaulting Member or (b) the expiration of the Commitment Period.</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Corporate Opportunity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7.4(d)</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Covered Persons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8.6(b)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CTA</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14.16(a)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Deadlock</w:t>
      </w:r>
      <w:r>
        <w:rPr>
          <w:rFonts w:ascii="Times New Roman" w:cs="Times New Roman" w:eastAsia="Times New Roman" w:hAnsi="Times New Roman"/>
          <w:sz w:val="20"/>
          <w:szCs w:val="20"/>
          <w:color w:val="auto"/>
        </w:rPr>
        <w:t>” means the failure of the Figure Managers and SSP Managers to agree upon any Material Decision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3" w:right="339" w:bottom="1440" w:gutter="0" w:footer="0" w:header="0"/>
        </w:sectPr>
      </w:pPr>
    </w:p>
    <w:bookmarkStart w:id="374" w:name="page375"/>
    <w:bookmarkEnd w:id="374"/>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 Rate</w:t>
      </w:r>
      <w:r>
        <w:rPr>
          <w:rFonts w:ascii="Times New Roman" w:cs="Times New Roman" w:eastAsia="Times New Roman" w:hAnsi="Times New Roman"/>
          <w:sz w:val="20"/>
          <w:szCs w:val="20"/>
          <w:color w:val="auto"/>
        </w:rPr>
        <w:t>” means a rate determined in the sole and absolute discretion of the Person advancing the applicable Member Loan, not to exceed [***], based on actual/365 days, compounded quarterly, or if lower the maximum rate allowed under applicable law.</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Defaulting Member</w:t>
      </w:r>
      <w:r>
        <w:rPr>
          <w:rFonts w:ascii="Times New Roman" w:cs="Times New Roman" w:eastAsia="Times New Roman" w:hAnsi="Times New Roman"/>
          <w:sz w:val="20"/>
          <w:szCs w:val="20"/>
          <w:color w:val="auto"/>
        </w:rPr>
        <w:t>” means a Member with respect to which a Bad Act Termination Event has occurred and is then continuing.</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Designated Individual</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11.2(a)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Distribution</w:t>
      </w:r>
      <w:r>
        <w:rPr>
          <w:rFonts w:ascii="Times New Roman" w:cs="Times New Roman" w:eastAsia="Times New Roman" w:hAnsi="Times New Roman"/>
          <w:sz w:val="20"/>
          <w:szCs w:val="20"/>
          <w:color w:val="auto"/>
        </w:rPr>
        <w:t>” means distributions made to a Member on account of its Membership Interest pursuant to this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has the meaning set forth in the preamble hereto.</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means the Employee Retirement Income Security Act of 1974, as amended from time to time.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has the meaning set forth in the definition of “</w:t>
      </w:r>
      <w:r>
        <w:rPr>
          <w:rFonts w:ascii="Times New Roman" w:cs="Times New Roman" w:eastAsia="Times New Roman" w:hAnsi="Times New Roman"/>
          <w:sz w:val="20"/>
          <w:szCs w:val="20"/>
          <w:b w:val="1"/>
          <w:bCs w:val="1"/>
          <w:color w:val="auto"/>
        </w:rPr>
        <w:t>Bad Act Termination Event</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Excusable Employee Misconduct</w:t>
      </w:r>
      <w:r>
        <w:rPr>
          <w:rFonts w:ascii="Times New Roman" w:cs="Times New Roman" w:eastAsia="Times New Roman" w:hAnsi="Times New Roman"/>
          <w:sz w:val="20"/>
          <w:szCs w:val="20"/>
          <w:color w:val="auto"/>
        </w:rPr>
        <w:t xml:space="preserve">” means, with respect to a Bad Act Termination Event under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of the definition thereof,</w:t>
      </w:r>
    </w:p>
    <w:p>
      <w:pPr>
        <w:spacing w:after="0" w:line="26" w:lineRule="exact"/>
        <w:rPr>
          <w:sz w:val="20"/>
          <w:szCs w:val="20"/>
          <w:color w:val="auto"/>
        </w:rPr>
      </w:pPr>
    </w:p>
    <w:p>
      <w:pPr>
        <w:jc w:val="both"/>
        <w:ind w:firstLine="8"/>
        <w:spacing w:after="0" w:line="237" w:lineRule="auto"/>
        <w:tabs>
          <w:tab w:leader="none" w:pos="293"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conduct that would otherwise constitute a Bad Act Termination Event (the “</w:t>
      </w:r>
      <w:r>
        <w:rPr>
          <w:rFonts w:ascii="Times New Roman" w:cs="Times New Roman" w:eastAsia="Times New Roman" w:hAnsi="Times New Roman"/>
          <w:sz w:val="20"/>
          <w:szCs w:val="20"/>
          <w:b w:val="1"/>
          <w:bCs w:val="1"/>
          <w:color w:val="auto"/>
        </w:rPr>
        <w:t>Applicable Employee Misconduct</w:t>
      </w:r>
      <w:r>
        <w:rPr>
          <w:rFonts w:ascii="Times New Roman" w:cs="Times New Roman" w:eastAsia="Times New Roman" w:hAnsi="Times New Roman"/>
          <w:sz w:val="20"/>
          <w:szCs w:val="20"/>
          <w:color w:val="auto"/>
        </w:rPr>
        <w:t>”) was committed without the participation, actual knowledge or involvement of any Person holding an executive management position (i.e., C-level officers or General Counsel) or higher (or the equivalent) in such Member or any Person that controls, is controlled by or is under common control with such Member; and (b) promptly after (but in any event within five (5) Business Days of) any Manager appointed by such Member or the general counsel of such Member or the parent company of such Member (which for purposes of Figure shall mean Figure Corp.) obtaining actual knowledge of the Applicable Employee Misconduct, such Member provides written notice thereof to the other Member (unless the non-offending Member previously notified the offending Member of such instance of such conduct), and such employee within ten (10) Business Days thereafter is reassigned or discharged such that he or she has no further involvement with the Company, any Subsidiary, or the Company Assets; and (c) such Member, within thirty (30) days after such Member obtaining actual knowledge of the Applicable Employee Misconduct, makes full monetary restitution to the other Member, the Company and/or any Subsidiary, as applicable, for one hundred percent (100%) of all actual direct Indemnifiable Losses, including actual out-of-pocket costs and expenses incurred by such other Member, the Company and/or any Subsidiary, as applicable, and agrees to indemnify, defend and hold harmless the other Member and its related Covered Persons, the Company and the Subsidiaries from all actual direct Indemnifiable Losses such other Member or its related Covered Persons, the Company and/or the Subsidiaries suffer by reason of the same.</w:t>
      </w:r>
    </w:p>
    <w:p>
      <w:pPr>
        <w:spacing w:after="0" w:line="156"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Fair Market Value</w:t>
      </w:r>
      <w:r>
        <w:rPr>
          <w:rFonts w:ascii="Times New Roman" w:cs="Times New Roman" w:eastAsia="Times New Roman" w:hAnsi="Times New Roman"/>
          <w:sz w:val="19"/>
          <w:szCs w:val="19"/>
          <w:color w:val="auto"/>
        </w:rPr>
        <w:t>” means as of any date, the fair market value of an asset or service on such date as determined in good faith by the Members. For this purpose, the Members may in their commercially reasonable discretion value assets that are restricted by law, contract, market conditions or otherwise as to salability or transferability at an appropriate discount, based on the nature and term of such restrictions.</w:t>
      </w:r>
    </w:p>
    <w:p>
      <w:pPr>
        <w:spacing w:after="0" w:line="11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Figure</w:t>
      </w:r>
      <w:r>
        <w:rPr>
          <w:rFonts w:ascii="Times New Roman" w:cs="Times New Roman" w:eastAsia="Times New Roman" w:hAnsi="Times New Roman"/>
          <w:sz w:val="20"/>
          <w:szCs w:val="20"/>
          <w:color w:val="auto"/>
        </w:rPr>
        <w:t>” means, individually and/or collectively as the context may require, the Figure Member, and each of its Affiliates that hold a Membership Interest from time to time.</w:t>
      </w:r>
    </w:p>
    <w:p>
      <w:pPr>
        <w:spacing w:after="0" w:line="11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Figure Connect Documents</w:t>
      </w:r>
      <w:r>
        <w:rPr>
          <w:rFonts w:ascii="Times New Roman" w:cs="Times New Roman" w:eastAsia="Times New Roman" w:hAnsi="Times New Roman"/>
          <w:sz w:val="20"/>
          <w:szCs w:val="20"/>
          <w:color w:val="auto"/>
        </w:rPr>
        <w:t>” means the Master Services Agreement, the Marketplace SOW (including the Marketplace Rules), the Common Marketplace Terms and Marketplace Glossary attached thereto, the Side Letter, each Transaction Terms Agreement and the Servicing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09" w:right="339" w:bottom="1440" w:gutter="0" w:footer="0" w:header="0"/>
        </w:sectPr>
      </w:pPr>
    </w:p>
    <w:bookmarkStart w:id="375" w:name="page376"/>
    <w:bookmarkEnd w:id="375"/>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Figure Corp</w:t>
      </w:r>
      <w:r>
        <w:rPr>
          <w:rFonts w:ascii="Times New Roman" w:cs="Times New Roman" w:eastAsia="Times New Roman" w:hAnsi="Times New Roman"/>
          <w:sz w:val="20"/>
          <w:szCs w:val="20"/>
          <w:color w:val="auto"/>
        </w:rPr>
        <w:t>.” means FT Intermediate, Inc., a Delaware corporation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Figure Manager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8.1(b)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Figure Member</w:t>
      </w:r>
      <w:r>
        <w:rPr>
          <w:rFonts w:ascii="Times New Roman" w:cs="Times New Roman" w:eastAsia="Times New Roman" w:hAnsi="Times New Roman"/>
          <w:sz w:val="20"/>
          <w:szCs w:val="20"/>
          <w:color w:val="auto"/>
        </w:rPr>
        <w:t>” has the meaning set forth in the preamble to this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Figure Person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7.4(d)</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Figure Representative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14.11</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Figure Standard Production</w:t>
      </w:r>
      <w:r>
        <w:rPr>
          <w:rFonts w:ascii="Times New Roman" w:cs="Times New Roman" w:eastAsia="Times New Roman" w:hAnsi="Times New Roman"/>
          <w:sz w:val="20"/>
          <w:szCs w:val="20"/>
          <w:color w:val="auto"/>
        </w:rPr>
        <w:t>” means the HELOCs offered for sale on the Figure marketplace as more fully described in the Figure Connect Documents.</w:t>
      </w:r>
    </w:p>
    <w:p>
      <w:pPr>
        <w:spacing w:after="0" w:line="12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“Fiscal Year</w:t>
      </w:r>
      <w:r>
        <w:rPr>
          <w:rFonts w:ascii="Times New Roman" w:cs="Times New Roman" w:eastAsia="Times New Roman" w:hAnsi="Times New Roman"/>
          <w:sz w:val="20"/>
          <w:szCs w:val="20"/>
          <w:color w:val="auto"/>
        </w:rPr>
        <w:t>” means the twelve (12) month period ending on December 31 of each year, or such applicable lesser number of months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the year ended December 31, 2025 or in the final year of the Company’s existence.</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Fundamental Decisions</w:t>
      </w:r>
      <w:r>
        <w:rPr>
          <w:rFonts w:ascii="Times New Roman" w:cs="Times New Roman" w:eastAsia="Times New Roman" w:hAnsi="Times New Roman"/>
          <w:sz w:val="20"/>
          <w:szCs w:val="20"/>
          <w:color w:val="auto"/>
        </w:rPr>
        <w:t>” means those Material Decisions indicated to be a “</w:t>
      </w:r>
      <w:r>
        <w:rPr>
          <w:rFonts w:ascii="Times New Roman" w:cs="Times New Roman" w:eastAsia="Times New Roman" w:hAnsi="Times New Roman"/>
          <w:sz w:val="20"/>
          <w:szCs w:val="20"/>
          <w:b w:val="1"/>
          <w:bCs w:val="1"/>
          <w:color w:val="auto"/>
        </w:rPr>
        <w:t>Fundamental Decision</w:t>
      </w:r>
      <w:r>
        <w:rPr>
          <w:rFonts w:ascii="Times New Roman" w:cs="Times New Roman" w:eastAsia="Times New Roman" w:hAnsi="Times New Roman"/>
          <w:sz w:val="20"/>
          <w:szCs w:val="20"/>
          <w:color w:val="auto"/>
        </w:rPr>
        <w:t xml:space="preserve">” in </w:t>
      </w:r>
      <w:r>
        <w:rPr>
          <w:rFonts w:ascii="Times New Roman" w:cs="Times New Roman" w:eastAsia="Times New Roman" w:hAnsi="Times New Roman"/>
          <w:sz w:val="20"/>
          <w:szCs w:val="20"/>
          <w:u w:val="single" w:color="auto"/>
          <w:color w:val="auto"/>
        </w:rPr>
        <w:t>Section 8.3(a)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means United States generally accepted accounting principles, consistently applied.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Goodwin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14.18</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Entity</w:t>
      </w:r>
      <w:r>
        <w:rPr>
          <w:rFonts w:ascii="Times New Roman" w:cs="Times New Roman" w:eastAsia="Times New Roman" w:hAnsi="Times New Roman"/>
          <w:sz w:val="20"/>
          <w:szCs w:val="20"/>
          <w:color w:val="auto"/>
        </w:rPr>
        <w:t>” means any U.S. federal, state, provincial or local governmental authority, court, government or self-regulatory organization, commission, tribunal or organization or any regulatory, administrative or other agency, or any political or other subdivision, department or branch of any of the foregoing, including any governmental, quasi-governmental or nongovernmental body, or any court, arbitrator, arbitration panel or similar judicial body.</w:t>
      </w:r>
    </w:p>
    <w:p>
      <w:pPr>
        <w:spacing w:after="0" w:line="137"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“Gross Asset Value</w:t>
      </w:r>
      <w:r>
        <w:rPr>
          <w:rFonts w:ascii="Times New Roman" w:cs="Times New Roman" w:eastAsia="Times New Roman" w:hAnsi="Times New Roman"/>
          <w:sz w:val="20"/>
          <w:szCs w:val="20"/>
          <w:color w:val="auto"/>
        </w:rPr>
        <w:t>” means, with respect to any of the Company’s assets, the adjusted basis of such asset for federal income tax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purposes, except as follows:</w:t>
      </w:r>
    </w:p>
    <w:p>
      <w:pPr>
        <w:spacing w:after="0" w:line="142" w:lineRule="exact"/>
        <w:rPr>
          <w:sz w:val="20"/>
          <w:szCs w:val="20"/>
          <w:color w:val="auto"/>
        </w:rPr>
      </w:pPr>
    </w:p>
    <w:p>
      <w:pPr>
        <w:ind w:firstLine="656"/>
        <w:spacing w:after="0" w:line="245" w:lineRule="auto"/>
        <w:tabs>
          <w:tab w:leader="none" w:pos="1158"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initial Gross Asset Value of any asset contributed by a Member to the Company shall be the Fair Market Value of such asset as of the date of such contribution, as mutually determined by the Members;</w:t>
      </w:r>
    </w:p>
    <w:p>
      <w:pPr>
        <w:spacing w:after="0" w:line="181" w:lineRule="exact"/>
        <w:rPr>
          <w:rFonts w:ascii="Times New Roman" w:cs="Times New Roman" w:eastAsia="Times New Roman" w:hAnsi="Times New Roman"/>
          <w:sz w:val="22"/>
          <w:szCs w:val="22"/>
          <w:color w:val="auto"/>
        </w:rPr>
      </w:pPr>
    </w:p>
    <w:p>
      <w:pPr>
        <w:jc w:val="both"/>
        <w:ind w:firstLine="656"/>
        <w:spacing w:after="0" w:line="260" w:lineRule="auto"/>
        <w:tabs>
          <w:tab w:leader="none" w:pos="1237"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Gross Asset Value of each asset shall be adjusted to equal its Fair Market Value, as of the following times: (i) the acquisition of an additional Membership Interest by any new or existing Member in exchange for more than a de minimis Capital Contribution unless the Members determine that such adjustment is not necessary to reflect the relative Membership Interests of the Members of the Company; (ii) the Distribution by the Company to a Member of more than a de minimis amount of Company assets (other than cash) as consideration for all or part of its Membership Interest unless the Members determine that such adjustment is not necessary to reflect the relative Membership Interests of the Members in the Company; (iii) the liquidation of the Company within the meaning of section 1.704-1(b)</w:t>
      </w:r>
    </w:p>
    <w:p>
      <w:pPr>
        <w:spacing w:after="0" w:line="1" w:lineRule="exact"/>
        <w:rPr>
          <w:rFonts w:ascii="Times New Roman" w:cs="Times New Roman" w:eastAsia="Times New Roman" w:hAnsi="Times New Roman"/>
          <w:sz w:val="21"/>
          <w:szCs w:val="21"/>
          <w:color w:val="auto"/>
        </w:rPr>
      </w:pPr>
    </w:p>
    <w:p>
      <w:pPr>
        <w:jc w:val="both"/>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(2)(ii)(g) of the Regulations; (iv) in connection with the grant of an interest in the Company (other than a de minimis interest) as consideration for the provision of services to or for the benefit of the Company by an existing Member acting in a partner capacity, or by a new Member acting in a partner capacity in anticipation of being a Member unless the Members determine that such adjustment is not necessary to reflect the relative Membership Interests of the Members in the Company; and (v) the acquisition of an interest in the Company upon the exercise of a noncompensatory option in accordance with section 1.704-1(b)(2)(iv)(s)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09" w:right="339" w:bottom="1440" w:gutter="0" w:footer="0" w:header="0"/>
        </w:sectPr>
      </w:pPr>
    </w:p>
    <w:bookmarkStart w:id="376" w:name="page377"/>
    <w:bookmarkEnd w:id="376"/>
    <w:p>
      <w:pPr>
        <w:spacing w:after="0" w:line="283" w:lineRule="auto"/>
        <w:rPr>
          <w:sz w:val="20"/>
          <w:szCs w:val="20"/>
          <w:color w:val="auto"/>
        </w:rPr>
      </w:pPr>
      <w:r>
        <w:rPr>
          <w:rFonts w:ascii="Times New Roman" w:cs="Times New Roman" w:eastAsia="Times New Roman" w:hAnsi="Times New Roman"/>
          <w:sz w:val="20"/>
          <w:szCs w:val="20"/>
          <w:color w:val="auto"/>
        </w:rPr>
        <w:t>Regulations; provided that if any noncompensatory option is outstanding, Gross Asset Values shall be adjusted in accordance with sections 1.704-1(b)(2)(iv)(f)(1) and 1.704-1(b)(2)(iv)(h)(2) of the Regulations;</w:t>
      </w:r>
    </w:p>
    <w:p>
      <w:pPr>
        <w:spacing w:after="0" w:line="146" w:lineRule="exact"/>
        <w:rPr>
          <w:sz w:val="20"/>
          <w:szCs w:val="20"/>
          <w:color w:val="auto"/>
        </w:rPr>
      </w:pPr>
    </w:p>
    <w:p>
      <w:pPr>
        <w:ind w:firstLine="656"/>
        <w:spacing w:after="0" w:line="245" w:lineRule="auto"/>
        <w:tabs>
          <w:tab w:leader="none" w:pos="1158"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Gross Asset Value of an asset distributed to any Member shall be the Fair Market Value of such asset as of the date of Distribution thereof;</w:t>
      </w:r>
    </w:p>
    <w:p>
      <w:pPr>
        <w:spacing w:after="0" w:line="181" w:lineRule="exact"/>
        <w:rPr>
          <w:rFonts w:ascii="Times New Roman" w:cs="Times New Roman" w:eastAsia="Times New Roman" w:hAnsi="Times New Roman"/>
          <w:sz w:val="22"/>
          <w:szCs w:val="22"/>
          <w:color w:val="auto"/>
        </w:rPr>
      </w:pPr>
    </w:p>
    <w:p>
      <w:pPr>
        <w:jc w:val="both"/>
        <w:ind w:firstLine="656"/>
        <w:spacing w:after="0" w:line="246" w:lineRule="auto"/>
        <w:tabs>
          <w:tab w:leader="none" w:pos="1197"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Gross Asset Value of each asset shall be increased or decreased, as the case may be, to reflect any adjustments to the adjusted basis of such asset pursuant to section 734(b) or 743(b) of the Code, but only to the extent that such adjustments are taken into account in determining Capital Accounts pursuant to section 1.704-1(b)(2)(iv)(m) of the Regulations; provided, however, that Gross Asset</w:t>
      </w:r>
    </w:p>
    <w:p>
      <w:pPr>
        <w:spacing w:after="0"/>
        <w:rPr>
          <w:sz w:val="20"/>
          <w:szCs w:val="20"/>
          <w:color w:val="auto"/>
        </w:rPr>
      </w:pPr>
      <w:r>
        <w:rPr>
          <w:rFonts w:ascii="Times New Roman" w:cs="Times New Roman" w:eastAsia="Times New Roman" w:hAnsi="Times New Roman"/>
          <w:sz w:val="19"/>
          <w:szCs w:val="19"/>
          <w:color w:val="auto"/>
        </w:rPr>
        <w:t>Values shall not be adjusted pursuant to this paragraph (d) to the extent that the Members determine that an adjustment pursuant to paragraph</w:t>
      </w:r>
    </w:p>
    <w:p>
      <w:pPr>
        <w:spacing w:after="0" w:line="18" w:lineRule="exact"/>
        <w:rPr>
          <w:sz w:val="20"/>
          <w:szCs w:val="20"/>
          <w:color w:val="auto"/>
        </w:rPr>
      </w:pPr>
    </w:p>
    <w:p>
      <w:pPr>
        <w:ind w:firstLine="8"/>
        <w:spacing w:after="0" w:line="260" w:lineRule="auto"/>
        <w:tabs>
          <w:tab w:leader="none" w:pos="28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is necessary or appropriate in conjunction with a transaction that would otherwise result in an adjustment pursuant to this paragraph (d); and</w:t>
      </w:r>
    </w:p>
    <w:p>
      <w:pPr>
        <w:spacing w:after="0" w:line="1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If the Gross Asset Value of an asset has been determined or adjusted pursuant to paragraph (a), (b) or (d) above, such Gross Asset Value shall thereafter be adjusted to reflect the depreciation or amortization taken into account with respect to such asset for purposes of computing Profits and Losses.</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HELOC</w:t>
      </w:r>
      <w:r>
        <w:rPr>
          <w:rFonts w:ascii="Times New Roman" w:cs="Times New Roman" w:eastAsia="Times New Roman" w:hAnsi="Times New Roman"/>
          <w:sz w:val="20"/>
          <w:szCs w:val="20"/>
          <w:color w:val="auto"/>
        </w:rPr>
        <w:t>” shall have the meaning given to such term in the Marketplace Glossary.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Indemnifiable Losses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8.6(b)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Initial Capital Contribution</w:t>
      </w:r>
      <w:r>
        <w:rPr>
          <w:rFonts w:ascii="Times New Roman" w:cs="Times New Roman" w:eastAsia="Times New Roman" w:hAnsi="Times New Roman"/>
          <w:sz w:val="20"/>
          <w:szCs w:val="20"/>
          <w:color w:val="auto"/>
        </w:rPr>
        <w:t>” means, with respect to each of Figure and Investor, 50% of all Organizational Expenses.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Initial Company Budget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Insolvency Event</w:t>
      </w:r>
      <w:r>
        <w:rPr>
          <w:rFonts w:ascii="Times New Roman" w:cs="Times New Roman" w:eastAsia="Times New Roman" w:hAnsi="Times New Roman"/>
          <w:sz w:val="20"/>
          <w:szCs w:val="20"/>
          <w:color w:val="auto"/>
        </w:rPr>
        <w:t>” means, with respect to a Person, (a) such Person filing a voluntary petition in bankruptcy or initiating any proceedings to have such Person adjudicated bankrupt or insolvent, (b) such Person being adjudicated bankrupt or insolvent, or consenting to the institution of bankruptcy or insolvency proceedings, (c) such Person having entered against it an order for relief, in any bankruptcy or insolvency proceedings, (d) such Person filing a petition seeking or consenting to reorganization or relief of such Person as debtor under any applicable law relating to bankruptcy, insolvency or other relief for debtors with respect to such Person; or seeking or consenting to the appointment of any trustee, receiver, conservator, assignee, sequestrator, custodian, liquidator (or other similar official) of such Person or of all or any substantial part of the properties and assets of such Person, or (e) such Person making any general assignment for the benefit of creditors with respect to such Person or taking any action in furtherance of any of the foregoing; provided, in each of the foregoing cases, that if such proceeding or action is involuntary, then the same shall not be deemed to constitute an “Insolvency Event” unless such proceeding is not dismissed or stayed within sixty (60) days of its initiation. The foregoing definition of “Insolvent Event” is intended to replace and shall supersede and replace the definition of “Bankruptcy” set forth in Sections 18-101(1) and 18-304 of the Delaware Act.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Instructions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8.2(c)</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Investment Business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Investor</w:t>
      </w:r>
      <w:r>
        <w:rPr>
          <w:rFonts w:ascii="Times New Roman" w:cs="Times New Roman" w:eastAsia="Times New Roman" w:hAnsi="Times New Roman"/>
          <w:sz w:val="20"/>
          <w:szCs w:val="20"/>
          <w:color w:val="auto"/>
        </w:rPr>
        <w:t>” means, individually and/or collectively as the context may require, the Investor Member, and each of its Affiliates that hold a Membership Interest from time to time.</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Investor Member</w:t>
      </w:r>
      <w:r>
        <w:rPr>
          <w:rFonts w:ascii="Times New Roman" w:cs="Times New Roman" w:eastAsia="Times New Roman" w:hAnsi="Times New Roman"/>
          <w:sz w:val="20"/>
          <w:szCs w:val="20"/>
          <w:color w:val="auto"/>
        </w:rPr>
        <w:t>” has the meaning set forth in the preamble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13" w:right="339" w:bottom="1440" w:gutter="0" w:footer="0" w:header="0"/>
        </w:sectPr>
      </w:pPr>
    </w:p>
    <w:bookmarkStart w:id="377" w:name="page378"/>
    <w:bookmarkEnd w:id="377"/>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Investor Representative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14.11</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Manager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Management Standard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8.2(f)</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Marketplace Application</w:t>
      </w:r>
      <w:r>
        <w:rPr>
          <w:rFonts w:ascii="Times New Roman" w:cs="Times New Roman" w:eastAsia="Times New Roman" w:hAnsi="Times New Roman"/>
          <w:sz w:val="20"/>
          <w:szCs w:val="20"/>
          <w:color w:val="auto"/>
        </w:rPr>
        <w:t>” shall have the meaning given to such term in the Marketplace Glossary.</w:t>
      </w:r>
    </w:p>
    <w:p>
      <w:pPr>
        <w:spacing w:after="0" w:line="18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Marketplace Glossary</w:t>
      </w:r>
      <w:r>
        <w:rPr>
          <w:rFonts w:ascii="Times New Roman" w:cs="Times New Roman" w:eastAsia="Times New Roman" w:hAnsi="Times New Roman"/>
          <w:sz w:val="20"/>
          <w:szCs w:val="20"/>
          <w:color w:val="auto"/>
        </w:rPr>
        <w:t>” means the Marketplace Glossary, version 2, version date January 27, 2025 included as Exhibit C to the Marketplace SOW, as amended, supplemented or otherwise modified from time to time, including by the Side Letter.</w:t>
      </w:r>
    </w:p>
    <w:p>
      <w:pPr>
        <w:spacing w:after="0" w:line="12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Marketplace Rules</w:t>
      </w:r>
      <w:r>
        <w:rPr>
          <w:rFonts w:ascii="Times New Roman" w:cs="Times New Roman" w:eastAsia="Times New Roman" w:hAnsi="Times New Roman"/>
          <w:sz w:val="20"/>
          <w:szCs w:val="20"/>
          <w:color w:val="auto"/>
        </w:rPr>
        <w:t>” means the Marketplace Rules, version 2, version date January 27, 2025, included as Exhibit A to the Marketplace SOW, as amended, supplemented or otherwise modified from time to time, including by the Side Letter.</w:t>
      </w:r>
    </w:p>
    <w:p>
      <w:pPr>
        <w:spacing w:after="0" w:line="11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Marketplace SOW</w:t>
      </w:r>
      <w:r>
        <w:rPr>
          <w:rFonts w:ascii="Times New Roman" w:cs="Times New Roman" w:eastAsia="Times New Roman" w:hAnsi="Times New Roman"/>
          <w:sz w:val="20"/>
          <w:szCs w:val="20"/>
          <w:color w:val="auto"/>
        </w:rPr>
        <w:t>” means the Statement of Work (SOW): Marketplace Application, dated as of the Side Letter Effective Date, between Figure Lending LLC and the Company, as amended, supplemented or otherwise modified from time to time, including by the Side Letter.</w:t>
      </w:r>
    </w:p>
    <w:p>
      <w:pPr>
        <w:spacing w:after="0" w:line="135"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Master Services Agreement</w:t>
      </w:r>
      <w:r>
        <w:rPr>
          <w:rFonts w:ascii="Times New Roman" w:cs="Times New Roman" w:eastAsia="Times New Roman" w:hAnsi="Times New Roman"/>
          <w:sz w:val="19"/>
          <w:szCs w:val="19"/>
          <w:color w:val="auto"/>
        </w:rPr>
        <w:t>” means the Master Services Agreement, Version 2, dated as of the Side Letter Effective Date, between Figure Lending LLC and the Company, as amended, supplemented or otherwise modified from time to time, including by the Side Letter.</w:t>
      </w:r>
    </w:p>
    <w:p>
      <w:pPr>
        <w:spacing w:after="0" w:line="10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Adverse Effect</w:t>
      </w:r>
      <w:r>
        <w:rPr>
          <w:rFonts w:ascii="Times New Roman" w:cs="Times New Roman" w:eastAsia="Times New Roman" w:hAnsi="Times New Roman"/>
          <w:sz w:val="20"/>
          <w:szCs w:val="20"/>
          <w:color w:val="auto"/>
        </w:rPr>
        <w:t>” means, (i) with respect to any a Person, any event or occurrence, that has or would reasonably be expected to have a material and adverse effect on the business, assets, properties or condition (financial or otherwise) of such Person as a whole, or (ii) with respect to the Company and its Subsidiaries, any event or occurrence that has or would reasonably be expected to have a material and adverse effect on the value of the HELOCs or Other Assets acquired by the Company and its Subsidiaries, as a whole.</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Decisions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8.3(a)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Maturity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9.4(c)</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Member</w:t>
      </w:r>
      <w:r>
        <w:rPr>
          <w:rFonts w:ascii="Times New Roman" w:cs="Times New Roman" w:eastAsia="Times New Roman" w:hAnsi="Times New Roman"/>
          <w:sz w:val="20"/>
          <w:szCs w:val="20"/>
          <w:color w:val="auto"/>
        </w:rPr>
        <w:t>” means the Figure Member and/or the Investor Member and any other party executing or otherwise acceding to this Agreement as a holder of Membership Interests and admitted as a member of the Company, subject to and in accordance with the terms and provisions of this Agreement.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Member Default Loan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9.4(c)</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Member’s Tax Distribution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10.6(d)</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Membership Interest</w:t>
      </w:r>
      <w:r>
        <w:rPr>
          <w:rFonts w:ascii="Times New Roman" w:cs="Times New Roman" w:eastAsia="Times New Roman" w:hAnsi="Times New Roman"/>
          <w:sz w:val="20"/>
          <w:szCs w:val="20"/>
          <w:color w:val="auto"/>
        </w:rPr>
        <w:t>” means, with respect to any Member at any time, the equitable and beneficial interest of such Member in the Company, including, without limitation, the right to receive allocations of Profits and Losses, Distributions, returns of capital, and Distributions of assets upon a dissolution of the Company pursuant to the terms and conditions hereof, together with the obligations of such Member to comply with all of the terms and provisions of this Agreement.</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Membership Interest Buyout Price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4.3(d)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09" w:right="339" w:bottom="1440" w:gutter="0" w:footer="0" w:header="0"/>
        </w:sectPr>
      </w:pPr>
    </w:p>
    <w:bookmarkStart w:id="378" w:name="page379"/>
    <w:bookmarkEnd w:id="378"/>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Morgan Lewis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14.18</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Cash Flow</w:t>
      </w:r>
      <w:r>
        <w:rPr>
          <w:rFonts w:ascii="Times New Roman" w:cs="Times New Roman" w:eastAsia="Times New Roman" w:hAnsi="Times New Roman"/>
          <w:sz w:val="20"/>
          <w:szCs w:val="20"/>
          <w:color w:val="auto"/>
        </w:rPr>
        <w:t>” means, for any date on which a Distribution is to be made in accordance with this Agreement, all cash available for distribution by the Company, as determined in the good faith discretion of the Administrative Member in excess of amounts retained by the Company for other purposes, including to: (a) pay any Company Expenses, and (b) any other amounts that the Board deems reasonably necessary or appropriate to reserve for future or anticipated costs, expenses, charges, or Obligations of the Company and the Subsidiaries; provided that cash contributed by the Members as Capital Contributions shall not be included in the calculation of “</w:t>
      </w:r>
      <w:r>
        <w:rPr>
          <w:rFonts w:ascii="Times New Roman" w:cs="Times New Roman" w:eastAsia="Times New Roman" w:hAnsi="Times New Roman"/>
          <w:sz w:val="20"/>
          <w:szCs w:val="20"/>
          <w:b w:val="1"/>
          <w:bCs w:val="1"/>
          <w:color w:val="auto"/>
        </w:rPr>
        <w:t>Net Cash Flow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Member shall cooperate with Investor in its review and evaluation of any such determination of Net Cash Flow, and shall provide, or cause to be provided, to Investor and its Representatives such supporting documentation as may be reasonably requested by Investor in connection therewith, and in the event Investor does not agree with any such determination of Net Cash Flow, Administrative Member shall consider any potential adjustments proposed by Investor with respect to such determination of Net Cash Flow, and make any corresponding changes to such determination of Net Cash Flow that Administrative Member reasonably deems appropriate based on Investor’s proposed adjustments, and to the extent Administrative Member makes any such changes that would have that effect of increasing or decreasing Net Cash Flow, Administrative Member will make appropriate adjustments to the amounts to be distributed to the Members in the next distribution made to the Members pursuant to </w:t>
      </w:r>
      <w:r>
        <w:rPr>
          <w:rFonts w:ascii="Times New Roman" w:cs="Times New Roman" w:eastAsia="Times New Roman" w:hAnsi="Times New Roman"/>
          <w:sz w:val="20"/>
          <w:szCs w:val="20"/>
          <w:u w:val="single" w:color="auto"/>
          <w:color w:val="auto"/>
        </w:rPr>
        <w:t>Section 10.6(a)</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Non-Contributing Member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Non-Defaulting Member</w:t>
      </w:r>
      <w:r>
        <w:rPr>
          <w:rFonts w:ascii="Times New Roman" w:cs="Times New Roman" w:eastAsia="Times New Roman" w:hAnsi="Times New Roman"/>
          <w:sz w:val="20"/>
          <w:szCs w:val="20"/>
          <w:color w:val="auto"/>
        </w:rPr>
        <w:t>” means any Member with respect to which a Bad Act Termination Event is not then continuing.</w:t>
      </w:r>
    </w:p>
    <w:p>
      <w:pPr>
        <w:spacing w:after="0" w:line="18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Non-Discretionary Expenses</w:t>
      </w:r>
      <w:r>
        <w:rPr>
          <w:rFonts w:ascii="Times New Roman" w:cs="Times New Roman" w:eastAsia="Times New Roman" w:hAnsi="Times New Roman"/>
          <w:sz w:val="20"/>
          <w:szCs w:val="20"/>
          <w:color w:val="auto"/>
        </w:rPr>
        <w:t>” means taxes, insurance premiums under policies obtained in accordance with this Agreement, utilities, hedging costs, servicing fees and any amounts due and payable pursuant to contracts or other agreements entered into by the Company or the Subsidiaries in accordance with this Agreement.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Nonrecourse Deductions</w:t>
      </w:r>
      <w:r>
        <w:rPr>
          <w:rFonts w:ascii="Times New Roman" w:cs="Times New Roman" w:eastAsia="Times New Roman" w:hAnsi="Times New Roman"/>
          <w:sz w:val="20"/>
          <w:szCs w:val="20"/>
          <w:color w:val="auto"/>
        </w:rPr>
        <w:t>” has the meaning set forth in sections 1.704-2(b)(1) and 1.704-2(c) of the Regulations.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Nonrecourse Liability</w:t>
      </w:r>
      <w:r>
        <w:rPr>
          <w:rFonts w:ascii="Times New Roman" w:cs="Times New Roman" w:eastAsia="Times New Roman" w:hAnsi="Times New Roman"/>
          <w:sz w:val="20"/>
          <w:szCs w:val="20"/>
          <w:color w:val="auto"/>
        </w:rPr>
        <w:t>” has the meaning set forth in section 1.704-2(b)(3) of the Regulations.</w:t>
      </w:r>
    </w:p>
    <w:p>
      <w:pPr>
        <w:spacing w:after="0" w:line="18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Obligations</w:t>
      </w:r>
      <w:r>
        <w:rPr>
          <w:rFonts w:ascii="Times New Roman" w:cs="Times New Roman" w:eastAsia="Times New Roman" w:hAnsi="Times New Roman"/>
          <w:sz w:val="20"/>
          <w:szCs w:val="20"/>
          <w:color w:val="auto"/>
        </w:rPr>
        <w:t>” means the indebtedness, liabilities and obligations of the Company and/or the Subsidiaries to Persons other than Members under or in connection with this Agreement, the Basic Documents or any other document entered into in accordance with this Agreement (including, without limitation, any financing documents) and in effect as of any date of determination.</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OFAC</w:t>
      </w:r>
      <w:r>
        <w:rPr>
          <w:rFonts w:ascii="Times New Roman" w:cs="Times New Roman" w:eastAsia="Times New Roman" w:hAnsi="Times New Roman"/>
          <w:sz w:val="20"/>
          <w:szCs w:val="20"/>
          <w:color w:val="auto"/>
        </w:rPr>
        <w:t>” means the U.S. Department of the Treasury’s Office of Foreign Assets Control.</w:t>
      </w:r>
    </w:p>
    <w:p>
      <w:pPr>
        <w:spacing w:after="0" w:line="18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OFAC List</w:t>
      </w:r>
      <w:r>
        <w:rPr>
          <w:rFonts w:ascii="Times New Roman" w:cs="Times New Roman" w:eastAsia="Times New Roman" w:hAnsi="Times New Roman"/>
          <w:sz w:val="20"/>
          <w:szCs w:val="20"/>
          <w:color w:val="auto"/>
        </w:rPr>
        <w:t>” is any list of Persons with whom or which transactions or dealings are prohibited or restricted that is administered or maintained by OFAC or the U.S. State Department, including the List of Specially Designated Nationals and Blocked Persons.</w:t>
      </w:r>
    </w:p>
    <w:p>
      <w:pPr>
        <w:spacing w:after="0" w:line="12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Organizational Expenses</w:t>
      </w:r>
      <w:r>
        <w:rPr>
          <w:rFonts w:ascii="Times New Roman" w:cs="Times New Roman" w:eastAsia="Times New Roman" w:hAnsi="Times New Roman"/>
          <w:sz w:val="20"/>
          <w:szCs w:val="20"/>
          <w:color w:val="auto"/>
        </w:rPr>
        <w:t>” means fees, costs and expenses (including, without limitation, fees and disbursements of attorneys (including tax and regulatory counsel) and other professionals) in connection with the organization or formation of the Company and its Subsidiaries, including, without limitation, fees and disbursements of attorneys and other professionals incurred by the Company and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09" w:right="339" w:bottom="1440" w:gutter="0" w:footer="0" w:header="0"/>
        </w:sectPr>
      </w:pPr>
    </w:p>
    <w:bookmarkStart w:id="379" w:name="page380"/>
    <w:bookmarkEnd w:id="379"/>
    <w:p>
      <w:pPr>
        <w:jc w:val="both"/>
        <w:spacing w:after="0" w:line="283" w:lineRule="auto"/>
        <w:rPr>
          <w:sz w:val="20"/>
          <w:szCs w:val="20"/>
          <w:color w:val="auto"/>
        </w:rPr>
      </w:pPr>
      <w:r>
        <w:rPr>
          <w:rFonts w:ascii="Times New Roman" w:cs="Times New Roman" w:eastAsia="Times New Roman" w:hAnsi="Times New Roman"/>
          <w:sz w:val="20"/>
          <w:szCs w:val="20"/>
          <w:color w:val="auto"/>
        </w:rPr>
        <w:t>Member in connection with preparing, negotiating and executing this Agreement and the Figure Connect Documents as of the Side Letter Effective Date.</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Original LLC Agreement</w:t>
      </w:r>
      <w:r>
        <w:rPr>
          <w:rFonts w:ascii="Times New Roman" w:cs="Times New Roman" w:eastAsia="Times New Roman" w:hAnsi="Times New Roman"/>
          <w:sz w:val="20"/>
          <w:szCs w:val="20"/>
          <w:color w:val="auto"/>
        </w:rPr>
        <w:t>” has the meaning set forth in the recitals hereto.</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Termination Event</w:t>
      </w:r>
      <w:r>
        <w:rPr>
          <w:rFonts w:ascii="Times New Roman" w:cs="Times New Roman" w:eastAsia="Times New Roman" w:hAnsi="Times New Roman"/>
          <w:sz w:val="20"/>
          <w:szCs w:val="20"/>
          <w:color w:val="auto"/>
        </w:rPr>
        <w:t xml:space="preserve">” means (a) any Adverse Regulatory Event, (b) any Tax Event, (c) the occurrence of any other event which has a Material Adverse Effect on the Company or any of its Subsidiaries, which effect, in the case of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is continuing for forty-five (45) days following the earlier of (i) receipt of written notice from a Member of the occurrence of such event or (ii) the actual knowledge of any Manager appointed by such Member or the general counsel of such Member or the parent company of such Member (which for purposes of Figure shall mean Figure Corp.), of the occurrence of such event, or (d) the issuance of a going concern opinion by a nationally recognized accounting firm with respect to a Member or any Affiliate thereof that is a party to a Basic Document.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Partner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Partner Nonrecourse Debt</w:t>
      </w:r>
      <w:r>
        <w:rPr>
          <w:rFonts w:ascii="Times New Roman" w:cs="Times New Roman" w:eastAsia="Times New Roman" w:hAnsi="Times New Roman"/>
          <w:sz w:val="20"/>
          <w:szCs w:val="20"/>
          <w:color w:val="auto"/>
        </w:rPr>
        <w:t>” has the meaning set forth in section 1.704-2(b)(4) of the Regulations.</w:t>
      </w:r>
    </w:p>
    <w:p>
      <w:pPr>
        <w:spacing w:after="0" w:line="18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Partner Nonrecourse Debt Minimum Gain</w:t>
      </w:r>
      <w:r>
        <w:rPr>
          <w:rFonts w:ascii="Times New Roman" w:cs="Times New Roman" w:eastAsia="Times New Roman" w:hAnsi="Times New Roman"/>
          <w:sz w:val="20"/>
          <w:szCs w:val="20"/>
          <w:color w:val="auto"/>
        </w:rPr>
        <w:t>” shall mean an amount, with respect to each Partner Nonrecourse Debt, equal to the Partnership Minimum Gain that would result if such Partner Nonrecourse Debt were treated as a Nonrecourse Liability, determined in accordance with section 1.704-2(i)(3) of the Regulations.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Partner Nonrecourse Deductions</w:t>
      </w:r>
      <w:r>
        <w:rPr>
          <w:rFonts w:ascii="Times New Roman" w:cs="Times New Roman" w:eastAsia="Times New Roman" w:hAnsi="Times New Roman"/>
          <w:sz w:val="20"/>
          <w:szCs w:val="20"/>
          <w:color w:val="auto"/>
        </w:rPr>
        <w:t>” has the meaning set forth in sections 1.704-2(i)(1) and 1.704- 2(i)(2) of the Regulations.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Partnership</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Partnership Minimum Gain</w:t>
      </w:r>
      <w:r>
        <w:rPr>
          <w:rFonts w:ascii="Times New Roman" w:cs="Times New Roman" w:eastAsia="Times New Roman" w:hAnsi="Times New Roman"/>
          <w:sz w:val="20"/>
          <w:szCs w:val="20"/>
          <w:color w:val="auto"/>
        </w:rPr>
        <w:t>” has the meaning set forth in sections 1.704-2(b)(2) and 1.704-2(d) of the Regulations.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Partnership Representative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11.2(a)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Partnership Tax Audit Rules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11.2(b)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Percentage Interest</w:t>
      </w:r>
      <w:r>
        <w:rPr>
          <w:rFonts w:ascii="Times New Roman" w:cs="Times New Roman" w:eastAsia="Times New Roman" w:hAnsi="Times New Roman"/>
          <w:sz w:val="20"/>
          <w:szCs w:val="20"/>
          <w:color w:val="auto"/>
        </w:rPr>
        <w:t>” means, with respect to each Member, as of any date of determination, the ratio (reflected as a percentage) of</w:t>
      </w:r>
    </w:p>
    <w:p>
      <w:pPr>
        <w:spacing w:after="0" w:line="26" w:lineRule="exact"/>
        <w:rPr>
          <w:sz w:val="20"/>
          <w:szCs w:val="20"/>
          <w:color w:val="auto"/>
        </w:rPr>
      </w:pPr>
    </w:p>
    <w:p>
      <w:pPr>
        <w:jc w:val="both"/>
        <w:ind w:firstLine="8"/>
        <w:spacing w:after="0" w:line="256" w:lineRule="auto"/>
        <w:tabs>
          <w:tab w:leader="none" w:pos="339"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Member’s aggregate Unreturned Capital Contributions (for the avoidance of doubt, other than Unreturned Superpriority Contributions) divided by (b) the aggregate Unreturned Capital Contributions (for the avoidance of doubt, other than Unreturned Superpriority Contributions) made by all Members.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Transfer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12.2(a)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 natural person, corporation, association, partnership (general or limited), joint venture, trust, estate, limited liability company, or other legal entity or organization.</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Pre-Existing Obligations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4.2(a)(i)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13" w:right="339" w:bottom="1440" w:gutter="0" w:footer="0" w:header="0"/>
        </w:sectPr>
      </w:pPr>
    </w:p>
    <w:bookmarkStart w:id="380" w:name="page381"/>
    <w:bookmarkEnd w:id="380"/>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Pre-Defaulting Member”</w:t>
      </w:r>
      <w:r>
        <w:rPr>
          <w:rFonts w:ascii="Times New Roman" w:cs="Times New Roman" w:eastAsia="Times New Roman" w:hAnsi="Times New Roman"/>
          <w:sz w:val="20"/>
          <w:szCs w:val="20"/>
          <w:color w:val="auto"/>
        </w:rPr>
        <w:t xml:space="preserve"> a Member that would be a Defaulting Member, if any event has occurred and is continuing which, with the giving of notice or lapse of time or both, would constitute a Bad Act Termination Event with respect to such Member.</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Preferred Hurdle Rate</w:t>
      </w:r>
      <w:r>
        <w:rPr>
          <w:rFonts w:ascii="Times New Roman" w:cs="Times New Roman" w:eastAsia="Times New Roman" w:hAnsi="Times New Roman"/>
          <w:sz w:val="20"/>
          <w:szCs w:val="20"/>
          <w:color w:val="auto"/>
        </w:rPr>
        <w:t>” means [***].</w:t>
      </w:r>
    </w:p>
    <w:p>
      <w:pPr>
        <w:spacing w:after="0" w:line="17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Preferred Return</w:t>
      </w:r>
      <w:r>
        <w:rPr>
          <w:rFonts w:ascii="Times New Roman" w:cs="Times New Roman" w:eastAsia="Times New Roman" w:hAnsi="Times New Roman"/>
          <w:sz w:val="20"/>
          <w:szCs w:val="20"/>
          <w:color w:val="auto"/>
        </w:rPr>
        <w:t xml:space="preserve">” means, with respect to each Member, an amount equal to the product of (a) the Preferred Hurdle Rate (determined on the basis of 360 days), cumulative and compounded monthly,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(b) the amount of such Member’s Unreturned Capital Contributions. The Preferred Return in respect of any Unreturned Capital Contributions shall begin to accrue (cumulative and compounded monthly to the extent not paid) as of the date such Capital Contribution is made and shall cease to accrue as of the date the related Unreturned Capital Contributions are distributed to such Member pursuant to </w:t>
      </w:r>
      <w:r>
        <w:rPr>
          <w:rFonts w:ascii="Times New Roman" w:cs="Times New Roman" w:eastAsia="Times New Roman" w:hAnsi="Times New Roman"/>
          <w:sz w:val="20"/>
          <w:szCs w:val="20"/>
          <w:u w:val="single" w:color="auto"/>
          <w:color w:val="auto"/>
        </w:rPr>
        <w:t>Section 10.6(a)(iv)</w:t>
      </w:r>
      <w:r>
        <w:rPr>
          <w:rFonts w:ascii="Times New Roman" w:cs="Times New Roman" w:eastAsia="Times New Roman" w:hAnsi="Times New Roman"/>
          <w:sz w:val="20"/>
          <w:szCs w:val="20"/>
          <w:color w:val="auto"/>
        </w:rPr>
        <w:t>.</w:t>
      </w:r>
    </w:p>
    <w:p>
      <w:pPr>
        <w:spacing w:after="0" w:line="14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Proceeding</w:t>
      </w:r>
      <w:r>
        <w:rPr>
          <w:rFonts w:ascii="Times New Roman" w:cs="Times New Roman" w:eastAsia="Times New Roman" w:hAnsi="Times New Roman"/>
          <w:sz w:val="20"/>
          <w:szCs w:val="20"/>
          <w:color w:val="auto"/>
        </w:rPr>
        <w:t>” means any administrative, judicial or other adversary proceeding, including litigation, arbitration, administrative adjudication, mediation and appeal or review of any of the foregoing.</w:t>
      </w:r>
    </w:p>
    <w:p>
      <w:pPr>
        <w:spacing w:after="0" w:line="11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Profits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Losses</w:t>
      </w:r>
      <w:r>
        <w:rPr>
          <w:rFonts w:ascii="Times New Roman" w:cs="Times New Roman" w:eastAsia="Times New Roman" w:hAnsi="Times New Roman"/>
          <w:sz w:val="20"/>
          <w:szCs w:val="20"/>
          <w:color w:val="auto"/>
        </w:rPr>
        <w:t>” means, for each Fiscal Year or other period, an amount equal to the Company’s taxable income or loss for such Fiscal Year or period, determined in accordance with section 703(a) of the Code (for this purpose, all items of income, gain, loss or deduction required to be stated separately pursuant to section 703(a)(1) of the Code shall be included in taxable income or loss), with the following adjustments:</w:t>
      </w:r>
    </w:p>
    <w:p>
      <w:pPr>
        <w:spacing w:after="0" w:line="168" w:lineRule="exact"/>
        <w:rPr>
          <w:sz w:val="20"/>
          <w:szCs w:val="20"/>
          <w:color w:val="auto"/>
        </w:rPr>
      </w:pPr>
    </w:p>
    <w:p>
      <w:pPr>
        <w:ind w:firstLine="656"/>
        <w:spacing w:after="0" w:line="245" w:lineRule="auto"/>
        <w:tabs>
          <w:tab w:leader="none" w:pos="1117"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income of the Company that is exempt from federal income tax and not otherwise taken into account in computing Profits or Losses shall be added to such taxable income or loss;</w:t>
      </w:r>
    </w:p>
    <w:p>
      <w:pPr>
        <w:spacing w:after="0" w:line="154" w:lineRule="exact"/>
        <w:rPr>
          <w:rFonts w:ascii="Times New Roman" w:cs="Times New Roman" w:eastAsia="Times New Roman" w:hAnsi="Times New Roman"/>
          <w:sz w:val="22"/>
          <w:szCs w:val="22"/>
          <w:color w:val="auto"/>
        </w:rPr>
      </w:pPr>
    </w:p>
    <w:p>
      <w:pPr>
        <w:jc w:val="both"/>
        <w:ind w:firstLine="656"/>
        <w:spacing w:after="0" w:line="241" w:lineRule="auto"/>
        <w:tabs>
          <w:tab w:leader="none" w:pos="1129"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expenditures of the Company described in section 705(a)(2)(B) of the Code or treated as section 705(a)(2)(B) of the Code expenditures pursuant to section 1.704-1(b)(2)(iv)(i) of the Regulations (other than expenses in respect of which an election is properly made under section 709(b) of the Code), and not otherwise taken into account in computing Profits or Losses, shall be subtracted from such taxable income or loss;</w:t>
      </w:r>
    </w:p>
    <w:p>
      <w:pPr>
        <w:spacing w:after="0" w:line="173" w:lineRule="exact"/>
        <w:rPr>
          <w:rFonts w:ascii="Times New Roman" w:cs="Times New Roman" w:eastAsia="Times New Roman" w:hAnsi="Times New Roman"/>
          <w:sz w:val="22"/>
          <w:szCs w:val="22"/>
          <w:color w:val="auto"/>
        </w:rPr>
      </w:pPr>
    </w:p>
    <w:p>
      <w:pPr>
        <w:jc w:val="both"/>
        <w:ind w:firstLine="656"/>
        <w:spacing w:after="0" w:line="242" w:lineRule="auto"/>
        <w:tabs>
          <w:tab w:leader="none" w:pos="1117"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the event the Gross Asset Value of any Company asset is adjusted pursuant to paragraph (b) or (c) of the definition of Gross Asset Value, the amount of such adjustment shall be taken into account as gain or loss, as applicable, from the disposition of such Company asset for purposes of computing Profits or Losses;</w:t>
      </w:r>
    </w:p>
    <w:p>
      <w:pPr>
        <w:spacing w:after="0" w:line="158" w:lineRule="exact"/>
        <w:rPr>
          <w:rFonts w:ascii="Times New Roman" w:cs="Times New Roman" w:eastAsia="Times New Roman" w:hAnsi="Times New Roman"/>
          <w:sz w:val="22"/>
          <w:szCs w:val="22"/>
          <w:color w:val="auto"/>
        </w:rPr>
      </w:pPr>
    </w:p>
    <w:p>
      <w:pPr>
        <w:jc w:val="both"/>
        <w:ind w:right="20" w:firstLine="656"/>
        <w:spacing w:after="0" w:line="242" w:lineRule="auto"/>
        <w:tabs>
          <w:tab w:leader="none" w:pos="1143"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Gain or loss resulting from any disposition of any Company asset with respect to which gain or loss is recognized for federal income tax purposes shall be computed by reference to the Gross Asset Value of the Company asset disposed of, notwithstanding that the adjusted tax basis of such Company asset may differ from its Gross Asset Value;</w:t>
      </w:r>
    </w:p>
    <w:p>
      <w:pPr>
        <w:spacing w:after="0" w:line="158" w:lineRule="exact"/>
        <w:rPr>
          <w:rFonts w:ascii="Times New Roman" w:cs="Times New Roman" w:eastAsia="Times New Roman" w:hAnsi="Times New Roman"/>
          <w:sz w:val="22"/>
          <w:szCs w:val="22"/>
          <w:color w:val="auto"/>
        </w:rPr>
      </w:pPr>
    </w:p>
    <w:p>
      <w:pPr>
        <w:jc w:val="both"/>
        <w:ind w:firstLine="656"/>
        <w:spacing w:after="0" w:line="248" w:lineRule="auto"/>
        <w:tabs>
          <w:tab w:leader="none" w:pos="1117"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accordance with section 1.704-1(b)(2)(iv)(g)(3) of the Regulations, depreciation with respect to any Company asset shall be computed by reference to the adjusted Gross Asset Value of such asset, notwithstanding that the adjusted tax basis of such Company asset differs from its Gross Asset Value;</w:t>
      </w:r>
    </w:p>
    <w:p>
      <w:pPr>
        <w:spacing w:after="0" w:line="154" w:lineRule="exact"/>
        <w:rPr>
          <w:rFonts w:ascii="Times New Roman" w:cs="Times New Roman" w:eastAsia="Times New Roman" w:hAnsi="Times New Roman"/>
          <w:sz w:val="22"/>
          <w:szCs w:val="22"/>
          <w:color w:val="auto"/>
        </w:rPr>
      </w:pPr>
    </w:p>
    <w:p>
      <w:pPr>
        <w:jc w:val="both"/>
        <w:ind w:firstLine="656"/>
        <w:spacing w:after="0" w:line="241" w:lineRule="auto"/>
        <w:tabs>
          <w:tab w:leader="none" w:pos="1107"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To the extent an adjustment to the adjusted tax basis of any Company asset pursuant to section 734(b) of the Code is required, pursuant to section 1.704-1(b)(2)(iv)(m)(4) of the Regulations, to be taken into account in determining Capital Accounts as a result of a distribution other than in liquidation of a Member’s interest in the Company, the amount of such adjustment shall be treated as an item of 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09" w:right="339" w:bottom="1440" w:gutter="0" w:footer="0" w:header="0"/>
        </w:sectPr>
      </w:pPr>
    </w:p>
    <w:bookmarkStart w:id="381" w:name="page382"/>
    <w:bookmarkEnd w:id="381"/>
    <w:p>
      <w:pPr>
        <w:spacing w:after="0" w:line="283" w:lineRule="auto"/>
        <w:rPr>
          <w:sz w:val="20"/>
          <w:szCs w:val="20"/>
          <w:color w:val="auto"/>
        </w:rPr>
      </w:pPr>
      <w:r>
        <w:rPr>
          <w:rFonts w:ascii="Times New Roman" w:cs="Times New Roman" w:eastAsia="Times New Roman" w:hAnsi="Times New Roman"/>
          <w:sz w:val="20"/>
          <w:szCs w:val="20"/>
          <w:color w:val="auto"/>
        </w:rPr>
        <w:t>(if the adjustment increases the basis of the asset) or loss (if the adjustment decreases such basis) from the disposition of such asset and shall be taken into account for purposes of computing Profits or Losses; and</w:t>
      </w:r>
    </w:p>
    <w:p>
      <w:pPr>
        <w:spacing w:after="0" w:line="146" w:lineRule="exact"/>
        <w:rPr>
          <w:sz w:val="20"/>
          <w:szCs w:val="20"/>
          <w:color w:val="auto"/>
        </w:rPr>
      </w:pPr>
    </w:p>
    <w:p>
      <w:pPr>
        <w:ind w:firstLine="656"/>
        <w:spacing w:after="0" w:line="245" w:lineRule="auto"/>
        <w:tabs>
          <w:tab w:leader="none" w:pos="1129"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Notwithstanding any other provisions of this definition, any item which is specially allocated pursuant to </w:t>
      </w:r>
      <w:r>
        <w:rPr>
          <w:rFonts w:ascii="Times New Roman" w:cs="Times New Roman" w:eastAsia="Times New Roman" w:hAnsi="Times New Roman"/>
          <w:sz w:val="20"/>
          <w:szCs w:val="20"/>
          <w:u w:val="single" w:color="auto"/>
          <w:color w:val="auto"/>
        </w:rPr>
        <w:t>Sections 10.2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10.3</w:t>
      </w:r>
      <w:r>
        <w:rPr>
          <w:rFonts w:ascii="Times New Roman" w:cs="Times New Roman" w:eastAsia="Times New Roman" w:hAnsi="Times New Roman"/>
          <w:sz w:val="20"/>
          <w:szCs w:val="20"/>
          <w:color w:val="auto"/>
        </w:rPr>
        <w:t xml:space="preserve"> shall not be taken into account in computing Profits or Losses.</w:t>
      </w:r>
    </w:p>
    <w:p>
      <w:pPr>
        <w:spacing w:after="0" w:line="15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The amounts of the items of Company income, gain, loss or deduction available to be specially allocated pursuant to </w:t>
      </w:r>
      <w:r>
        <w:rPr>
          <w:rFonts w:ascii="Times New Roman" w:cs="Times New Roman" w:eastAsia="Times New Roman" w:hAnsi="Times New Roman"/>
          <w:sz w:val="20"/>
          <w:szCs w:val="20"/>
          <w:u w:val="single" w:color="auto"/>
          <w:color w:val="auto"/>
        </w:rPr>
        <w:t>Sections 10.2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10.3</w:t>
      </w:r>
      <w:r>
        <w:rPr>
          <w:rFonts w:ascii="Times New Roman" w:cs="Times New Roman" w:eastAsia="Times New Roman" w:hAnsi="Times New Roman"/>
          <w:sz w:val="20"/>
          <w:szCs w:val="20"/>
          <w:color w:val="auto"/>
        </w:rPr>
        <w:t xml:space="preserve"> shall be determined by applying rules analogous to those set forth in paragraphs (a) through (e) above.</w:t>
      </w:r>
    </w:p>
    <w:p>
      <w:pPr>
        <w:spacing w:after="0" w:line="11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Prohibited Person</w:t>
      </w:r>
      <w:r>
        <w:rPr>
          <w:rFonts w:ascii="Times New Roman" w:cs="Times New Roman" w:eastAsia="Times New Roman" w:hAnsi="Times New Roman"/>
          <w:sz w:val="20"/>
          <w:szCs w:val="20"/>
          <w:color w:val="auto"/>
        </w:rPr>
        <w:t>” means a Person with whom or which transactions or dealings are prohibited under Sanctions or AML Laws by virtue of being (a) named on any OFAC List; (b) a Governmental Entity of, or otherwise a representative, political subdivision, agency or instrumentality of, the government of any country or territory that itself is the target of Sanctions (currently, Cuba, Iran, North Korea, Syria, and the Crimea, so-called Donetsk People’s Republic and so-called Luhansk People’s Republic regions of Ukraine, each, a “</w:t>
      </w:r>
      <w:r>
        <w:rPr>
          <w:rFonts w:ascii="Times New Roman" w:cs="Times New Roman" w:eastAsia="Times New Roman" w:hAnsi="Times New Roman"/>
          <w:sz w:val="20"/>
          <w:szCs w:val="20"/>
          <w:b w:val="1"/>
          <w:bCs w:val="1"/>
          <w:color w:val="auto"/>
        </w:rPr>
        <w:t>Sanctioned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Territory</w:t>
      </w:r>
      <w:r>
        <w:rPr>
          <w:rFonts w:ascii="Times New Roman" w:cs="Times New Roman" w:eastAsia="Times New Roman" w:hAnsi="Times New Roman"/>
          <w:sz w:val="20"/>
          <w:szCs w:val="20"/>
          <w:color w:val="auto"/>
        </w:rPr>
        <w:t>”) or other government that is subject to asset blocking sanctions (currently Venezuela); or (c) located in, organized under the laws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or residing in a Sanctioned Territory; (d) 50% or more owned or Controlled by any of the foregoing; or (e) otherwise a Person with whom transactions or dealings are prohibited under Sanctions or AML Laws.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Proposed Value</w:t>
      </w:r>
      <w:r>
        <w:rPr>
          <w:rFonts w:ascii="Times New Roman" w:cs="Times New Roman" w:eastAsia="Times New Roman" w:hAnsi="Times New Roman"/>
          <w:sz w:val="20"/>
          <w:szCs w:val="20"/>
          <w:color w:val="auto"/>
        </w:rPr>
        <w:t>” means [***].</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Purchaser</w:t>
      </w:r>
      <w:r>
        <w:rPr>
          <w:rFonts w:ascii="Times New Roman" w:cs="Times New Roman" w:eastAsia="Times New Roman" w:hAnsi="Times New Roman"/>
          <w:sz w:val="20"/>
          <w:szCs w:val="20"/>
          <w:color w:val="auto"/>
        </w:rPr>
        <w:t>” has the meaning set forth in the Side Letter.</w:t>
      </w:r>
    </w:p>
    <w:p>
      <w:pPr>
        <w:spacing w:after="0" w:line="18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Appraiser</w:t>
      </w:r>
      <w:r>
        <w:rPr>
          <w:rFonts w:ascii="Times New Roman" w:cs="Times New Roman" w:eastAsia="Times New Roman" w:hAnsi="Times New Roman"/>
          <w:sz w:val="20"/>
          <w:szCs w:val="20"/>
          <w:color w:val="auto"/>
        </w:rPr>
        <w:t>” means Houlihan Lokey, Kroll, or such other nationally recognized appraisal firm with no less than ten (10) years of experience appraising assets similar to the Company Assets.</w:t>
      </w:r>
    </w:p>
    <w:p>
      <w:pPr>
        <w:spacing w:after="0" w:line="1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Reasonable Efforts To Resolve</w:t>
      </w:r>
      <w:r>
        <w:rPr>
          <w:rFonts w:ascii="Times New Roman" w:cs="Times New Roman" w:eastAsia="Times New Roman" w:hAnsi="Times New Roman"/>
          <w:sz w:val="20"/>
          <w:szCs w:val="20"/>
          <w:color w:val="auto"/>
        </w:rPr>
        <w:t>” means the use of good faith commercially reasonable efforts by the Members or Managers, as applicable, to resolve a deadlock over a Material Decision or a Fundamental Decision, as the case may be, for a period of no less than thirty</w:t>
      </w:r>
    </w:p>
    <w:p>
      <w:pPr>
        <w:spacing w:after="0" w:line="1" w:lineRule="exact"/>
        <w:rPr>
          <w:sz w:val="20"/>
          <w:szCs w:val="20"/>
          <w:color w:val="auto"/>
        </w:rPr>
      </w:pPr>
    </w:p>
    <w:p>
      <w:pPr>
        <w:jc w:val="both"/>
        <w:ind w:firstLine="8"/>
        <w:spacing w:after="0" w:line="259" w:lineRule="auto"/>
        <w:tabs>
          <w:tab w:leader="none" w:pos="383"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or such other number of days as may be agreed to by the Members or Managers, as applicable. “</w:t>
      </w:r>
      <w:r>
        <w:rPr>
          <w:rFonts w:ascii="Times New Roman" w:cs="Times New Roman" w:eastAsia="Times New Roman" w:hAnsi="Times New Roman"/>
          <w:sz w:val="19"/>
          <w:szCs w:val="19"/>
          <w:b w:val="1"/>
          <w:bCs w:val="1"/>
          <w:color w:val="auto"/>
        </w:rPr>
        <w:t>Reasonable Efforts To Resolve</w:t>
      </w:r>
      <w:r>
        <w:rPr>
          <w:rFonts w:ascii="Times New Roman" w:cs="Times New Roman" w:eastAsia="Times New Roman" w:hAnsi="Times New Roman"/>
          <w:sz w:val="19"/>
          <w:szCs w:val="19"/>
          <w:color w:val="auto"/>
        </w:rPr>
        <w:t>” shall in all cases require the escalation of the disagreement to delegates of such Member or the Member that appointed such Managers (or their applicable parent Affiliates), as applicable, who shall meet in good faith to attempt to resolve the applicable deadlock during such thirty</w:t>
      </w:r>
    </w:p>
    <w:p>
      <w:pPr>
        <w:spacing w:after="0" w:line="1" w:lineRule="exact"/>
        <w:rPr>
          <w:rFonts w:ascii="Times New Roman" w:cs="Times New Roman" w:eastAsia="Times New Roman" w:hAnsi="Times New Roman"/>
          <w:sz w:val="19"/>
          <w:szCs w:val="19"/>
          <w:color w:val="auto"/>
        </w:rPr>
      </w:pPr>
    </w:p>
    <w:p>
      <w:pPr>
        <w:ind w:left="380" w:hanging="372"/>
        <w:spacing w:after="0"/>
        <w:tabs>
          <w:tab w:leader="none" w:pos="38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 (or other day as may be agreed to by the Members or Managers, as applicable) period.</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12.4(a)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Regulations</w:t>
      </w:r>
      <w:r>
        <w:rPr>
          <w:rFonts w:ascii="Times New Roman" w:cs="Times New Roman" w:eastAsia="Times New Roman" w:hAnsi="Times New Roman"/>
          <w:sz w:val="20"/>
          <w:szCs w:val="20"/>
          <w:color w:val="auto"/>
        </w:rPr>
        <w:t>” shall mean the final and temporary federal income tax regulations promulgated by the United States Treasury Department under the Code as such Regulations may be amended from time to time, or if no final or temporary regulations with respect to a tax issue are then in effect, any relevant proposed regulations then in effect if reasonably determined by the Manager. All references herein to a specific section of the Regulations shall be deemed also to refer to any corresponding provision of succeeding Regulations.</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 Allocations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Reimbursable Expenses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8.10</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13" w:right="339" w:bottom="1440" w:gutter="0" w:footer="0" w:header="0"/>
        </w:sectPr>
      </w:pPr>
    </w:p>
    <w:bookmarkStart w:id="382" w:name="page383"/>
    <w:bookmarkEnd w:id="382"/>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REIT</w:t>
      </w:r>
      <w:r>
        <w:rPr>
          <w:rFonts w:ascii="Times New Roman" w:cs="Times New Roman" w:eastAsia="Times New Roman" w:hAnsi="Times New Roman"/>
          <w:sz w:val="20"/>
          <w:szCs w:val="20"/>
          <w:color w:val="auto"/>
        </w:rPr>
        <w:t>” means a “real estate investment trust” for U.S. federal income tax purposes.</w:t>
      </w:r>
    </w:p>
    <w:p>
      <w:pPr>
        <w:spacing w:after="0" w:line="18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Parties</w:t>
      </w:r>
      <w:r>
        <w:rPr>
          <w:rFonts w:ascii="Times New Roman" w:cs="Times New Roman" w:eastAsia="Times New Roman" w:hAnsi="Times New Roman"/>
          <w:sz w:val="20"/>
          <w:szCs w:val="20"/>
          <w:color w:val="auto"/>
        </w:rPr>
        <w:t xml:space="preserve">” means, with respect to each Member, each of such Member’s Affiliates (including, for the avoidance of doubt, any Affiliate Service Providers related to such Member), the directors, officers, partners, shareholders, members, managers and employees of such Member or its Affiliates, and the Managers appointed by such Member. For the avoidance of doubt, </w:t>
      </w:r>
      <w:r>
        <w:rPr>
          <w:rFonts w:ascii="Times New Roman" w:cs="Times New Roman" w:eastAsia="Times New Roman" w:hAnsi="Times New Roman"/>
          <w:sz w:val="20"/>
          <w:szCs w:val="20"/>
          <w:color w:val="auto"/>
          <w:shd w:val="clear" w:color="auto" w:fill="FFC09A"/>
        </w:rPr>
        <w:t>Sixth Street</w:t>
      </w:r>
      <w:r>
        <w:rPr>
          <w:rFonts w:ascii="Times New Roman" w:cs="Times New Roman" w:eastAsia="Times New Roman" w:hAnsi="Times New Roman"/>
          <w:sz w:val="20"/>
          <w:szCs w:val="20"/>
          <w:color w:val="auto"/>
        </w:rPr>
        <w:t xml:space="preserve"> Persons are Related Parties of Investor and Figure Persons are Related Parties of Figure.</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Representatives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14.13(a)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Assets</w:t>
      </w:r>
      <w:r>
        <w:rPr>
          <w:rFonts w:ascii="Times New Roman" w:cs="Times New Roman" w:eastAsia="Times New Roman" w:hAnsi="Times New Roman"/>
          <w:sz w:val="20"/>
          <w:szCs w:val="20"/>
          <w:color w:val="auto"/>
        </w:rPr>
        <w:t>” has the meaning set forth in the definition of “</w:t>
      </w:r>
      <w:r>
        <w:rPr>
          <w:rFonts w:ascii="Times New Roman" w:cs="Times New Roman" w:eastAsia="Times New Roman" w:hAnsi="Times New Roman"/>
          <w:sz w:val="20"/>
          <w:szCs w:val="20"/>
          <w:b w:val="1"/>
          <w:bCs w:val="1"/>
          <w:color w:val="auto"/>
        </w:rPr>
        <w:t>Competitor</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Period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7.4(f)</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Transaction Structure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7.4(f)</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Retained Assets</w:t>
      </w:r>
      <w:r>
        <w:rPr>
          <w:rFonts w:ascii="Times New Roman" w:cs="Times New Roman" w:eastAsia="Times New Roman" w:hAnsi="Times New Roman"/>
          <w:sz w:val="20"/>
          <w:szCs w:val="20"/>
          <w:color w:val="auto"/>
        </w:rPr>
        <w:t>” means Company Assets which the Company or the Subsidiaries are then obligated to retain under applicable laws and regulations, such as risk retention interests in any securitizations.</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Reviewed Tax Return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5.4(b)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ROFO Acceptance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4.3(c)</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ROFO</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4.3(c)</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ROFO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4.3(c)</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ROFO Response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4.3(c)</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ROFO Waiver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4.3(a)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Run-Off Commencement Date</w:t>
      </w:r>
      <w:r>
        <w:rPr>
          <w:rFonts w:ascii="Times New Roman" w:cs="Times New Roman" w:eastAsia="Times New Roman" w:hAnsi="Times New Roman"/>
          <w:sz w:val="20"/>
          <w:szCs w:val="20"/>
          <w:color w:val="auto"/>
        </w:rPr>
        <w:t>” means, subject to the final sentence of the definition of Run-Off Commencement Notice, the earliest to occur of:</w:t>
      </w:r>
    </w:p>
    <w:p>
      <w:pPr>
        <w:spacing w:after="0" w:line="142" w:lineRule="exact"/>
        <w:rPr>
          <w:sz w:val="20"/>
          <w:szCs w:val="20"/>
          <w:color w:val="auto"/>
        </w:rPr>
      </w:pPr>
    </w:p>
    <w:p>
      <w:pPr>
        <w:ind w:right="20" w:firstLine="656"/>
        <w:spacing w:after="0" w:line="245" w:lineRule="auto"/>
        <w:tabs>
          <w:tab w:leader="none" w:pos="1104"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at any time on or after the expiration of the Commitment Period, the date determined by any Member by delivering no less than ten (10) days’ prior written notice thereof to such other Member;</w:t>
      </w:r>
    </w:p>
    <w:p>
      <w:pPr>
        <w:spacing w:after="0" w:line="181" w:lineRule="exact"/>
        <w:rPr>
          <w:rFonts w:ascii="Times New Roman" w:cs="Times New Roman" w:eastAsia="Times New Roman" w:hAnsi="Times New Roman"/>
          <w:sz w:val="22"/>
          <w:szCs w:val="22"/>
          <w:color w:val="auto"/>
        </w:rPr>
      </w:pPr>
    </w:p>
    <w:p>
      <w:pPr>
        <w:jc w:val="both"/>
        <w:ind w:firstLine="656"/>
        <w:spacing w:after="0" w:line="255" w:lineRule="auto"/>
        <w:tabs>
          <w:tab w:leader="none" w:pos="1116"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upon the occurrence and during the continuance of a Bad Act Termination Event with respect to a Member, the date determined by any Member who is not then a Defaulting Member by delivering no less than ten (10) days’ prior written notice thereof to the Defaulting Member;</w:t>
      </w:r>
    </w:p>
    <w:p>
      <w:pPr>
        <w:spacing w:after="0" w:line="174" w:lineRule="exact"/>
        <w:rPr>
          <w:rFonts w:ascii="Times New Roman" w:cs="Times New Roman" w:eastAsia="Times New Roman" w:hAnsi="Times New Roman"/>
          <w:sz w:val="22"/>
          <w:szCs w:val="22"/>
          <w:color w:val="auto"/>
        </w:rPr>
      </w:pPr>
    </w:p>
    <w:p>
      <w:pPr>
        <w:ind w:firstLine="656"/>
        <w:spacing w:after="0" w:line="245" w:lineRule="auto"/>
        <w:tabs>
          <w:tab w:leader="none" w:pos="1212"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upon the occurrence and during the continuance of an Other Termination Event, the date determined by any Member by delivering no less than ten (10) days’ prior written notice thereof to such other Member;</w:t>
      </w:r>
    </w:p>
    <w:p>
      <w:pPr>
        <w:spacing w:after="0" w:line="181" w:lineRule="exact"/>
        <w:rPr>
          <w:rFonts w:ascii="Times New Roman" w:cs="Times New Roman" w:eastAsia="Times New Roman" w:hAnsi="Times New Roman"/>
          <w:sz w:val="22"/>
          <w:szCs w:val="22"/>
          <w:color w:val="auto"/>
        </w:rPr>
      </w:pPr>
    </w:p>
    <w:p>
      <w:pPr>
        <w:ind w:firstLine="656"/>
        <w:spacing w:after="0" w:line="259" w:lineRule="auto"/>
        <w:tabs>
          <w:tab w:leader="none" w:pos="1237"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upon the occurrence and during the continuance of a Deadlock, the date determined by any Member who is not then a Defaulting Member by delivering no less than ten (10) days’ prior written notice thereof to such other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09" w:right="339" w:bottom="1440" w:gutter="0" w:footer="0" w:header="0"/>
        </w:sectPr>
      </w:pPr>
    </w:p>
    <w:bookmarkStart w:id="383" w:name="page384"/>
    <w:bookmarkEnd w:id="383"/>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Run-Off Commencement Notice</w:t>
      </w:r>
      <w:r>
        <w:rPr>
          <w:rFonts w:ascii="Times New Roman" w:cs="Times New Roman" w:eastAsia="Times New Roman" w:hAnsi="Times New Roman"/>
          <w:sz w:val="20"/>
          <w:szCs w:val="20"/>
          <w:color w:val="auto"/>
        </w:rPr>
        <w:t>” means a notice given by either Figure or Investor in accordance with the definition of “</w:t>
      </w:r>
      <w:r>
        <w:rPr>
          <w:rFonts w:ascii="Times New Roman" w:cs="Times New Roman" w:eastAsia="Times New Roman" w:hAnsi="Times New Roman"/>
          <w:sz w:val="20"/>
          <w:szCs w:val="20"/>
          <w:b w:val="1"/>
          <w:bCs w:val="1"/>
          <w:color w:val="auto"/>
        </w:rPr>
        <w:t>Run-Off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Commencement Date</w:t>
      </w:r>
      <w:r>
        <w:rPr>
          <w:rFonts w:ascii="Times New Roman" w:cs="Times New Roman" w:eastAsia="Times New Roman" w:hAnsi="Times New Roman"/>
          <w:sz w:val="20"/>
          <w:szCs w:val="20"/>
          <w:color w:val="auto"/>
        </w:rPr>
        <w:t>” setting forth the Run-Off Commencement Date. Notwithstanding anything to the contrary herein, a Member that is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Defaulting Member shall only be permitted to deliver a Run-Off Commencement Notice (i) following the expiration of the Cooling Off Period, and (ii) only then if the other Member has not previously delivered a Run-Off Commencement Notice or exercised such Member’s right to cause a Bad Act Event Termination Buyout.</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Sanctioned Territory</w:t>
      </w:r>
      <w:r>
        <w:rPr>
          <w:rFonts w:ascii="Times New Roman" w:cs="Times New Roman" w:eastAsia="Times New Roman" w:hAnsi="Times New Roman"/>
          <w:sz w:val="20"/>
          <w:szCs w:val="20"/>
          <w:color w:val="auto"/>
        </w:rPr>
        <w:t>” has the meaning set forth in the definition of “Prohibited Person”.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7.3(c)</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means the Securities Act of 1933, as amended.</w:t>
      </w:r>
    </w:p>
    <w:p>
      <w:pPr>
        <w:spacing w:after="0" w:line="18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 means Figure Lending LLC, or its successors or permitted assigns, in its capacity as Seller under the Figure Connect Documents (including each Transaction Terms Agreement).</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Selling Member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4.3(c)</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Servicer</w:t>
      </w:r>
      <w:r>
        <w:rPr>
          <w:rFonts w:ascii="Times New Roman" w:cs="Times New Roman" w:eastAsia="Times New Roman" w:hAnsi="Times New Roman"/>
          <w:sz w:val="20"/>
          <w:szCs w:val="20"/>
          <w:color w:val="auto"/>
        </w:rPr>
        <w:t>” means Figure Lending LLC, or its successors or permitted assigns, in its capacity as Servicer under the Servicing Agreement.</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Services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Servicing Agreement</w:t>
      </w:r>
      <w:r>
        <w:rPr>
          <w:rFonts w:ascii="Times New Roman" w:cs="Times New Roman" w:eastAsia="Times New Roman" w:hAnsi="Times New Roman"/>
          <w:sz w:val="20"/>
          <w:szCs w:val="20"/>
          <w:color w:val="auto"/>
        </w:rPr>
        <w:t>” means the Servicing Agreement, dated as of the Side Letter Effective Date, between the Company and Servicer, as amended, supplemented or otherwise modified from time to time, including by the Side Letter.</w:t>
      </w:r>
    </w:p>
    <w:p>
      <w:pPr>
        <w:spacing w:after="0" w:line="12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Side Letter</w:t>
      </w:r>
      <w:r>
        <w:rPr>
          <w:rFonts w:ascii="Times New Roman" w:cs="Times New Roman" w:eastAsia="Times New Roman" w:hAnsi="Times New Roman"/>
          <w:sz w:val="20"/>
          <w:szCs w:val="20"/>
          <w:color w:val="auto"/>
        </w:rPr>
        <w:t>” means the Letter Agreement, dated as of the Side Letter Effective Date, among the Purchaser (as defined therein), Servicer and Seller, as amended, supplemented or otherwise modified from time to time.</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Side Letter Effective Date</w:t>
      </w:r>
      <w:r>
        <w:rPr>
          <w:rFonts w:ascii="Times New Roman" w:cs="Times New Roman" w:eastAsia="Times New Roman" w:hAnsi="Times New Roman"/>
          <w:sz w:val="20"/>
          <w:szCs w:val="20"/>
          <w:color w:val="auto"/>
        </w:rPr>
        <w:t>” means the date of the execution and delivery of the Side Letter by the parties thereto.</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Similar Law</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7.3(e)</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Sixth Street Competitor</w:t>
      </w:r>
      <w:r>
        <w:rPr>
          <w:rFonts w:ascii="Times New Roman" w:cs="Times New Roman" w:eastAsia="Times New Roman" w:hAnsi="Times New Roman"/>
          <w:sz w:val="20"/>
          <w:szCs w:val="20"/>
          <w:color w:val="auto"/>
        </w:rPr>
        <w:t>” means any of [***].</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Sixth Street Persons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7.4(d)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21" w:right="339" w:bottom="1440" w:gutter="0" w:footer="0" w:header="0"/>
        </w:sectPr>
      </w:pPr>
    </w:p>
    <w:bookmarkStart w:id="384" w:name="page385"/>
    <w:bookmarkEnd w:id="384"/>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SSP</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7.4(d)</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SSP Funds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7.4(d)</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SSP Manager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8.1(b)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SSP SMAs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7.4(d)</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Subject Assets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4.3(d)</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any wholly-owned (other than preferred shares necessary to satisfy REIT requirements) direct or indirect entity owned by the Company. For purposes of this Agreement, any securitization trust co-sponsored by the Company or any of its Subsidiaries shall be deemed to constitute a Subsidiary hereunder.</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Substitute Member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12.3(a)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Superpriority Contribution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Superpriority Return</w:t>
      </w:r>
      <w:r>
        <w:rPr>
          <w:rFonts w:ascii="Times New Roman" w:cs="Times New Roman" w:eastAsia="Times New Roman" w:hAnsi="Times New Roman"/>
          <w:sz w:val="19"/>
          <w:szCs w:val="19"/>
          <w:color w:val="auto"/>
        </w:rPr>
        <w:t xml:space="preserve">” means, with respect to any Member who has made any Superpriority Contributions, an amount equal to the product of (a) [***] per annum (determined on the basis of 360 days), cumulative and compounded quarterly, </w:t>
      </w:r>
      <w:r>
        <w:rPr>
          <w:rFonts w:ascii="Times New Roman" w:cs="Times New Roman" w:eastAsia="Times New Roman" w:hAnsi="Times New Roman"/>
          <w:sz w:val="19"/>
          <w:szCs w:val="19"/>
          <w:i w:val="1"/>
          <w:iCs w:val="1"/>
          <w:color w:val="auto"/>
        </w:rPr>
        <w:t>multiplied by</w:t>
      </w:r>
      <w:r>
        <w:rPr>
          <w:rFonts w:ascii="Times New Roman" w:cs="Times New Roman" w:eastAsia="Times New Roman" w:hAnsi="Times New Roman"/>
          <w:sz w:val="19"/>
          <w:szCs w:val="19"/>
          <w:color w:val="auto"/>
        </w:rPr>
        <w:t xml:space="preserve"> (b) the amount of such Member’s Unreturned Superpriority Contributions. The Superiority Return in respect of any Superpriority Contribution shall begin to accrue as of the date such Superpriority Contribution is made and shall cease to accrue (cumulative and compounded to the extent not paid) as of the date the related Unreturned Superpriority Contributions are distributed to such Member pursuant to </w:t>
      </w:r>
      <w:r>
        <w:rPr>
          <w:rFonts w:ascii="Times New Roman" w:cs="Times New Roman" w:eastAsia="Times New Roman" w:hAnsi="Times New Roman"/>
          <w:sz w:val="19"/>
          <w:szCs w:val="19"/>
          <w:u w:val="single" w:color="auto"/>
          <w:color w:val="auto"/>
        </w:rPr>
        <w:t>Section 10.6(a)(i)</w:t>
      </w:r>
      <w:r>
        <w:rPr>
          <w:rFonts w:ascii="Times New Roman" w:cs="Times New Roman" w:eastAsia="Times New Roman" w:hAnsi="Times New Roman"/>
          <w:sz w:val="19"/>
          <w:szCs w:val="19"/>
          <w:color w:val="auto"/>
        </w:rPr>
        <w:t>.</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Supplemental Capital Call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9.3(a)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Supplemental Funding</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Supplemental Side Letter</w:t>
      </w:r>
      <w:r>
        <w:rPr>
          <w:rFonts w:ascii="Times New Roman" w:cs="Times New Roman" w:eastAsia="Times New Roman" w:hAnsi="Times New Roman"/>
          <w:sz w:val="20"/>
          <w:szCs w:val="20"/>
          <w:color w:val="auto"/>
        </w:rPr>
        <w:t>” means that certain side letter dated no later than the Side Letter Effective Date, to be entered into by and between the Company and the Figure Person named therein, as amended, supplemented or otherwise modified from time to time.</w:t>
      </w:r>
    </w:p>
    <w:p>
      <w:pPr>
        <w:spacing w:after="0" w:line="1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Efficient Securitization Structure</w:t>
      </w:r>
      <w:r>
        <w:rPr>
          <w:rFonts w:ascii="Times New Roman" w:cs="Times New Roman" w:eastAsia="Times New Roman" w:hAnsi="Times New Roman"/>
          <w:sz w:val="20"/>
          <w:szCs w:val="20"/>
          <w:color w:val="auto"/>
        </w:rPr>
        <w:t>” means a structure that can be used to finance or dispose of Company Assets in a manner in which: (i) the Company is not required, directly or indirectly, to hold a REMIC residual interest (as defined in Section 860G(a)(2) of the Code) other than prior to a disposition that is contemporaneous with its issuance, and (ii) the Company’s income from retained interests in the securitization (other than excess inclusion income with respect to REMIC residual interests or REIT dividends of comparable amounts from taxable mortgage pools) will not be subject to U.S. withholding tax in the hands of foreign investors in the Company or unrelated taxable income tax in the hands of tax-exempt investors in the Company (after taking account of the potential use, if necessary or helpful, of commonly used alternative investment vehicles and blocker companies typically used in the investment funds market). For the avoidance of doubt a securitization will not fail to be created though a Tax Efficient Securitization Structure solely on account of x) the Company being required, directly or indirectly, to hold a REMIC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09" w:right="339" w:bottom="1440" w:gutter="0" w:footer="0" w:header="0"/>
        </w:sectPr>
      </w:pPr>
    </w:p>
    <w:bookmarkStart w:id="385" w:name="page386"/>
    <w:bookmarkEnd w:id="385"/>
    <w:p>
      <w:pPr>
        <w:jc w:val="both"/>
        <w:spacing w:after="0" w:line="243" w:lineRule="auto"/>
        <w:rPr>
          <w:sz w:val="20"/>
          <w:szCs w:val="20"/>
          <w:color w:val="auto"/>
        </w:rPr>
      </w:pPr>
      <w:r>
        <w:rPr>
          <w:rFonts w:ascii="Times New Roman" w:cs="Times New Roman" w:eastAsia="Times New Roman" w:hAnsi="Times New Roman"/>
          <w:sz w:val="20"/>
          <w:szCs w:val="20"/>
          <w:color w:val="auto"/>
        </w:rPr>
        <w:t>residual interest (as defined in Section 860G(a)(2) of the Code) in a securitization with respect to which it is treated as a sponsor for federal income tax purposes (or is an affiliate of a sponsor) and such REMIC residual interest represents the obligation to make funding draws on HELOCs, so long as there is no expectation of a material amount of associated phantom income or (y) there being original issue discount or other non-cash taxable income that accrues on any security or derivative financial product that is a component of any security the Company (or an affiliate) receives or retains in the securitization transaction.</w:t>
      </w:r>
    </w:p>
    <w:p>
      <w:pPr>
        <w:spacing w:after="0" w:line="15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Tax Event</w:t>
      </w:r>
      <w:r>
        <w:rPr>
          <w:rFonts w:ascii="Times New Roman" w:cs="Times New Roman" w:eastAsia="Times New Roman" w:hAnsi="Times New Roman"/>
          <w:sz w:val="19"/>
          <w:szCs w:val="19"/>
          <w:color w:val="auto"/>
        </w:rPr>
        <w:t>” means a change in applicable tax law, tax regulation, or other tax related administrative guidance from a Governmental Entity, after the date of this Agreement (x) as a result of which the Company is unable to implement and maintain a Tax Efficient Securitization Structure with respect to the Company Assets acquired by the Company or any of its Subsidiaries in accordance with this Agreement or (y) that has, or would reasonably be expected to have, a material and adverse effect on any Member, any of its Affiliates or any of its direct or indirect owners as a whole related to the tax treatment of the Company or such Member’s Membership Interest.</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TBA</w:t>
      </w:r>
      <w:r>
        <w:rPr>
          <w:rFonts w:ascii="Times New Roman" w:cs="Times New Roman" w:eastAsia="Times New Roman" w:hAnsi="Times New Roman"/>
          <w:sz w:val="20"/>
          <w:szCs w:val="20"/>
          <w:color w:val="auto"/>
        </w:rPr>
        <w:t>” means a “To Be Announced” contract to buy or sell mortgage-backed securities at a specific date in the future.</w:t>
      </w:r>
    </w:p>
    <w:p>
      <w:pPr>
        <w:spacing w:after="0" w:line="17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Transaction Terms Agreements</w:t>
      </w:r>
      <w:r>
        <w:rPr>
          <w:rFonts w:ascii="Times New Roman" w:cs="Times New Roman" w:eastAsia="Times New Roman" w:hAnsi="Times New Roman"/>
          <w:sz w:val="20"/>
          <w:szCs w:val="20"/>
          <w:color w:val="auto"/>
        </w:rPr>
        <w:t>” means each Transaction Terms Agreement between the Seller and Purchaser, substantially in the form of Exhibit C to the Common Marketplace Terms.</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12.2(a)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Transferee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12.2(b)</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Transferor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12.2(b)</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Trust</w:t>
      </w:r>
      <w:r>
        <w:rPr>
          <w:rFonts w:ascii="Times New Roman" w:cs="Times New Roman" w:eastAsia="Times New Roman" w:hAnsi="Times New Roman"/>
          <w:sz w:val="20"/>
          <w:szCs w:val="20"/>
          <w:color w:val="auto"/>
        </w:rPr>
        <w:t>” means each Delaware statutory trust formed as a special-purpose entity by the Company or any Subsidiary in connection with a securitization transaction in accordance with this Agreement.</w:t>
      </w:r>
    </w:p>
    <w:p>
      <w:pPr>
        <w:spacing w:after="0" w:line="111"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Trust Agreement</w:t>
      </w:r>
      <w:r>
        <w:rPr>
          <w:rFonts w:ascii="Times New Roman" w:cs="Times New Roman" w:eastAsia="Times New Roman" w:hAnsi="Times New Roman"/>
          <w:sz w:val="20"/>
          <w:szCs w:val="20"/>
          <w:color w:val="auto"/>
        </w:rPr>
        <w:t>” means the governing trust agreement for each Trust to be dated on or about the closing date of the related securitization transaction.</w:t>
      </w:r>
    </w:p>
    <w:p>
      <w:pPr>
        <w:spacing w:after="0" w:line="11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UK Securitization Framework</w:t>
      </w:r>
      <w:r>
        <w:rPr>
          <w:rFonts w:ascii="Times New Roman" w:cs="Times New Roman" w:eastAsia="Times New Roman" w:hAnsi="Times New Roman"/>
          <w:sz w:val="20"/>
          <w:szCs w:val="20"/>
          <w:color w:val="auto"/>
        </w:rPr>
        <w:t>” means the framework comprising (a) the Securitisation Regulations 2024, (b) the securitisation sourcebook of the handbook of rules and guidance adopted by the Financial Conduct Authority of the United Kingdom, (c) the Securitisation Part of the rulebook of published policy of the Prudential Regulation Authority of the Bank of England and (d) relevant provisions of the Financial Services and Markets Act 2000, each as further amended, supplemented or replaced.</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Unencumbered Assets</w:t>
      </w:r>
      <w:r>
        <w:rPr>
          <w:rFonts w:ascii="Times New Roman" w:cs="Times New Roman" w:eastAsia="Times New Roman" w:hAnsi="Times New Roman"/>
          <w:sz w:val="20"/>
          <w:szCs w:val="20"/>
          <w:color w:val="auto"/>
        </w:rPr>
        <w:t>” means Company Assets other than Retained Assets.</w:t>
      </w:r>
    </w:p>
    <w:p>
      <w:pPr>
        <w:spacing w:after="0" w:line="17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Unindemnifiable Acts</w:t>
      </w:r>
      <w:r>
        <w:rPr>
          <w:rFonts w:ascii="Times New Roman" w:cs="Times New Roman" w:eastAsia="Times New Roman" w:hAnsi="Times New Roman"/>
          <w:sz w:val="20"/>
          <w:szCs w:val="20"/>
          <w:color w:val="auto"/>
        </w:rPr>
        <w:t>” means with respect to any Person, (a) the fraud, willful misconduct or gross negligence by such Person in connection with this Agreement, the Basic Documents or any transaction contemplated hereunder or thereunder, or otherwise in connection with the Company or any of its Subsidiaries, in each case, other than an Excusable Employee Misconduct, (b) bad faith (i.e., intentional dishonest conduct meant to disadvantage another Person) of such Person, and (c) any material breach of this Agreement by such Person (other than a breach occurring as a result of the simple negligence of such Person).</w:t>
      </w:r>
    </w:p>
    <w:p>
      <w:pPr>
        <w:spacing w:after="0" w:line="140"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Unreturned Capital Contributions</w:t>
      </w:r>
      <w:r>
        <w:rPr>
          <w:rFonts w:ascii="Times New Roman" w:cs="Times New Roman" w:eastAsia="Times New Roman" w:hAnsi="Times New Roman"/>
          <w:sz w:val="20"/>
          <w:szCs w:val="20"/>
          <w:color w:val="auto"/>
        </w:rPr>
        <w:t>” means, with respect to each Member, as of the date of determination, the excess, if any, of (a) such Member’s aggregate Capital Contributions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13" w:right="339" w:bottom="1440" w:gutter="0" w:footer="0" w:header="0"/>
        </w:sectPr>
      </w:pPr>
    </w:p>
    <w:bookmarkStart w:id="386" w:name="page387"/>
    <w:bookmarkEnd w:id="386"/>
    <w:p>
      <w:pPr>
        <w:spacing w:after="0" w:line="287" w:lineRule="auto"/>
        <w:rPr>
          <w:sz w:val="20"/>
          <w:szCs w:val="20"/>
          <w:color w:val="auto"/>
        </w:rPr>
      </w:pPr>
      <w:r>
        <w:rPr>
          <w:rFonts w:ascii="Times New Roman" w:cs="Times New Roman" w:eastAsia="Times New Roman" w:hAnsi="Times New Roman"/>
          <w:sz w:val="20"/>
          <w:szCs w:val="20"/>
          <w:color w:val="auto"/>
        </w:rPr>
        <w:t xml:space="preserve">Superpriority Contributions), </w:t>
      </w:r>
      <w:r>
        <w:rPr>
          <w:rFonts w:ascii="Times New Roman" w:cs="Times New Roman" w:eastAsia="Times New Roman" w:hAnsi="Times New Roman"/>
          <w:sz w:val="20"/>
          <w:szCs w:val="20"/>
          <w:i w:val="1"/>
          <w:iCs w:val="1"/>
          <w:color w:val="auto"/>
        </w:rPr>
        <w:t>over</w:t>
      </w:r>
      <w:r>
        <w:rPr>
          <w:rFonts w:ascii="Times New Roman" w:cs="Times New Roman" w:eastAsia="Times New Roman" w:hAnsi="Times New Roman"/>
          <w:sz w:val="20"/>
          <w:szCs w:val="20"/>
          <w:color w:val="auto"/>
        </w:rPr>
        <w:t xml:space="preserve"> (b) the cumulative Distributions to such Member as a return of Unreturned Capital Contributions pursuant to </w:t>
      </w:r>
      <w:r>
        <w:rPr>
          <w:rFonts w:ascii="Times New Roman" w:cs="Times New Roman" w:eastAsia="Times New Roman" w:hAnsi="Times New Roman"/>
          <w:sz w:val="20"/>
          <w:szCs w:val="20"/>
          <w:u w:val="single" w:color="auto"/>
          <w:color w:val="auto"/>
        </w:rPr>
        <w:t>Section 10.6(a)(iv)</w:t>
      </w:r>
      <w:r>
        <w:rPr>
          <w:rFonts w:ascii="Times New Roman" w:cs="Times New Roman" w:eastAsia="Times New Roman" w:hAnsi="Times New Roman"/>
          <w:sz w:val="20"/>
          <w:szCs w:val="20"/>
          <w:color w:val="auto"/>
        </w:rPr>
        <w:t>.</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Unreturned Preferred Return</w:t>
      </w:r>
      <w:r>
        <w:rPr>
          <w:rFonts w:ascii="Times New Roman" w:cs="Times New Roman" w:eastAsia="Times New Roman" w:hAnsi="Times New Roman"/>
          <w:sz w:val="20"/>
          <w:szCs w:val="20"/>
          <w:color w:val="auto"/>
        </w:rPr>
        <w:t>” means, with respect to each Member, as of the date of determination, the amount, if any, equal to</w:t>
      </w:r>
    </w:p>
    <w:p>
      <w:pPr>
        <w:spacing w:after="0" w:line="26" w:lineRule="exact"/>
        <w:rPr>
          <w:sz w:val="20"/>
          <w:szCs w:val="20"/>
          <w:color w:val="auto"/>
        </w:rPr>
      </w:pPr>
    </w:p>
    <w:p>
      <w:pPr>
        <w:jc w:val="both"/>
        <w:ind w:firstLine="8"/>
        <w:spacing w:after="0" w:line="251" w:lineRule="auto"/>
        <w:tabs>
          <w:tab w:leader="none" w:pos="271"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Preferred Return accrued on the Unreturned Capital Contribution made by such Member as of such time, reduced by (b) the aggregate amount of Distributions made by the Company in respect of such Preferred Return pursuant to </w:t>
      </w:r>
      <w:r>
        <w:rPr>
          <w:rFonts w:ascii="Times New Roman" w:cs="Times New Roman" w:eastAsia="Times New Roman" w:hAnsi="Times New Roman"/>
          <w:sz w:val="20"/>
          <w:szCs w:val="20"/>
          <w:u w:val="single" w:color="auto"/>
          <w:color w:val="auto"/>
        </w:rPr>
        <w:t>Section 10.6(a)(iii)</w:t>
      </w:r>
      <w:r>
        <w:rPr>
          <w:rFonts w:ascii="Times New Roman" w:cs="Times New Roman" w:eastAsia="Times New Roman" w:hAnsi="Times New Roman"/>
          <w:sz w:val="20"/>
          <w:szCs w:val="20"/>
          <w:color w:val="auto"/>
        </w:rPr>
        <w:t xml:space="preserve"> (including after the application of </w:t>
      </w:r>
      <w:r>
        <w:rPr>
          <w:rFonts w:ascii="Times New Roman" w:cs="Times New Roman" w:eastAsia="Times New Roman" w:hAnsi="Times New Roman"/>
          <w:sz w:val="20"/>
          <w:szCs w:val="20"/>
          <w:u w:val="single" w:color="auto"/>
          <w:color w:val="auto"/>
        </w:rPr>
        <w:t>Section 13.3(c)</w:t>
      </w:r>
      <w:r>
        <w:rPr>
          <w:rFonts w:ascii="Times New Roman" w:cs="Times New Roman" w:eastAsia="Times New Roman" w:hAnsi="Times New Roman"/>
          <w:sz w:val="20"/>
          <w:szCs w:val="20"/>
          <w:color w:val="auto"/>
        </w:rPr>
        <w:t xml:space="preserve"> to the extent, without duplication, that a Distribution is made under </w:t>
      </w:r>
      <w:r>
        <w:rPr>
          <w:rFonts w:ascii="Times New Roman" w:cs="Times New Roman" w:eastAsia="Times New Roman" w:hAnsi="Times New Roman"/>
          <w:sz w:val="20"/>
          <w:szCs w:val="20"/>
          <w:u w:val="single" w:color="auto"/>
          <w:color w:val="auto"/>
        </w:rPr>
        <w:t>Section 10.6(a)</w:t>
      </w:r>
      <w:r>
        <w:rPr>
          <w:rFonts w:ascii="Times New Roman" w:cs="Times New Roman" w:eastAsia="Times New Roman" w:hAnsi="Times New Roman"/>
          <w:sz w:val="20"/>
          <w:szCs w:val="20"/>
          <w:color w:val="auto"/>
        </w:rPr>
        <w:t xml:space="preserve"> by application of </w:t>
      </w:r>
      <w:r>
        <w:rPr>
          <w:rFonts w:ascii="Times New Roman" w:cs="Times New Roman" w:eastAsia="Times New Roman" w:hAnsi="Times New Roman"/>
          <w:sz w:val="20"/>
          <w:szCs w:val="20"/>
          <w:u w:val="single" w:color="auto"/>
          <w:color w:val="auto"/>
        </w:rPr>
        <w:t>Section 13.3(c)</w:t>
      </w:r>
      <w:r>
        <w:rPr>
          <w:rFonts w:ascii="Times New Roman" w:cs="Times New Roman" w:eastAsia="Times New Roman" w:hAnsi="Times New Roman"/>
          <w:sz w:val="20"/>
          <w:szCs w:val="20"/>
          <w:color w:val="auto"/>
        </w:rPr>
        <w:t>), as applicable, as of such time.</w:t>
      </w:r>
    </w:p>
    <w:p>
      <w:pPr>
        <w:spacing w:after="0" w:line="14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Unreturned Superpriority Contributions</w:t>
      </w:r>
      <w:r>
        <w:rPr>
          <w:rFonts w:ascii="Times New Roman" w:cs="Times New Roman" w:eastAsia="Times New Roman" w:hAnsi="Times New Roman"/>
          <w:sz w:val="20"/>
          <w:szCs w:val="20"/>
          <w:color w:val="auto"/>
        </w:rPr>
        <w:t xml:space="preserve">” means, with respect to each Member who has made any Superpriority Contributions, as of the date of determination, the excess, if any, of (a) such Member’s aggregate Superpriority Contributions, over (b) the cumulative Distributions to such Member as a return of Unreturned Superpriority Contributions pursuant to </w:t>
      </w:r>
      <w:r>
        <w:rPr>
          <w:rFonts w:ascii="Times New Roman" w:cs="Times New Roman" w:eastAsia="Times New Roman" w:hAnsi="Times New Roman"/>
          <w:sz w:val="20"/>
          <w:szCs w:val="20"/>
          <w:u w:val="single" w:color="auto"/>
          <w:color w:val="auto"/>
        </w:rPr>
        <w:t>Section 10.6(a)(ii)</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Unreturned Superpriority Return</w:t>
      </w:r>
      <w:r>
        <w:rPr>
          <w:rFonts w:ascii="Times New Roman" w:cs="Times New Roman" w:eastAsia="Times New Roman" w:hAnsi="Times New Roman"/>
          <w:sz w:val="20"/>
          <w:szCs w:val="20"/>
          <w:color w:val="auto"/>
        </w:rPr>
        <w:t xml:space="preserve">” means, with respect to any Member who has made any Superpriority Contributions, as of the date of determination, the amount, if any, equal to (a) the aggregate Superpriority Return on the Unreturned Superpriority Contributions made by such Member as of such time, reduced by (b) the aggregate amount of Distributions made by the Company in respect of such Superpriority Return pursuant to </w:t>
      </w:r>
      <w:r>
        <w:rPr>
          <w:rFonts w:ascii="Times New Roman" w:cs="Times New Roman" w:eastAsia="Times New Roman" w:hAnsi="Times New Roman"/>
          <w:sz w:val="20"/>
          <w:szCs w:val="20"/>
          <w:u w:val="single" w:color="auto"/>
          <w:color w:val="auto"/>
        </w:rPr>
        <w:t>Section 10.6(a)(i)</w:t>
      </w:r>
      <w:r>
        <w:rPr>
          <w:rFonts w:ascii="Times New Roman" w:cs="Times New Roman" w:eastAsia="Times New Roman" w:hAnsi="Times New Roman"/>
          <w:sz w:val="20"/>
          <w:szCs w:val="20"/>
          <w:color w:val="auto"/>
        </w:rPr>
        <w:t>, as of such time.</w:t>
      </w:r>
    </w:p>
    <w:p>
      <w:pPr>
        <w:spacing w:after="0" w:line="13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Risk Retention Rules</w:t>
      </w:r>
      <w:r>
        <w:rPr>
          <w:rFonts w:ascii="Times New Roman" w:cs="Times New Roman" w:eastAsia="Times New Roman" w:hAnsi="Times New Roman"/>
          <w:sz w:val="20"/>
          <w:szCs w:val="20"/>
          <w:color w:val="auto"/>
        </w:rPr>
        <w:t>” means the risk retention requirements of Regulation RR promulgated under the Exchange Act (17 C.F.R. Part 246.1, et. seq.).</w:t>
      </w:r>
    </w:p>
    <w:p>
      <w:pPr>
        <w:spacing w:after="0" w:line="200" w:lineRule="exact"/>
        <w:rPr>
          <w:sz w:val="20"/>
          <w:szCs w:val="20"/>
          <w:color w:val="auto"/>
        </w:rPr>
      </w:pPr>
    </w:p>
    <w:p>
      <w:pPr>
        <w:spacing w:after="0" w:line="37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3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FORMATION</w:t>
      </w:r>
    </w:p>
    <w:p>
      <w:pPr>
        <w:spacing w:after="0" w:line="16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2.1</w:t>
      </w:r>
      <w:r>
        <w:rPr>
          <w:sz w:val="20"/>
          <w:szCs w:val="20"/>
          <w:color w:val="auto"/>
        </w:rPr>
        <w:tab/>
      </w:r>
      <w:r>
        <w:rPr>
          <w:rFonts w:ascii="Times New Roman" w:cs="Times New Roman" w:eastAsia="Times New Roman" w:hAnsi="Times New Roman"/>
          <w:sz w:val="19"/>
          <w:szCs w:val="19"/>
          <w:b w:val="1"/>
          <w:bCs w:val="1"/>
          <w:color w:val="auto"/>
        </w:rPr>
        <w:t>Organization.</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The Company was formed by the filing of the Certificate of Formation as a Delaware limited liability company pursuant to the provisions of the Act and all actions taken by the person who executed and filed the Certificate of Formation are hereby adopted and ratified. Subject the provisions of this Agreement, including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the Administrative Member is hereby authorized and directed to file and record any necessary amendments to the Certificate of Formation and such other documents as may be reasonably required or appropriate under the Act or the laws of any other jurisdiction in which the Company may conduct business or own property.</w:t>
      </w:r>
    </w:p>
    <w:p>
      <w:pPr>
        <w:spacing w:after="0" w:line="14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2.2</w:t>
      </w:r>
      <w:r>
        <w:rPr>
          <w:sz w:val="20"/>
          <w:szCs w:val="20"/>
          <w:color w:val="auto"/>
        </w:rPr>
        <w:tab/>
      </w:r>
      <w:r>
        <w:rPr>
          <w:rFonts w:ascii="Times New Roman" w:cs="Times New Roman" w:eastAsia="Times New Roman" w:hAnsi="Times New Roman"/>
          <w:sz w:val="19"/>
          <w:szCs w:val="19"/>
          <w:b w:val="1"/>
          <w:bCs w:val="1"/>
          <w:color w:val="auto"/>
        </w:rPr>
        <w:t>Agreement.</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For and in consideration of the mutual covenants herein contained and for other good and valuable consideration, the receipt and sufficiency of which are hereby acknowledged, the Members executing this Agreement hereby agree to the terms and conditions of this Agreement, and as it may from time to time be amended, restated, modified, or supplemented in accordance with the terms of this Agreement.</w:t>
      </w:r>
    </w:p>
    <w:p>
      <w:pPr>
        <w:spacing w:after="0" w:line="14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2.3</w:t>
      </w:r>
      <w:r>
        <w:rPr>
          <w:sz w:val="20"/>
          <w:szCs w:val="20"/>
          <w:color w:val="auto"/>
        </w:rPr>
        <w:tab/>
      </w:r>
      <w:r>
        <w:rPr>
          <w:rFonts w:ascii="Times New Roman" w:cs="Times New Roman" w:eastAsia="Times New Roman" w:hAnsi="Times New Roman"/>
          <w:sz w:val="19"/>
          <w:szCs w:val="19"/>
          <w:b w:val="1"/>
          <w:bCs w:val="1"/>
          <w:color w:val="auto"/>
        </w:rPr>
        <w:t>Name.</w:t>
      </w:r>
    </w:p>
    <w:p>
      <w:pPr>
        <w:spacing w:after="0" w:line="19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name of the Company is Fig Six Mortgage LLC, and all business of the Company shall be conducted under that name or under any other name determined by the Board but, in any case, only to the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09" w:right="339" w:bottom="1440" w:gutter="0" w:footer="0" w:header="0"/>
        </w:sectPr>
      </w:pPr>
    </w:p>
    <w:bookmarkStart w:id="387" w:name="page388"/>
    <w:bookmarkEnd w:id="387"/>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Term.</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term of the Company shall commence on the Effective Date and shall be perpetual unless sooner terminated as provided herein. The existence of the Company as a separate legal entity will continue until the cancellation of the Certificate of Formation as provided in the Act in accordance with the terms of this Agreement.</w:t>
      </w:r>
    </w:p>
    <w:p>
      <w:pPr>
        <w:spacing w:after="0" w:line="13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2.5</w:t>
      </w:r>
      <w:r>
        <w:rPr>
          <w:sz w:val="20"/>
          <w:szCs w:val="20"/>
          <w:color w:val="auto"/>
        </w:rPr>
        <w:tab/>
      </w:r>
      <w:r>
        <w:rPr>
          <w:rFonts w:ascii="Times New Roman" w:cs="Times New Roman" w:eastAsia="Times New Roman" w:hAnsi="Times New Roman"/>
          <w:sz w:val="19"/>
          <w:szCs w:val="19"/>
          <w:b w:val="1"/>
          <w:bCs w:val="1"/>
          <w:color w:val="auto"/>
        </w:rPr>
        <w:t>Registered Agent and Office.</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registered agent for the service of process and the registered office shall be Capitol Services, Inc. at 108 Lakeland Avenue, City of Dover, County of Ken, Delaware 19901. The Board may, from time to time, change the registered agent or office through appropriate filings with the Secretary of State of the State of Delaware. In the event the registered agent ceases to act as such for any reason or the registered office shall change, the Board shall promptly designate a replacement registered agent or file a notice of change of address as the case may be.</w:t>
      </w:r>
    </w:p>
    <w:p>
      <w:pPr>
        <w:spacing w:after="0" w:line="14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2.6</w:t>
      </w:r>
      <w:r>
        <w:rPr>
          <w:sz w:val="20"/>
          <w:szCs w:val="20"/>
          <w:color w:val="auto"/>
        </w:rPr>
        <w:tab/>
      </w:r>
      <w:r>
        <w:rPr>
          <w:rFonts w:ascii="Times New Roman" w:cs="Times New Roman" w:eastAsia="Times New Roman" w:hAnsi="Times New Roman"/>
          <w:sz w:val="19"/>
          <w:szCs w:val="19"/>
          <w:b w:val="1"/>
          <w:bCs w:val="1"/>
          <w:color w:val="auto"/>
        </w:rPr>
        <w:t>Principal Office.</w:t>
      </w:r>
    </w:p>
    <w:p>
      <w:pPr>
        <w:spacing w:after="0" w:line="19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The Principal Office of the Company shall be located at 5 Bryant Park 34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 New York, New York 10018. The Board may change the location of the Company’s Principal Office.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PURPOSE; NATURE OF BUSINESS</w:t>
      </w:r>
    </w:p>
    <w:p>
      <w:pPr>
        <w:spacing w:after="0" w:line="16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3.1</w:t>
      </w:r>
      <w:r>
        <w:rPr>
          <w:sz w:val="20"/>
          <w:szCs w:val="20"/>
          <w:color w:val="auto"/>
        </w:rPr>
        <w:tab/>
      </w:r>
      <w:r>
        <w:rPr>
          <w:rFonts w:ascii="Times New Roman" w:cs="Times New Roman" w:eastAsia="Times New Roman" w:hAnsi="Times New Roman"/>
          <w:sz w:val="19"/>
          <w:szCs w:val="19"/>
          <w:b w:val="1"/>
          <w:bCs w:val="1"/>
          <w:color w:val="auto"/>
        </w:rPr>
        <w:t>Purpose.</w:t>
      </w:r>
    </w:p>
    <w:p>
      <w:pPr>
        <w:spacing w:after="0" w:line="1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Company is organized for the purpose of, directly or indirectly, through one or more Subsidiaries, engaging in the business of acquiring, managing, maintaining, hedging, financing, warehousing, pledging, securitizing, selling and disposing of HELOCs and other Assets approved by the Members as a Material Decision or Fundamental Decision, as applicable, and any and all actions, proceedings, activities and transactions necessary or convenient in connection therewith (the “</w:t>
      </w:r>
      <w:r>
        <w:rPr>
          <w:rFonts w:ascii="Times New Roman" w:cs="Times New Roman" w:eastAsia="Times New Roman" w:hAnsi="Times New Roman"/>
          <w:sz w:val="20"/>
          <w:szCs w:val="20"/>
          <w:b w:val="1"/>
          <w:bCs w:val="1"/>
          <w:color w:val="auto"/>
        </w:rPr>
        <w:t>Investment Business</w:t>
      </w:r>
      <w:r>
        <w:rPr>
          <w:rFonts w:ascii="Times New Roman" w:cs="Times New Roman" w:eastAsia="Times New Roman" w:hAnsi="Times New Roman"/>
          <w:sz w:val="20"/>
          <w:szCs w:val="20"/>
          <w:color w:val="auto"/>
        </w:rPr>
        <w:t xml:space="preserve">”) pursuant and subject to this Agreement. The Company may act on its own behalf and may contract with third party vendors in connection therewith. The Company shall have the authority to do all things necessary or convenient to accomplish its purpose and operate its business as described in this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and as contemplated by the Basic Documents, subject to the provisions of this Agreement. The authority granted to the Board hereunder to bind the Company shall be limited to the extent expressly set forth in this Agreement.</w:t>
      </w:r>
    </w:p>
    <w:p>
      <w:pPr>
        <w:spacing w:after="0" w:line="15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3.2</w:t>
      </w:r>
      <w:r>
        <w:rPr>
          <w:sz w:val="20"/>
          <w:szCs w:val="20"/>
          <w:color w:val="auto"/>
        </w:rPr>
        <w:tab/>
      </w:r>
      <w:r>
        <w:rPr>
          <w:rFonts w:ascii="Times New Roman" w:cs="Times New Roman" w:eastAsia="Times New Roman" w:hAnsi="Times New Roman"/>
          <w:sz w:val="19"/>
          <w:szCs w:val="19"/>
          <w:b w:val="1"/>
          <w:bCs w:val="1"/>
          <w:color w:val="auto"/>
        </w:rPr>
        <w:t>Separateness Covenants.</w:t>
      </w:r>
    </w:p>
    <w:p>
      <w:pPr>
        <w:spacing w:after="0" w:line="193" w:lineRule="exact"/>
        <w:rPr>
          <w:sz w:val="20"/>
          <w:szCs w:val="20"/>
          <w:color w:val="auto"/>
        </w:rPr>
      </w:pPr>
    </w:p>
    <w:p>
      <w:pPr>
        <w:ind w:left="1720" w:hanging="416"/>
        <w:spacing w:after="0"/>
        <w:tabs>
          <w:tab w:leader="none" w:pos="172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to by the Members, the Company shall engage only in the Investment Business.</w:t>
      </w:r>
    </w:p>
    <w:p>
      <w:pPr>
        <w:spacing w:after="0" w:line="188" w:lineRule="exact"/>
        <w:rPr>
          <w:rFonts w:ascii="Times New Roman" w:cs="Times New Roman" w:eastAsia="Times New Roman" w:hAnsi="Times New Roman"/>
          <w:sz w:val="20"/>
          <w:szCs w:val="20"/>
          <w:color w:val="auto"/>
        </w:rPr>
      </w:pPr>
    </w:p>
    <w:p>
      <w:pPr>
        <w:jc w:val="both"/>
        <w:ind w:firstLine="1304"/>
        <w:spacing w:after="0" w:line="261" w:lineRule="auto"/>
        <w:tabs>
          <w:tab w:leader="none" w:pos="186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the provisions of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the Board shall cause the Company to do or cause to be done all things commercially reasonably necessary to preserve and keep in full force and effect its existence, rights (charter and statutory) and franchises. Subject the provisions of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the Board also shall cause the Company to:</w:t>
      </w:r>
    </w:p>
    <w:p>
      <w:pPr>
        <w:spacing w:after="0" w:line="140" w:lineRule="exact"/>
        <w:rPr>
          <w:rFonts w:ascii="Times New Roman" w:cs="Times New Roman" w:eastAsia="Times New Roman" w:hAnsi="Times New Roman"/>
          <w:sz w:val="20"/>
          <w:szCs w:val="20"/>
          <w:color w:val="auto"/>
        </w:rPr>
      </w:pPr>
    </w:p>
    <w:p>
      <w:pPr>
        <w:ind w:left="2340" w:hanging="388"/>
        <w:spacing w:after="0"/>
        <w:tabs>
          <w:tab w:leader="none" w:pos="2340"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its own separate books and records and bank accounts separate from those of the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09" w:right="339" w:bottom="1440" w:gutter="0" w:footer="0" w:header="0"/>
        </w:sectPr>
      </w:pPr>
    </w:p>
    <w:bookmarkStart w:id="388" w:name="page389"/>
    <w:bookmarkEnd w:id="388"/>
    <w:p>
      <w:pPr>
        <w:ind w:left="2440" w:hanging="488"/>
        <w:spacing w:after="0"/>
        <w:tabs>
          <w:tab w:leader="none" w:pos="244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hold itself out to the public and all other Persons as a legal entity separate from the Members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other Person;</w:t>
      </w:r>
    </w:p>
    <w:p>
      <w:pPr>
        <w:spacing w:after="0" w:line="153" w:lineRule="exact"/>
        <w:rPr>
          <w:sz w:val="20"/>
          <w:szCs w:val="20"/>
          <w:color w:val="auto"/>
        </w:rPr>
      </w:pPr>
    </w:p>
    <w:p>
      <w:pPr>
        <w:ind w:left="2500" w:hanging="548"/>
        <w:spacing w:after="0"/>
        <w:tabs>
          <w:tab w:leader="none" w:pos="250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 its own tax returns, if any, as may be required under applicable law, and pay any taxes so required to be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paid under applicable law;</w:t>
      </w:r>
    </w:p>
    <w:p>
      <w:pPr>
        <w:spacing w:after="0" w:line="153" w:lineRule="exact"/>
        <w:rPr>
          <w:rFonts w:ascii="Times New Roman" w:cs="Times New Roman" w:eastAsia="Times New Roman" w:hAnsi="Times New Roman"/>
          <w:sz w:val="20"/>
          <w:szCs w:val="20"/>
          <w:color w:val="auto"/>
        </w:rPr>
      </w:pPr>
    </w:p>
    <w:p>
      <w:pPr>
        <w:ind w:left="2520" w:hanging="568"/>
        <w:spacing w:after="0"/>
        <w:tabs>
          <w:tab w:leader="none" w:pos="252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its business in its own name and comply in all material respects with organizational formalities to</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its separate existence;</w:t>
      </w:r>
    </w:p>
    <w:p>
      <w:pPr>
        <w:spacing w:after="0" w:line="153" w:lineRule="exact"/>
        <w:rPr>
          <w:rFonts w:ascii="Times New Roman" w:cs="Times New Roman" w:eastAsia="Times New Roman" w:hAnsi="Times New Roman"/>
          <w:sz w:val="20"/>
          <w:szCs w:val="20"/>
          <w:color w:val="auto"/>
        </w:rPr>
      </w:pPr>
    </w:p>
    <w:p>
      <w:pPr>
        <w:ind w:firstLine="1952"/>
        <w:spacing w:after="0" w:line="269" w:lineRule="auto"/>
        <w:tabs>
          <w:tab w:leader="none" w:pos="2392"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hold out its credit or assets as being available to satisfy the obligations of others or pledge its assets for the benefit of any other Person; and</w:t>
      </w:r>
    </w:p>
    <w:p>
      <w:pPr>
        <w:spacing w:after="0" w:line="118" w:lineRule="exact"/>
        <w:rPr>
          <w:rFonts w:ascii="Times New Roman" w:cs="Times New Roman" w:eastAsia="Times New Roman" w:hAnsi="Times New Roman"/>
          <w:sz w:val="20"/>
          <w:szCs w:val="20"/>
          <w:color w:val="auto"/>
        </w:rPr>
      </w:pPr>
    </w:p>
    <w:p>
      <w:pPr>
        <w:jc w:val="both"/>
        <w:ind w:firstLine="1952"/>
        <w:spacing w:after="0" w:line="254" w:lineRule="auto"/>
        <w:tabs>
          <w:tab w:leader="none" w:pos="2469"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allocate fairly and reasonably and pay from the Company’s own funds the cost of any (1) overhead expenses shared with any Member or any of its Affiliates in connection with any services that it provides to the Company or the Board, and (2) any services (including legal and accounting services) that are provided jointly to the Company and to any Member or its Affiliates.</w:t>
      </w:r>
    </w:p>
    <w:p>
      <w:pPr>
        <w:spacing w:after="0" w:line="1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failure of the Company, or the Board on behalf of the Company, to comply with any of the foregoing covenants or any other covenants contained in this Agreement shall not affect the status of the Company as a separate legal entity or the limited liability of the Members.</w:t>
      </w:r>
    </w:p>
    <w:p>
      <w:pPr>
        <w:spacing w:after="0" w:line="13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3.3</w:t>
      </w:r>
      <w:r>
        <w:rPr>
          <w:sz w:val="20"/>
          <w:szCs w:val="20"/>
          <w:color w:val="auto"/>
        </w:rPr>
        <w:tab/>
      </w:r>
      <w:r>
        <w:rPr>
          <w:rFonts w:ascii="Times New Roman" w:cs="Times New Roman" w:eastAsia="Times New Roman" w:hAnsi="Times New Roman"/>
          <w:sz w:val="19"/>
          <w:szCs w:val="19"/>
          <w:b w:val="1"/>
          <w:bCs w:val="1"/>
          <w:color w:val="auto"/>
        </w:rPr>
        <w:t>Subsidiaries.</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The Board may cause the Company to form one or more Subsidiaries, to own all or any part of the Assets or otherwise in furtherance of the Investment Business. In such case, it is expressly understood that the Company shall conduct its business through each Subsidiary, and it is the intent of the Members that the organizational documents relating to the formationof each Subsidiary shall be interpreted together with the provisions of this Agreement to have substantially the same effect to the Members (aside from legal, tax, regulatory and other considerations and consequences, if applicable, relevant to the formation of such Subsidiary) as would be the case if all business of the Subsidiary were conducted by the Company pursuant to the terms of this Agreement, but taking into account the rights and obligations of members or partners of the Subsidiaries, if any, and the requirements of any applicable laws, including, without limitation, tax laws.</w:t>
      </w:r>
    </w:p>
    <w:p>
      <w:pPr>
        <w:spacing w:after="0" w:line="14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1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color w:val="auto"/>
        </w:rPr>
        <w:t>MEMBERS</w:t>
      </w:r>
    </w:p>
    <w:p>
      <w:pPr>
        <w:spacing w:after="0" w:line="16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4.1</w:t>
      </w:r>
      <w:r>
        <w:rPr>
          <w:sz w:val="20"/>
          <w:szCs w:val="20"/>
          <w:color w:val="auto"/>
        </w:rPr>
        <w:tab/>
      </w:r>
      <w:r>
        <w:rPr>
          <w:rFonts w:ascii="Times New Roman" w:cs="Times New Roman" w:eastAsia="Times New Roman" w:hAnsi="Times New Roman"/>
          <w:sz w:val="19"/>
          <w:szCs w:val="19"/>
          <w:b w:val="1"/>
          <w:bCs w:val="1"/>
          <w:color w:val="auto"/>
        </w:rPr>
        <w:t>Members.</w:t>
      </w:r>
    </w:p>
    <w:p>
      <w:pPr>
        <w:spacing w:after="0" w:line="179" w:lineRule="exact"/>
        <w:rPr>
          <w:sz w:val="20"/>
          <w:szCs w:val="20"/>
          <w:color w:val="auto"/>
        </w:rPr>
      </w:pPr>
    </w:p>
    <w:p>
      <w:pPr>
        <w:jc w:val="both"/>
        <w:ind w:firstLine="1304"/>
        <w:spacing w:after="0" w:line="255" w:lineRule="auto"/>
        <w:tabs>
          <w:tab w:leader="none" w:pos="1730"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Effective as of the Effective Date, the Members of the Company shall be the Figure Member and the Investor Member. The names and addresses and Percentage Interests of the Members as of the Effective Date are set forth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The Capital Contributions (with and without Superpriority Contributions), Member Default Loans and Superpriority Contributions made by each Member shall be maintained in the Company’s books and records. Administrative Member shall update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from time to time as necessary to accurately reflect the information therein. Any update to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made in accordance with this Agreement shall not be deemed an amendment or modification to this Agreement or require the consent or approval of any Member. Any reference in this Agreement to </w:t>
      </w:r>
      <w:r>
        <w:rPr>
          <w:rFonts w:ascii="Times New Roman" w:cs="Times New Roman" w:eastAsia="Times New Roman" w:hAnsi="Times New Roman"/>
          <w:sz w:val="19"/>
          <w:szCs w:val="19"/>
          <w:u w:val="single" w:color="auto"/>
          <w:color w:val="auto"/>
        </w:rPr>
        <w:t>Exhibit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w:t>
      </w:r>
      <w:r>
        <w:rPr>
          <w:rFonts w:ascii="Times New Roman" w:cs="Times New Roman" w:eastAsia="Times New Roman" w:hAnsi="Times New Roman"/>
          <w:sz w:val="19"/>
          <w:szCs w:val="19"/>
          <w:color w:val="auto"/>
        </w:rPr>
        <w:t xml:space="preserve"> shall be deemed to be a reference to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as amended and in effect from time to time. Except as otherwise expressly permitted by this Agreement, no other Person shall be admitted as a member of the Company, and no additional Membership Interest shall be issued, without the approval of the Members in accordance with this Agreement. Except as expressly set forth in this Agreement, the Members, and the respective Managers appointed by such Members, and the Administrative Member shall have no duties (fiduciary,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13" w:right="33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20"/>
          <w:szCs w:val="20"/>
          <w:color w:val="auto"/>
        </w:rPr>
        <w:t>duty of loyalty, duty of care or otherwise) whatsoever toward one another, their respective Affiliates, or the Company.</w:t>
      </w:r>
    </w:p>
    <w:p>
      <w:pPr>
        <w:spacing w:after="0" w:line="175" w:lineRule="exact"/>
        <w:rPr>
          <w:sz w:val="20"/>
          <w:szCs w:val="20"/>
          <w:color w:val="auto"/>
        </w:rPr>
      </w:pPr>
    </w:p>
    <w:p>
      <w:pPr>
        <w:jc w:val="both"/>
        <w:ind w:firstLine="1304"/>
        <w:spacing w:after="0" w:line="253" w:lineRule="auto"/>
        <w:tabs>
          <w:tab w:leader="none" w:pos="175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expressly provided in the Act and except for the indemnification obligations under </w:t>
      </w:r>
      <w:r>
        <w:rPr>
          <w:rFonts w:ascii="Times New Roman" w:cs="Times New Roman" w:eastAsia="Times New Roman" w:hAnsi="Times New Roman"/>
          <w:sz w:val="20"/>
          <w:szCs w:val="20"/>
          <w:u w:val="single" w:color="auto"/>
          <w:color w:val="auto"/>
        </w:rPr>
        <w:t>Section 8.6(e)</w:t>
      </w:r>
      <w:r>
        <w:rPr>
          <w:rFonts w:ascii="Times New Roman" w:cs="Times New Roman" w:eastAsia="Times New Roman" w:hAnsi="Times New Roman"/>
          <w:sz w:val="20"/>
          <w:szCs w:val="20"/>
          <w:color w:val="auto"/>
        </w:rPr>
        <w:t xml:space="preserve">, the debts, obligations and liabilities of the Company, whether arising in contract, tort or otherwise, shall be solely the debts, obligations and liabilities of the Company, and no Member shall be obligated personally for any such debt, obligation or liability of the Company solely by reason of being a Member. Except as otherwise expressly provided in the Act and except for the indemnification obligations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8.6(e)</w:t>
      </w:r>
      <w:r>
        <w:rPr>
          <w:rFonts w:ascii="Times New Roman" w:cs="Times New Roman" w:eastAsia="Times New Roman" w:hAnsi="Times New Roman"/>
          <w:sz w:val="20"/>
          <w:szCs w:val="20"/>
          <w:color w:val="auto"/>
        </w:rPr>
        <w:t>, the liability of each Member shall be limited to (i) the amount of Capital Contributions required to be made by such Member in accordance with this Agreement and (ii) such Member’s Membership Interests in the Company.</w:t>
      </w:r>
    </w:p>
    <w:p>
      <w:pPr>
        <w:spacing w:after="0" w:line="14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4.2</w:t>
      </w:r>
      <w:r>
        <w:rPr>
          <w:sz w:val="20"/>
          <w:szCs w:val="20"/>
          <w:color w:val="auto"/>
        </w:rPr>
        <w:tab/>
      </w:r>
      <w:r>
        <w:rPr>
          <w:rFonts w:ascii="Times New Roman" w:cs="Times New Roman" w:eastAsia="Times New Roman" w:hAnsi="Times New Roman"/>
          <w:sz w:val="19"/>
          <w:szCs w:val="19"/>
          <w:b w:val="1"/>
          <w:bCs w:val="1"/>
          <w:color w:val="auto"/>
        </w:rPr>
        <w:t>Bad Act Termination Events.</w:t>
      </w:r>
    </w:p>
    <w:p>
      <w:pPr>
        <w:spacing w:after="0" w:line="193" w:lineRule="exact"/>
        <w:rPr>
          <w:sz w:val="20"/>
          <w:szCs w:val="20"/>
          <w:color w:val="auto"/>
        </w:rPr>
      </w:pPr>
    </w:p>
    <w:p>
      <w:pPr>
        <w:jc w:val="both"/>
        <w:ind w:firstLine="1304"/>
        <w:spacing w:after="0" w:line="253" w:lineRule="auto"/>
        <w:tabs>
          <w:tab w:leader="none" w:pos="1861"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any Figure Connect Document, or any other Basic Document, upon the occurrence and during the continuance of a Bad Act Termination Event with respect to any Member, a Non-Defaulting Member (in its sole discretion) may elect, by delivering written notice (the “</w:t>
      </w:r>
      <w:r>
        <w:rPr>
          <w:rFonts w:ascii="Times New Roman" w:cs="Times New Roman" w:eastAsia="Times New Roman" w:hAnsi="Times New Roman"/>
          <w:sz w:val="20"/>
          <w:szCs w:val="20"/>
          <w:b w:val="1"/>
          <w:bCs w:val="1"/>
          <w:color w:val="auto"/>
        </w:rPr>
        <w:t>Bad Act Termination Event Notice</w:t>
      </w:r>
      <w:r>
        <w:rPr>
          <w:rFonts w:ascii="Times New Roman" w:cs="Times New Roman" w:eastAsia="Times New Roman" w:hAnsi="Times New Roman"/>
          <w:sz w:val="20"/>
          <w:szCs w:val="20"/>
          <w:color w:val="auto"/>
        </w:rPr>
        <w:t>”) to the Company and each other Member, to take, or cause the Company and its Subsidiaries to take, as applicable, any or all of the following actions (each a “</w:t>
      </w:r>
      <w:r>
        <w:rPr>
          <w:rFonts w:ascii="Times New Roman" w:cs="Times New Roman" w:eastAsia="Times New Roman" w:hAnsi="Times New Roman"/>
          <w:sz w:val="20"/>
          <w:szCs w:val="20"/>
          <w:b w:val="1"/>
          <w:bCs w:val="1"/>
          <w:color w:val="auto"/>
        </w:rPr>
        <w:t>Bad Act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Termination Event Remedy</w:t>
      </w:r>
      <w:r>
        <w:rPr>
          <w:rFonts w:ascii="Times New Roman" w:cs="Times New Roman" w:eastAsia="Times New Roman" w:hAnsi="Times New Roman"/>
          <w:sz w:val="20"/>
          <w:szCs w:val="20"/>
          <w:color w:val="auto"/>
        </w:rPr>
        <w:t>”), without the consent or approval of the Company, the Board, any Manager, or any other Member, and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penalty owed to any Member under this Agreement, the Figure Connect Documents, any other Basic Document or otherwise, in each case, as may be expressly provided hereunder or thereunder:</w:t>
      </w:r>
    </w:p>
    <w:p>
      <w:pPr>
        <w:spacing w:after="0" w:line="138" w:lineRule="exact"/>
        <w:rPr>
          <w:rFonts w:ascii="Times New Roman" w:cs="Times New Roman" w:eastAsia="Times New Roman" w:hAnsi="Times New Roman"/>
          <w:sz w:val="20"/>
          <w:szCs w:val="20"/>
          <w:color w:val="auto"/>
        </w:rPr>
      </w:pPr>
    </w:p>
    <w:p>
      <w:pPr>
        <w:jc w:val="both"/>
        <w:ind w:firstLine="1952"/>
        <w:spacing w:after="0" w:line="250" w:lineRule="auto"/>
        <w:tabs>
          <w:tab w:leader="none" w:pos="2417"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elect that the Members cease making further Additional Capital Contributions (whether with respect to a Capital Call or otherwise) or to otherwise provide any additional funding or investment in the Company or any of its Subsidiaries, in each case, for the purpose of acquiring new Assets (but the Members shall continue to be obligated to make Additional Capital Contributions up to its Capital Contribution Cap to fund Company obligations to purchase Assets (including new Assets) pursuant to the terms of then existing agreements and contracts (including any Call Options exercised in the future pursuant to the terms of such agreements or contracts)), including by way of example only, (A) purchasing new HELOCs during prefunding periods for any Committed ABS sponsored by the Company or its Subsidiaries, (B) satisfying the Company’s and the Subsidiaries’ obligations under any outstanding TBA transactions, (C) repurchasing Assets as required by any securitization related documents to which the Company or any Subsidiary is a party, and (D) satisfying the Company’s and Subsidiaries’ indemnification obligations under any outstanding securitization transactions, (E) satisfying the Company’s obligations as a risk retention sponsor under any outstanding securitization transaction, and (F) funding Call Option Payments if the Call Option is exercised in the future) (collectively, “</w:t>
      </w:r>
      <w:r>
        <w:rPr>
          <w:rFonts w:ascii="Times New Roman" w:cs="Times New Roman" w:eastAsia="Times New Roman" w:hAnsi="Times New Roman"/>
          <w:sz w:val="20"/>
          <w:szCs w:val="20"/>
          <w:b w:val="1"/>
          <w:bCs w:val="1"/>
          <w:color w:val="auto"/>
        </w:rPr>
        <w:t>Pre-Existing Obligations</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1952"/>
        <w:spacing w:after="0" w:line="268" w:lineRule="auto"/>
        <w:tabs>
          <w:tab w:leader="none" w:pos="2401"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not purchase, acquire or invest in any HELOCs or other Assets under the Figure Connect Documents or any other Basic Document (but the Members shall continue to be obligated to make Additional Capital Contributions to fund Pre-Existing Obligations);</w:t>
      </w:r>
    </w:p>
    <w:p>
      <w:pPr>
        <w:spacing w:after="0" w:line="120" w:lineRule="exact"/>
        <w:rPr>
          <w:rFonts w:ascii="Times New Roman" w:cs="Times New Roman" w:eastAsia="Times New Roman" w:hAnsi="Times New Roman"/>
          <w:sz w:val="20"/>
          <w:szCs w:val="20"/>
          <w:color w:val="auto"/>
        </w:rPr>
      </w:pPr>
    </w:p>
    <w:p>
      <w:pPr>
        <w:jc w:val="both"/>
        <w:ind w:firstLine="1952"/>
        <w:spacing w:after="0" w:line="257" w:lineRule="auto"/>
        <w:tabs>
          <w:tab w:leader="none" w:pos="2495"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Figure is the Defaulting Member, to remove Figure as Administrative Member and replace the same with any Person selected by Investor (which need not be a Member of the Company with an economic interest in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such case, Figure shall have the right to terminate, or cause to be terminated, the commitment to offer Assets to the Company set forth in the Side Letter, except as may be required to satisfy the Company’s or any of its Subsidiaries’ obligations under any Committed ABS or any other then existing Basic Securitization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13" w:right="339" w:bottom="1440" w:gutter="0" w:footer="0" w:header="0"/>
        </w:sectPr>
      </w:pPr>
    </w:p>
    <w:bookmarkStart w:id="390" w:name="page391"/>
    <w:bookmarkEnd w:id="390"/>
    <w:p>
      <w:pPr>
        <w:ind w:left="2440" w:hanging="488"/>
        <w:spacing w:after="0"/>
        <w:tabs>
          <w:tab w:leader="none" w:pos="2440"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Figure is the Defaulting Member, to exercise the [***] pursuant to and in accordance with the Supplemental</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Side Letter;</w:t>
      </w:r>
    </w:p>
    <w:p>
      <w:pPr>
        <w:spacing w:after="0" w:line="153" w:lineRule="exact"/>
        <w:rPr>
          <w:sz w:val="20"/>
          <w:szCs w:val="20"/>
          <w:color w:val="auto"/>
        </w:rPr>
      </w:pPr>
    </w:p>
    <w:p>
      <w:pPr>
        <w:jc w:val="both"/>
        <w:ind w:firstLine="1952"/>
        <w:spacing w:after="0" w:line="253" w:lineRule="auto"/>
        <w:tabs>
          <w:tab w:leader="none" w:pos="2471" w:val="left"/>
        </w:tabs>
        <w:numPr>
          <w:ilvl w:val="2"/>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Figure is the Defaulting Member, to terminate any Basic Document to which a Figure Person is a party (including the Side Letter);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the commitment to offer Assets to the Company set forth in the Side Letter is terminated (except as may be required to satisfy the Company’s or any of its Subsidiaries’ obligations under any Committed ABS or any other then existing Basic Securitization Document) the Figure Member shall have the right to resign, as Administrative Member of the Company, effective as of the date Investor has appointed a replacement Administrative Member;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Investor shall use its reasonable best efforts to appoint and identify a suitable replacement for the Administrative Member as promptly as practicable following receipt of written notice from Figure of its intent to resign as Administrative Member in accordance with this </w:t>
      </w:r>
      <w:r>
        <w:rPr>
          <w:rFonts w:ascii="Times New Roman" w:cs="Times New Roman" w:eastAsia="Times New Roman" w:hAnsi="Times New Roman"/>
          <w:sz w:val="19"/>
          <w:szCs w:val="19"/>
          <w:u w:val="single" w:color="auto"/>
          <w:color w:val="auto"/>
        </w:rPr>
        <w:t>clause (v)</w:t>
      </w:r>
      <w:r>
        <w:rPr>
          <w:rFonts w:ascii="Times New Roman" w:cs="Times New Roman" w:eastAsia="Times New Roman" w:hAnsi="Times New Roman"/>
          <w:sz w:val="19"/>
          <w:szCs w:val="19"/>
          <w:color w:val="auto"/>
        </w:rPr>
        <w:t xml:space="preserve"> and in any event within one hundred twenty (120) days (and if a replacement Administrative Member has not been appointed within such one hundred twenty</w:t>
      </w:r>
    </w:p>
    <w:p>
      <w:pPr>
        <w:spacing w:after="0" w:line="2" w:lineRule="exact"/>
        <w:rPr>
          <w:rFonts w:ascii="Times New Roman" w:cs="Times New Roman" w:eastAsia="Times New Roman" w:hAnsi="Times New Roman"/>
          <w:sz w:val="19"/>
          <w:szCs w:val="19"/>
          <w:color w:val="auto"/>
        </w:rPr>
      </w:pPr>
    </w:p>
    <w:p>
      <w:pPr>
        <w:ind w:firstLine="8"/>
        <w:spacing w:after="0" w:line="265" w:lineRule="auto"/>
        <w:tabs>
          <w:tab w:leader="none" w:pos="479"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 period, then the Figure Member shall have the right (but not the obligation) to deem its resignation to nonetheless be effective as of such one hundred twentieth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w:t>
      </w:r>
    </w:p>
    <w:p>
      <w:pPr>
        <w:spacing w:after="0" w:line="41" w:lineRule="exact"/>
        <w:rPr>
          <w:rFonts w:ascii="Times New Roman" w:cs="Times New Roman" w:eastAsia="Times New Roman" w:hAnsi="Times New Roman"/>
          <w:sz w:val="20"/>
          <w:szCs w:val="20"/>
          <w:color w:val="auto"/>
        </w:rPr>
      </w:pPr>
    </w:p>
    <w:p>
      <w:pPr>
        <w:jc w:val="both"/>
        <w:ind w:firstLine="1952"/>
        <w:spacing w:after="0" w:line="243" w:lineRule="auto"/>
        <w:tabs>
          <w:tab w:leader="none" w:pos="2525" w:val="left"/>
        </w:tabs>
        <w:numPr>
          <w:ilvl w:val="2"/>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either, as such Non-Defaulting Member may elect in its sole discretion, (x) purchase (either directly or through a designee), or cause the Company to redeem, all but not less than all, of the Membership Interests held by the Defaulting Member and any of its Affiliates (a “</w:t>
      </w:r>
      <w:r>
        <w:rPr>
          <w:rFonts w:ascii="Times New Roman" w:cs="Times New Roman" w:eastAsia="Times New Roman" w:hAnsi="Times New Roman"/>
          <w:sz w:val="20"/>
          <w:szCs w:val="20"/>
          <w:b w:val="1"/>
          <w:bCs w:val="1"/>
          <w:color w:val="auto"/>
        </w:rPr>
        <w:t>Bad Act Termination Event Membership Interest Buyout</w:t>
      </w:r>
      <w:r>
        <w:rPr>
          <w:rFonts w:ascii="Times New Roman" w:cs="Times New Roman" w:eastAsia="Times New Roman" w:hAnsi="Times New Roman"/>
          <w:sz w:val="20"/>
          <w:szCs w:val="20"/>
          <w:color w:val="auto"/>
        </w:rPr>
        <w:t>”) or (y) purchase (either directly or through a designee) all of the Company Assets from the Company (a “</w:t>
      </w:r>
      <w:r>
        <w:rPr>
          <w:rFonts w:ascii="Times New Roman" w:cs="Times New Roman" w:eastAsia="Times New Roman" w:hAnsi="Times New Roman"/>
          <w:sz w:val="20"/>
          <w:szCs w:val="20"/>
          <w:b w:val="1"/>
          <w:bCs w:val="1"/>
          <w:color w:val="auto"/>
        </w:rPr>
        <w:t>Bad Act Termination Event Asset Buyout</w:t>
      </w:r>
      <w:r>
        <w:rPr>
          <w:rFonts w:ascii="Times New Roman" w:cs="Times New Roman" w:eastAsia="Times New Roman" w:hAnsi="Times New Roman"/>
          <w:sz w:val="20"/>
          <w:szCs w:val="20"/>
          <w:color w:val="auto"/>
        </w:rPr>
        <w:t xml:space="preserve">”), in each case, subject to and in accordance with </w:t>
      </w:r>
      <w:r>
        <w:rPr>
          <w:rFonts w:ascii="Times New Roman" w:cs="Times New Roman" w:eastAsia="Times New Roman" w:hAnsi="Times New Roman"/>
          <w:sz w:val="20"/>
          <w:szCs w:val="20"/>
          <w:u w:val="single" w:color="auto"/>
          <w:color w:val="auto"/>
        </w:rPr>
        <w:t>Section 4.2(b)</w:t>
      </w:r>
      <w:r>
        <w:rPr>
          <w:rFonts w:ascii="Times New Roman" w:cs="Times New Roman" w:eastAsia="Times New Roman" w:hAnsi="Times New Roman"/>
          <w:sz w:val="20"/>
          <w:szCs w:val="20"/>
          <w:color w:val="auto"/>
        </w:rPr>
        <w:t>; or</w:t>
      </w:r>
    </w:p>
    <w:p>
      <w:pPr>
        <w:spacing w:after="0" w:line="158" w:lineRule="exact"/>
        <w:rPr>
          <w:rFonts w:ascii="Times New Roman" w:cs="Times New Roman" w:eastAsia="Times New Roman" w:hAnsi="Times New Roman"/>
          <w:sz w:val="20"/>
          <w:szCs w:val="20"/>
          <w:color w:val="auto"/>
        </w:rPr>
      </w:pPr>
    </w:p>
    <w:p>
      <w:pPr>
        <w:ind w:left="2500" w:hanging="548"/>
        <w:spacing w:after="0"/>
        <w:tabs>
          <w:tab w:leader="none" w:pos="2500" w:val="left"/>
        </w:tabs>
        <w:numPr>
          <w:ilvl w:val="2"/>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give a Run-Off Commencement Notice.</w:t>
      </w:r>
    </w:p>
    <w:p>
      <w:pPr>
        <w:spacing w:after="0" w:line="17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Bad Act Termination Event Buyout</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firstLine="1952"/>
        <w:spacing w:after="0" w:line="241" w:lineRule="auto"/>
        <w:tabs>
          <w:tab w:leader="none" w:pos="2452" w:val="left"/>
        </w:tabs>
        <w:numPr>
          <w:ilvl w:val="2"/>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Non-Defaulting Member elects to cause a Bad Act Termination Event Buyout pursuant to a Bad Act Termination Event Notice delivered by the Non-Defaulting Member, the closing of the Bad Act Termination Event Buyout shall occur as promptly as reasonably practicable, and in any event, no later than thirty (30) days after the final determination of the Buyout Price (as defined below) pursuant to this </w:t>
      </w:r>
      <w:r>
        <w:rPr>
          <w:rFonts w:ascii="Times New Roman" w:cs="Times New Roman" w:eastAsia="Times New Roman" w:hAnsi="Times New Roman"/>
          <w:sz w:val="20"/>
          <w:szCs w:val="20"/>
          <w:u w:val="single" w:color="auto"/>
          <w:color w:val="auto"/>
        </w:rPr>
        <w:t>Section 4.2(b)</w:t>
      </w:r>
      <w:r>
        <w:rPr>
          <w:rFonts w:ascii="Times New Roman" w:cs="Times New Roman" w:eastAsia="Times New Roman" w:hAnsi="Times New Roman"/>
          <w:sz w:val="20"/>
          <w:szCs w:val="20"/>
          <w:color w:val="auto"/>
        </w:rPr>
        <w:t>, subject to extension, not to exceed an additional sixty (60) days to the extent reasonably necessary to obtain required Governmental Entity approvals or clearances or required lender consents (the “</w:t>
      </w:r>
      <w:r>
        <w:rPr>
          <w:rFonts w:ascii="Times New Roman" w:cs="Times New Roman" w:eastAsia="Times New Roman" w:hAnsi="Times New Roman"/>
          <w:sz w:val="20"/>
          <w:szCs w:val="20"/>
          <w:b w:val="1"/>
          <w:bCs w:val="1"/>
          <w:color w:val="auto"/>
        </w:rPr>
        <w:t>Buyout Closing Date</w:t>
      </w:r>
      <w:r>
        <w:rPr>
          <w:rFonts w:ascii="Times New Roman" w:cs="Times New Roman" w:eastAsia="Times New Roman" w:hAnsi="Times New Roman"/>
          <w:sz w:val="20"/>
          <w:szCs w:val="20"/>
          <w:color w:val="auto"/>
        </w:rPr>
        <w:t>”). If any full recourse guaranties have been provided by any Defaulting Member or its Affiliates in connection with any warehousing facilities, financings or securitizations for the benefit of the Company or any of the Subsidiaries, it shall be a condition precedent that the Members and the Company obtain the release of any such Defaulting Member or its Affiliates from any such guaranties simultaneously with the closing of the Bad Act Termination Event Buyout.</w:t>
      </w:r>
    </w:p>
    <w:p>
      <w:pPr>
        <w:spacing w:after="0" w:line="149" w:lineRule="exact"/>
        <w:rPr>
          <w:rFonts w:ascii="Times New Roman" w:cs="Times New Roman" w:eastAsia="Times New Roman" w:hAnsi="Times New Roman"/>
          <w:sz w:val="20"/>
          <w:szCs w:val="20"/>
          <w:color w:val="auto"/>
        </w:rPr>
      </w:pPr>
    </w:p>
    <w:p>
      <w:pPr>
        <w:jc w:val="both"/>
        <w:ind w:firstLine="1952"/>
        <w:spacing w:after="0" w:line="242" w:lineRule="auto"/>
        <w:tabs>
          <w:tab w:leader="none" w:pos="2508" w:val="left"/>
        </w:tabs>
        <w:numPr>
          <w:ilvl w:val="2"/>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cash consideration payable in connection with a Bad Act Termination Event Buyout or in connection with a ROFO or a Company Offer (in each case, the “</w:t>
      </w:r>
      <w:r>
        <w:rPr>
          <w:rFonts w:ascii="Times New Roman" w:cs="Times New Roman" w:eastAsia="Times New Roman" w:hAnsi="Times New Roman"/>
          <w:sz w:val="20"/>
          <w:szCs w:val="20"/>
          <w:b w:val="1"/>
          <w:bCs w:val="1"/>
          <w:color w:val="auto"/>
        </w:rPr>
        <w:t>Buyout Price</w:t>
      </w:r>
      <w:r>
        <w:rPr>
          <w:rFonts w:ascii="Times New Roman" w:cs="Times New Roman" w:eastAsia="Times New Roman" w:hAnsi="Times New Roman"/>
          <w:sz w:val="20"/>
          <w:szCs w:val="20"/>
          <w:color w:val="auto"/>
        </w:rPr>
        <w:t xml:space="preserve">”) (x) [***] and the proceeds thereof were distributed to the Members in accordance with </w:t>
      </w:r>
      <w:r>
        <w:rPr>
          <w:rFonts w:ascii="Times New Roman" w:cs="Times New Roman" w:eastAsia="Times New Roman" w:hAnsi="Times New Roman"/>
          <w:sz w:val="20"/>
          <w:szCs w:val="20"/>
          <w:u w:val="single" w:color="auto"/>
          <w:color w:val="auto"/>
        </w:rPr>
        <w:t>Section 10.6(a)</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0"/>
          <w:szCs w:val="20"/>
          <w:u w:val="single" w:color="auto"/>
          <w:color w:val="auto"/>
        </w:rPr>
        <w:t>clauses (iv)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thereof) or (y) to the Company in respect of a purchase all of the Company Assets shall be the Proposed Value, in each case, subject to the adjustments set forth below. The Buyout Price payable in connection with a Bad Act Termination Event Buyout shall be determined in accordance with this </w:t>
      </w:r>
      <w:r>
        <w:rPr>
          <w:rFonts w:ascii="Times New Roman" w:cs="Times New Roman" w:eastAsia="Times New Roman" w:hAnsi="Times New Roman"/>
          <w:sz w:val="20"/>
          <w:szCs w:val="20"/>
          <w:u w:val="single" w:color="auto"/>
          <w:color w:val="auto"/>
        </w:rPr>
        <w:t>Section 4.2(b)</w:t>
      </w:r>
      <w:r>
        <w:rPr>
          <w:rFonts w:ascii="Times New Roman" w:cs="Times New Roman" w:eastAsia="Times New Roman" w:hAnsi="Times New Roman"/>
          <w:sz w:val="20"/>
          <w:szCs w:val="20"/>
          <w:color w:val="auto"/>
        </w:rPr>
        <w:t>. For a period of at least fifteen (15) days after the delivery of such Bad Act Termination Event Notice, the Members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13" w:right="339" w:bottom="1440" w:gutter="0" w:footer="0" w:header="0"/>
        </w:sectPr>
      </w:pPr>
    </w:p>
    <w:bookmarkStart w:id="391" w:name="page392"/>
    <w:bookmarkEnd w:id="391"/>
    <w:p>
      <w:pPr>
        <w:jc w:val="both"/>
        <w:spacing w:after="0" w:line="253" w:lineRule="auto"/>
        <w:rPr>
          <w:sz w:val="20"/>
          <w:szCs w:val="20"/>
          <w:color w:val="auto"/>
        </w:rPr>
      </w:pPr>
      <w:r>
        <w:rPr>
          <w:rFonts w:ascii="Times New Roman" w:cs="Times New Roman" w:eastAsia="Times New Roman" w:hAnsi="Times New Roman"/>
          <w:sz w:val="19"/>
          <w:szCs w:val="19"/>
          <w:color w:val="auto"/>
        </w:rPr>
        <w:t xml:space="preserve">negotiate in good faith to mutually agree on the Buyout Price. If the Members are not able to mutually agree on the Buyout Price after negotiating in good faith for such fifteen (15) day period, each Member shall, within fifteen (15) days thereafter, appoint a Qualified Appraiser. If either Member fails to appoint a Qualified Appraiser within such fifteen (15) day period, the Buyout Price determined by the sole Qualified Appraiser timely appointed by the appointing Member shall be binding upon the Members. In addition, Figure shall have the right to elect to have a third Qualified Appraiser appointed in which case the two Qualified Appraisers initially appointed by the Members shall, within fifteen (15) days of their appointment, collectively select a third Qualified Appraiser. Each Member shall be responsible for the cost of its own Qualified Appraiser;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Figure shall be responsible for the cost of any third Qualified Appraiser. The Members shall instruct the Qualified Appraisers to promptly (but no later than thirty (30) days after the appointment of the final Qualified Appraiser) complete the appraisal and valuation of the Company Assets and determination of the Proposed Value. [***] Notwithstanding anything to the contrary, if a Non-Defaulting Member elects to exercise a Bad Act Termination Event Buyout but the closing thereof fails to occur for any reason (except for any reason solely or primarily attributable to the action or inaction of the Defaulting Member) by the scheduled Buyout Closing Date, then the Defaulting Member shall thereafter have the right to market and sell its Membership Interest at any price to a third party that is not a Sixth Street Competitor (if the Defaulting Member is any Member other than Investor) or Competitor (if the Defaulting Member is a Member other than Figure);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the Non-Defaulting Member may in its sole discretion waive any condition to such Non-Defaulting Member’s obligation to close other than the payment of the Buyout Price and the release of any full recourse guarantees.</w:t>
      </w:r>
    </w:p>
    <w:p>
      <w:pPr>
        <w:spacing w:after="0" w:line="132" w:lineRule="exact"/>
        <w:rPr>
          <w:sz w:val="20"/>
          <w:szCs w:val="20"/>
          <w:color w:val="auto"/>
        </w:rPr>
      </w:pPr>
    </w:p>
    <w:p>
      <w:pPr>
        <w:jc w:val="both"/>
        <w:ind w:firstLine="1304"/>
        <w:spacing w:after="0" w:line="260" w:lineRule="auto"/>
        <w:tabs>
          <w:tab w:leader="none" w:pos="1727"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Effect of Redemption Pursuant to Bad Act Termination Event Buyout</w:t>
      </w:r>
      <w:r>
        <w:rPr>
          <w:rFonts w:ascii="Times New Roman" w:cs="Times New Roman" w:eastAsia="Times New Roman" w:hAnsi="Times New Roman"/>
          <w:sz w:val="20"/>
          <w:szCs w:val="20"/>
          <w:color w:val="auto"/>
        </w:rPr>
        <w:t>. Effective immediately upon the redemption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any Membership Interests of any Defaulting Member pursuant to a Bad Act Termination Event Buyout, without any further action on the part of the Company, or any other Member, such Membership Interests so redeemed shall be automatically and immediately terminated, such redeemed Member shall immediately and automatically cease to be a Member,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13" w:right="339" w:bottom="1440" w:gutter="0" w:footer="0" w:header="0"/>
        </w:sectPr>
      </w:pPr>
    </w:p>
    <w:bookmarkStart w:id="392" w:name="page393"/>
    <w:bookmarkEnd w:id="392"/>
    <w:p>
      <w:pPr>
        <w:spacing w:after="0" w:line="255" w:lineRule="auto"/>
        <w:rPr>
          <w:sz w:val="20"/>
          <w:szCs w:val="20"/>
          <w:color w:val="auto"/>
        </w:rPr>
      </w:pPr>
      <w:r>
        <w:rPr>
          <w:rFonts w:ascii="Times New Roman" w:cs="Times New Roman" w:eastAsia="Times New Roman" w:hAnsi="Times New Roman"/>
          <w:sz w:val="20"/>
          <w:szCs w:val="20"/>
          <w:color w:val="auto"/>
        </w:rPr>
        <w:t>rights, benefits, or privileges of such redeemed Member under this Agreement shall immediately and automatically terminate and cease to exist.</w:t>
      </w:r>
    </w:p>
    <w:p>
      <w:pPr>
        <w:spacing w:after="0" w:line="128" w:lineRule="exact"/>
        <w:rPr>
          <w:sz w:val="20"/>
          <w:szCs w:val="20"/>
          <w:color w:val="auto"/>
        </w:rPr>
      </w:pPr>
    </w:p>
    <w:p>
      <w:pPr>
        <w:jc w:val="both"/>
        <w:ind w:firstLine="1304"/>
        <w:spacing w:after="0" w:line="232" w:lineRule="auto"/>
        <w:tabs>
          <w:tab w:leader="none" w:pos="1778"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Sale of Membership Interest</w:t>
      </w:r>
      <w:r>
        <w:rPr>
          <w:rFonts w:ascii="Times New Roman" w:cs="Times New Roman" w:eastAsia="Times New Roman" w:hAnsi="Times New Roman"/>
          <w:sz w:val="20"/>
          <w:szCs w:val="20"/>
          <w:color w:val="auto"/>
        </w:rPr>
        <w:t>. The purchase of the Membership Interests of any Member by another Member or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designee pursuant to a Bad Act Termination Event Membership Interest Buyout or in connection with a ROFO with respect to a Member’s Membership Interest shall be on terms customary for similar transactions among members of a joint venture as the parties shall negotiate in good faith and for the payment of the applicable Buyout Price in cash, and with no representations or warranties by the Member selling its Membership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selling Member shall warrant and represent that it is the sole owner of its Membership Interest and holds the same free and clear of any liens or other encumbrances (other than such liens and encumbrances which are not prohibited by the terms of this Agreement and/or which will be terminated, released or otherwise removed on or prior to the Buyout Closing Date), and (ii) such purchase has been authorized by all requisite action on the part of the selling Member and any applicable Affiliates and it has the right and power to sell, exchange, transfer, assign or otherwise dispose of the selling Member’s Membership Interest.</w:t>
      </w:r>
    </w:p>
    <w:p>
      <w:pPr>
        <w:spacing w:after="0" w:line="132" w:lineRule="exact"/>
        <w:rPr>
          <w:rFonts w:ascii="Times New Roman" w:cs="Times New Roman" w:eastAsia="Times New Roman" w:hAnsi="Times New Roman"/>
          <w:sz w:val="20"/>
          <w:szCs w:val="20"/>
          <w:color w:val="auto"/>
        </w:rPr>
      </w:pPr>
    </w:p>
    <w:p>
      <w:pPr>
        <w:jc w:val="both"/>
        <w:ind w:firstLine="1304"/>
        <w:spacing w:after="0" w:line="233" w:lineRule="auto"/>
        <w:tabs>
          <w:tab w:leader="none" w:pos="174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Sale of Company Assets</w:t>
      </w:r>
      <w:r>
        <w:rPr>
          <w:rFonts w:ascii="Times New Roman" w:cs="Times New Roman" w:eastAsia="Times New Roman" w:hAnsi="Times New Roman"/>
          <w:sz w:val="20"/>
          <w:szCs w:val="20"/>
          <w:color w:val="auto"/>
        </w:rPr>
        <w:t>. The purchase of the Company Assets by another Member or its designee pursuant to a Bad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Act Termination Event Asset Buyout or in connection with a Company Offer or ROFO with respect to the Company Assets shall be on terms customary for similar transactions among members of a joint venture as the parties shall negotiate in good faith and for the payment of the applicable Buyout Price in cash, and with no representations or warranties by the Company or any other Member;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the Company shall warrant and represent that such sale has been authorized by all requisite action on the part of the Company and shall provide back-to-back representations and warranties with respect to the Company Assets purchased by the Company or any Subsidiary pursuant to the Common Marketplace Terms to the same extent of any representations and warranties provided by the applicable Figure Person pursuant to the Common Marketplace Terms.</w:t>
      </w:r>
    </w:p>
    <w:p>
      <w:pPr>
        <w:spacing w:after="0" w:line="130" w:lineRule="exact"/>
        <w:rPr>
          <w:rFonts w:ascii="Times New Roman" w:cs="Times New Roman" w:eastAsia="Times New Roman" w:hAnsi="Times New Roman"/>
          <w:sz w:val="20"/>
          <w:szCs w:val="20"/>
          <w:color w:val="auto"/>
        </w:rPr>
      </w:pPr>
    </w:p>
    <w:p>
      <w:pPr>
        <w:jc w:val="both"/>
        <w:ind w:firstLine="1304"/>
        <w:spacing w:after="0" w:line="235" w:lineRule="auto"/>
        <w:tabs>
          <w:tab w:leader="none" w:pos="1732"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Notification</w:t>
      </w:r>
      <w:r>
        <w:rPr>
          <w:rFonts w:ascii="Times New Roman" w:cs="Times New Roman" w:eastAsia="Times New Roman" w:hAnsi="Times New Roman"/>
          <w:sz w:val="20"/>
          <w:szCs w:val="20"/>
          <w:color w:val="auto"/>
        </w:rPr>
        <w:t>. Each Member shall notify the Company in writing, no later than five (5) Business Days, upon obtaining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actual knowledge of (i) the occurrence of a Bad Act Termination Event with respect to such Member, (ii) such Member becoming a Pre-Defaulting Member, (iii) the occurrence of any Other Termination Event, or (iv) any material breach by such Member of any of its representations, warranties and covenants in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this </w:t>
      </w:r>
      <w:r>
        <w:rPr>
          <w:rFonts w:ascii="Times New Roman" w:cs="Times New Roman" w:eastAsia="Times New Roman" w:hAnsi="Times New Roman"/>
          <w:sz w:val="20"/>
          <w:szCs w:val="20"/>
          <w:u w:val="single" w:color="auto"/>
          <w:color w:val="auto"/>
        </w:rPr>
        <w:t>Section 4.2(f)</w:t>
      </w:r>
      <w:r>
        <w:rPr>
          <w:rFonts w:ascii="Times New Roman" w:cs="Times New Roman" w:eastAsia="Times New Roman" w:hAnsi="Times New Roman"/>
          <w:sz w:val="20"/>
          <w:szCs w:val="20"/>
          <w:color w:val="auto"/>
        </w:rPr>
        <w:t xml:space="preserve">, a Member shall be deemed to have obtained actual knowledge of the matters set forth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only when any Manager appointed by such Member obtaining actual knowledge of the same.</w:t>
      </w:r>
    </w:p>
    <w:p>
      <w:pPr>
        <w:spacing w:after="0" w:line="13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4.3</w:t>
      </w:r>
      <w:r>
        <w:rPr>
          <w:sz w:val="20"/>
          <w:szCs w:val="20"/>
          <w:color w:val="auto"/>
        </w:rPr>
        <w:tab/>
      </w:r>
      <w:r>
        <w:rPr>
          <w:rFonts w:ascii="Times New Roman" w:cs="Times New Roman" w:eastAsia="Times New Roman" w:hAnsi="Times New Roman"/>
          <w:sz w:val="19"/>
          <w:szCs w:val="19"/>
          <w:b w:val="1"/>
          <w:bCs w:val="1"/>
          <w:color w:val="auto"/>
        </w:rPr>
        <w:t>Run-Off Period.</w:t>
      </w:r>
    </w:p>
    <w:p>
      <w:pPr>
        <w:spacing w:after="0" w:line="179" w:lineRule="exact"/>
        <w:rPr>
          <w:sz w:val="20"/>
          <w:szCs w:val="20"/>
          <w:color w:val="auto"/>
        </w:rPr>
      </w:pPr>
    </w:p>
    <w:p>
      <w:pPr>
        <w:jc w:val="both"/>
        <w:ind w:firstLine="1304"/>
        <w:spacing w:after="0" w:line="230" w:lineRule="auto"/>
        <w:tabs>
          <w:tab w:leader="none" w:pos="1776"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Beginning on the Run-Off Commencement Date, the obligations of the Company and its Subsidiaries to purchase or acquire any new HELOCs or other Assets under the Figure Connect Documents shall cease and the Company and its Subsidiaries shall cease acquiring or purchasing any such HELOCs or other Assets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notwithstanding the foregoing, the Company and the Subsidiaries shall continue to perform any then outstanding obligations of the Company and the Subsidiaries (including, without limitation, the Pre-Existing Obligations)). Subject to the remainder of this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Administrative Member shall cause the Company and its Subsidiaries to use reasonable efforts to promptly in accordance with the determination of the Board, sell or dispose of all of the Company Assets held by the Company and its Subsidiaries or engage in any other liquidation transactions with respect to such Company Assets (it being understood that any such sales or disposals of Company Assets may be in tranches for all or a portion of the Company Assets and, notwithstanding anything to the contrary set forth herein or otherwise, the sale of any Retained Assets may only be undertaken to the extent permitted by applicable laws and regulations and securitization documents, and distribute the net cash proceeds from any such sales, dispositions, or other liquidation transactions of Company Assets (after payment of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13" w:right="339" w:bottom="1440" w:gutter="0" w:footer="0" w:header="0"/>
        </w:sectPr>
      </w:pPr>
    </w:p>
    <w:bookmarkStart w:id="393" w:name="page394"/>
    <w:bookmarkEnd w:id="393"/>
    <w:p>
      <w:pPr>
        <w:jc w:val="both"/>
        <w:spacing w:after="0" w:line="231" w:lineRule="auto"/>
        <w:rPr>
          <w:sz w:val="20"/>
          <w:szCs w:val="20"/>
          <w:color w:val="auto"/>
        </w:rPr>
      </w:pPr>
      <w:r>
        <w:rPr>
          <w:rFonts w:ascii="Times New Roman" w:cs="Times New Roman" w:eastAsia="Times New Roman" w:hAnsi="Times New Roman"/>
          <w:sz w:val="20"/>
          <w:szCs w:val="20"/>
          <w:color w:val="auto"/>
        </w:rPr>
        <w:t xml:space="preserve">expenses and providing for reserves agreed upon by the Members pursuant to </w:t>
      </w:r>
      <w:r>
        <w:rPr>
          <w:rFonts w:ascii="Times New Roman" w:cs="Times New Roman" w:eastAsia="Times New Roman" w:hAnsi="Times New Roman"/>
          <w:sz w:val="20"/>
          <w:szCs w:val="20"/>
          <w:u w:val="single" w:color="auto"/>
          <w:color w:val="auto"/>
        </w:rPr>
        <w:t>Section 8.3(a)(xxx)</w:t>
      </w:r>
      <w:r>
        <w:rPr>
          <w:rFonts w:ascii="Times New Roman" w:cs="Times New Roman" w:eastAsia="Times New Roman" w:hAnsi="Times New Roman"/>
          <w:sz w:val="20"/>
          <w:szCs w:val="20"/>
          <w:color w:val="auto"/>
        </w:rPr>
        <w:t xml:space="preserve">) to the Members in accordance with </w:t>
      </w:r>
      <w:r>
        <w:rPr>
          <w:rFonts w:ascii="Times New Roman" w:cs="Times New Roman" w:eastAsia="Times New Roman" w:hAnsi="Times New Roman"/>
          <w:sz w:val="20"/>
          <w:szCs w:val="20"/>
          <w:u w:val="single" w:color="auto"/>
          <w:color w:val="auto"/>
        </w:rPr>
        <w:t>Section 10.6(a)</w:t>
      </w:r>
      <w:r>
        <w:rPr>
          <w:rFonts w:ascii="Times New Roman" w:cs="Times New Roman" w:eastAsia="Times New Roman" w:hAnsi="Times New Roman"/>
          <w:sz w:val="20"/>
          <w:szCs w:val="20"/>
          <w:color w:val="auto"/>
        </w:rPr>
        <w:t xml:space="preserve"> and Administrative Member and the Board shall in good faith seek to maximize the value to be received by the Members in any such transaction or transactions, including taking into account the potential tax exposure to a REIT from such transactions (including the tax implications of a sale through a taxable REIT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prior to marketing all or any of the Company Assets for sale or other disposition, (i) Figure shall provide (acting on behalf of the Company in the case of a ROFO Notice for Company Assets), a ROFO Notice to Investor and either (x) Investor shall have declined or deemed to have declined to provide a ROFO Response Notice, pursuant to </w:t>
      </w:r>
      <w:r>
        <w:rPr>
          <w:rFonts w:ascii="Times New Roman" w:cs="Times New Roman" w:eastAsia="Times New Roman" w:hAnsi="Times New Roman"/>
          <w:sz w:val="20"/>
          <w:szCs w:val="20"/>
          <w:u w:val="single" w:color="auto"/>
          <w:color w:val="auto"/>
        </w:rPr>
        <w:t>Section 4.3(c)</w:t>
      </w:r>
      <w:r>
        <w:rPr>
          <w:rFonts w:ascii="Times New Roman" w:cs="Times New Roman" w:eastAsia="Times New Roman" w:hAnsi="Times New Roman"/>
          <w:sz w:val="20"/>
          <w:szCs w:val="20"/>
          <w:color w:val="auto"/>
        </w:rPr>
        <w:t xml:space="preserve">, or (y) Figure shall have declined or deemed to have declined to provide a ROFO Acceptance Notice pursuant to </w:t>
      </w:r>
      <w:r>
        <w:rPr>
          <w:rFonts w:ascii="Times New Roman" w:cs="Times New Roman" w:eastAsia="Times New Roman" w:hAnsi="Times New Roman"/>
          <w:sz w:val="20"/>
          <w:szCs w:val="20"/>
          <w:u w:val="single" w:color="auto"/>
          <w:color w:val="auto"/>
        </w:rPr>
        <w:t>Section 4.3(c)</w:t>
      </w:r>
      <w:r>
        <w:rPr>
          <w:rFonts w:ascii="Times New Roman" w:cs="Times New Roman" w:eastAsia="Times New Roman" w:hAnsi="Times New Roman"/>
          <w:sz w:val="20"/>
          <w:szCs w:val="20"/>
          <w:color w:val="auto"/>
        </w:rPr>
        <w:t xml:space="preserve"> (the occurrence of any of the foregoing in this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b w:val="1"/>
          <w:bCs w:val="1"/>
          <w:color w:val="auto"/>
        </w:rPr>
        <w:t>ROFO Waiver</w:t>
      </w:r>
      <w:r>
        <w:rPr>
          <w:rFonts w:ascii="Times New Roman" w:cs="Times New Roman" w:eastAsia="Times New Roman" w:hAnsi="Times New Roman"/>
          <w:sz w:val="20"/>
          <w:szCs w:val="20"/>
          <w:color w:val="auto"/>
        </w:rPr>
        <w:t xml:space="preserve">”) and (ii) Figure and the Company shall have complied with the provisions of </w:t>
      </w:r>
      <w:r>
        <w:rPr>
          <w:rFonts w:ascii="Times New Roman" w:cs="Times New Roman" w:eastAsia="Times New Roman" w:hAnsi="Times New Roman"/>
          <w:sz w:val="20"/>
          <w:szCs w:val="20"/>
          <w:u w:val="single" w:color="auto"/>
          <w:color w:val="auto"/>
        </w:rPr>
        <w:t>Section 4.3(d)</w:t>
      </w:r>
      <w:r>
        <w:rPr>
          <w:rFonts w:ascii="Times New Roman" w:cs="Times New Roman" w:eastAsia="Times New Roman" w:hAnsi="Times New Roman"/>
          <w:sz w:val="20"/>
          <w:szCs w:val="20"/>
          <w:color w:val="auto"/>
        </w:rPr>
        <w:t>.</w:t>
      </w:r>
    </w:p>
    <w:p>
      <w:pPr>
        <w:spacing w:after="0" w:line="141" w:lineRule="exact"/>
        <w:rPr>
          <w:sz w:val="20"/>
          <w:szCs w:val="20"/>
          <w:color w:val="auto"/>
        </w:rPr>
      </w:pPr>
    </w:p>
    <w:p>
      <w:pPr>
        <w:jc w:val="both"/>
        <w:ind w:firstLine="1304"/>
        <w:spacing w:after="0" w:line="237" w:lineRule="auto"/>
        <w:tabs>
          <w:tab w:leader="none" w:pos="1943"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this Agreement, at any time on or after the Run-Off Commencement Date, either Member, shall have the right (but not the obligation) to Transfer their respective Membership Interests (in whole but not in part) to any Person, without the approval or consent of any other Member, the Company, the Board, or any Manager, but otherwise in accordance with the requirements of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xml:space="preserve"> and subject to a ROFO with respect to such Member’s Membership Interest, which shall be exercised in accordance with </w:t>
      </w:r>
      <w:r>
        <w:rPr>
          <w:rFonts w:ascii="Times New Roman" w:cs="Times New Roman" w:eastAsia="Times New Roman" w:hAnsi="Times New Roman"/>
          <w:sz w:val="20"/>
          <w:szCs w:val="20"/>
          <w:u w:val="single" w:color="auto"/>
          <w:color w:val="auto"/>
        </w:rPr>
        <w:t>Section 4.3(c)</w:t>
      </w:r>
      <w:r>
        <w:rPr>
          <w:rFonts w:ascii="Times New Roman" w:cs="Times New Roman" w:eastAsia="Times New Roman" w:hAnsi="Times New Roman"/>
          <w:sz w:val="20"/>
          <w:szCs w:val="20"/>
          <w:color w:val="auto"/>
        </w:rPr>
        <w:t>.</w:t>
      </w:r>
    </w:p>
    <w:p>
      <w:pPr>
        <w:spacing w:after="0" w:line="133" w:lineRule="exact"/>
        <w:rPr>
          <w:rFonts w:ascii="Times New Roman" w:cs="Times New Roman" w:eastAsia="Times New Roman" w:hAnsi="Times New Roman"/>
          <w:sz w:val="20"/>
          <w:szCs w:val="20"/>
          <w:color w:val="auto"/>
        </w:rPr>
      </w:pPr>
    </w:p>
    <w:p>
      <w:pPr>
        <w:jc w:val="both"/>
        <w:ind w:firstLine="1304"/>
        <w:spacing w:after="0" w:line="228" w:lineRule="auto"/>
        <w:tabs>
          <w:tab w:leader="none" w:pos="1764"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ROFO undertaken pursuant to </w:t>
      </w:r>
      <w:r>
        <w:rPr>
          <w:rFonts w:ascii="Times New Roman" w:cs="Times New Roman" w:eastAsia="Times New Roman" w:hAnsi="Times New Roman"/>
          <w:sz w:val="20"/>
          <w:szCs w:val="20"/>
          <w:u w:val="single" w:color="auto"/>
          <w:color w:val="auto"/>
        </w:rPr>
        <w:t>Section 4.3(b)</w:t>
      </w:r>
      <w:r>
        <w:rPr>
          <w:rFonts w:ascii="Times New Roman" w:cs="Times New Roman" w:eastAsia="Times New Roman" w:hAnsi="Times New Roman"/>
          <w:sz w:val="20"/>
          <w:szCs w:val="20"/>
          <w:color w:val="auto"/>
        </w:rPr>
        <w:t xml:space="preserve"> or the final proviso of the final sentence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4.3(a)</w:t>
      </w:r>
      <w:r>
        <w:rPr>
          <w:rFonts w:ascii="Times New Roman" w:cs="Times New Roman" w:eastAsia="Times New Roman" w:hAnsi="Times New Roman"/>
          <w:sz w:val="20"/>
          <w:szCs w:val="20"/>
          <w:color w:val="auto"/>
        </w:rPr>
        <w:t xml:space="preserve">, the Member that desires to Transfer its Membership Interests (or in the case of any ROFO undertaken pursuant to </w:t>
      </w:r>
      <w:r>
        <w:rPr>
          <w:rFonts w:ascii="Times New Roman" w:cs="Times New Roman" w:eastAsia="Times New Roman" w:hAnsi="Times New Roman"/>
          <w:sz w:val="20"/>
          <w:szCs w:val="20"/>
          <w:u w:val="single" w:color="auto"/>
          <w:color w:val="auto"/>
        </w:rPr>
        <w:t>Section 4.3(a)</w:t>
      </w:r>
      <w:r>
        <w:rPr>
          <w:rFonts w:ascii="Times New Roman" w:cs="Times New Roman" w:eastAsia="Times New Roman" w:hAnsi="Times New Roman"/>
          <w:sz w:val="20"/>
          <w:szCs w:val="20"/>
          <w:color w:val="auto"/>
        </w:rPr>
        <w:t xml:space="preserve">, Figure, for itself or, in the case of a ROFO with respect to Company Assets, on behalf of the Company, as applicable), shall first offer such Member’s Membership Interests (or in the case of any ROFO undertaken pursuant to </w:t>
      </w:r>
      <w:r>
        <w:rPr>
          <w:rFonts w:ascii="Times New Roman" w:cs="Times New Roman" w:eastAsia="Times New Roman" w:hAnsi="Times New Roman"/>
          <w:sz w:val="20"/>
          <w:szCs w:val="20"/>
          <w:u w:val="single" w:color="auto"/>
          <w:color w:val="auto"/>
        </w:rPr>
        <w:t>Section 4.3(a)</w:t>
      </w:r>
      <w:r>
        <w:rPr>
          <w:rFonts w:ascii="Times New Roman" w:cs="Times New Roman" w:eastAsia="Times New Roman" w:hAnsi="Times New Roman"/>
          <w:sz w:val="20"/>
          <w:szCs w:val="20"/>
          <w:color w:val="auto"/>
        </w:rPr>
        <w:t>, Figure’s Membership Interest or all of the Company Assets, as applicable) to the other Member (the “</w:t>
      </w:r>
      <w:r>
        <w:rPr>
          <w:rFonts w:ascii="Times New Roman" w:cs="Times New Roman" w:eastAsia="Times New Roman" w:hAnsi="Times New Roman"/>
          <w:sz w:val="20"/>
          <w:szCs w:val="20"/>
          <w:b w:val="1"/>
          <w:bCs w:val="1"/>
          <w:color w:val="auto"/>
        </w:rPr>
        <w:t>Buying Member</w:t>
      </w:r>
      <w:r>
        <w:rPr>
          <w:rFonts w:ascii="Times New Roman" w:cs="Times New Roman" w:eastAsia="Times New Roman" w:hAnsi="Times New Roman"/>
          <w:sz w:val="20"/>
          <w:szCs w:val="20"/>
          <w:color w:val="auto"/>
        </w:rPr>
        <w:t>”) for purchase by providing written notice (the “</w:t>
      </w:r>
      <w:r>
        <w:rPr>
          <w:rFonts w:ascii="Times New Roman" w:cs="Times New Roman" w:eastAsia="Times New Roman" w:hAnsi="Times New Roman"/>
          <w:sz w:val="20"/>
          <w:szCs w:val="20"/>
          <w:b w:val="1"/>
          <w:bCs w:val="1"/>
          <w:color w:val="auto"/>
        </w:rPr>
        <w:t>ROFO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and such Member (including Figure in the case of any ROFO undertaken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4.3(a)</w:t>
      </w:r>
      <w:r>
        <w:rPr>
          <w:rFonts w:ascii="Times New Roman" w:cs="Times New Roman" w:eastAsia="Times New Roman" w:hAnsi="Times New Roman"/>
          <w:sz w:val="20"/>
          <w:szCs w:val="20"/>
          <w:color w:val="auto"/>
        </w:rPr>
        <w:t>, delivering the ROFO Notice),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Selling Member</w:t>
      </w:r>
      <w:r>
        <w:rPr>
          <w:rFonts w:ascii="Times New Roman" w:cs="Times New Roman" w:eastAsia="Times New Roman" w:hAnsi="Times New Roman"/>
          <w:sz w:val="20"/>
          <w:szCs w:val="20"/>
          <w:color w:val="auto"/>
        </w:rPr>
        <w:t xml:space="preserve">”) to the Buying Member, and the Buying Member shall have the right to offer to purchase the Selling Member’s Membership Interests (or in the case of any ROFO undertaken pursuant to </w:t>
      </w:r>
      <w:r>
        <w:rPr>
          <w:rFonts w:ascii="Times New Roman" w:cs="Times New Roman" w:eastAsia="Times New Roman" w:hAnsi="Times New Roman"/>
          <w:sz w:val="20"/>
          <w:szCs w:val="20"/>
          <w:u w:val="single" w:color="auto"/>
          <w:color w:val="auto"/>
        </w:rPr>
        <w:t>Section 4.3(a)</w:t>
      </w:r>
      <w:r>
        <w:rPr>
          <w:rFonts w:ascii="Times New Roman" w:cs="Times New Roman" w:eastAsia="Times New Roman" w:hAnsi="Times New Roman"/>
          <w:sz w:val="20"/>
          <w:szCs w:val="20"/>
          <w:color w:val="auto"/>
        </w:rPr>
        <w:t>, all of Figure’s Membership Interest or all of the Company Assets), at the Buyout Price calculated based on a Proposed Value reasonably proposed by Buying Member (each, a “</w:t>
      </w:r>
      <w:r>
        <w:rPr>
          <w:rFonts w:ascii="Times New Roman" w:cs="Times New Roman" w:eastAsia="Times New Roman" w:hAnsi="Times New Roman"/>
          <w:sz w:val="20"/>
          <w:szCs w:val="20"/>
          <w:b w:val="1"/>
          <w:bCs w:val="1"/>
          <w:color w:val="auto"/>
        </w:rPr>
        <w:t>ROFO</w:t>
      </w:r>
      <w:r>
        <w:rPr>
          <w:rFonts w:ascii="Times New Roman" w:cs="Times New Roman" w:eastAsia="Times New Roman" w:hAnsi="Times New Roman"/>
          <w:sz w:val="20"/>
          <w:szCs w:val="20"/>
          <w:color w:val="auto"/>
        </w:rPr>
        <w:t>”). In order to exercise the ROFO, the Buying Member must, no later than thirty (30) days after its receipt of the ROFO Notice, provide written notice to the Selling Member (the “</w:t>
      </w:r>
      <w:r>
        <w:rPr>
          <w:rFonts w:ascii="Times New Roman" w:cs="Times New Roman" w:eastAsia="Times New Roman" w:hAnsi="Times New Roman"/>
          <w:sz w:val="20"/>
          <w:szCs w:val="20"/>
          <w:b w:val="1"/>
          <w:bCs w:val="1"/>
          <w:color w:val="auto"/>
        </w:rPr>
        <w:t>ROFO Response Notice</w:t>
      </w:r>
      <w:r>
        <w:rPr>
          <w:rFonts w:ascii="Times New Roman" w:cs="Times New Roman" w:eastAsia="Times New Roman" w:hAnsi="Times New Roman"/>
          <w:sz w:val="20"/>
          <w:szCs w:val="20"/>
          <w:color w:val="auto"/>
        </w:rPr>
        <w:t xml:space="preserve">”), stating that it desires to purchase the Selling Member’s Membership Interests (or in the case of any ROFO undertaken pursuant to </w:t>
      </w:r>
      <w:r>
        <w:rPr>
          <w:rFonts w:ascii="Times New Roman" w:cs="Times New Roman" w:eastAsia="Times New Roman" w:hAnsi="Times New Roman"/>
          <w:sz w:val="20"/>
          <w:szCs w:val="20"/>
          <w:u w:val="single" w:color="auto"/>
          <w:color w:val="auto"/>
        </w:rPr>
        <w:t>Section 4.3(a)</w:t>
      </w:r>
      <w:r>
        <w:rPr>
          <w:rFonts w:ascii="Times New Roman" w:cs="Times New Roman" w:eastAsia="Times New Roman" w:hAnsi="Times New Roman"/>
          <w:sz w:val="20"/>
          <w:szCs w:val="20"/>
          <w:color w:val="auto"/>
        </w:rPr>
        <w:t xml:space="preserve">, all of Figure’s Membership Interest or all of the Company Assets), which notice shall set forth the Proposed Value, as reasonably determined by Buying Member, of all of the Company Assets then owned by the Company and the Subsidiaries, and therefore the basis on which the Buyout Price payable to the Selling Member (or in the case of any ROFO undertaken pursuant to </w:t>
      </w:r>
      <w:r>
        <w:rPr>
          <w:rFonts w:ascii="Times New Roman" w:cs="Times New Roman" w:eastAsia="Times New Roman" w:hAnsi="Times New Roman"/>
          <w:sz w:val="20"/>
          <w:szCs w:val="20"/>
          <w:u w:val="single" w:color="auto"/>
          <w:color w:val="auto"/>
        </w:rPr>
        <w:t>Section 4.3(a)</w:t>
      </w:r>
      <w:r>
        <w:rPr>
          <w:rFonts w:ascii="Times New Roman" w:cs="Times New Roman" w:eastAsia="Times New Roman" w:hAnsi="Times New Roman"/>
          <w:sz w:val="20"/>
          <w:szCs w:val="20"/>
          <w:color w:val="auto"/>
        </w:rPr>
        <w:t xml:space="preserve">, to Figure or the Company, as applicable) would be calculated. In the event the Buying Member fails to deliver a ROFO Response Notice within thirty (30) days following its receipt of the ROFO Notice, the Buying Member shall be deemed to have waived its right to exercise the ROFO. The Selling Member (including on behalf of the Company in the case of any ROFO undertaken pursuant to </w:t>
      </w:r>
      <w:r>
        <w:rPr>
          <w:rFonts w:ascii="Times New Roman" w:cs="Times New Roman" w:eastAsia="Times New Roman" w:hAnsi="Times New Roman"/>
          <w:sz w:val="20"/>
          <w:szCs w:val="20"/>
          <w:u w:val="single" w:color="auto"/>
          <w:color w:val="auto"/>
        </w:rPr>
        <w:t>Section 4.3(a)</w:t>
      </w:r>
      <w:r>
        <w:rPr>
          <w:rFonts w:ascii="Times New Roman" w:cs="Times New Roman" w:eastAsia="Times New Roman" w:hAnsi="Times New Roman"/>
          <w:sz w:val="20"/>
          <w:szCs w:val="20"/>
          <w:color w:val="auto"/>
        </w:rPr>
        <w:t>) shall have the right, exercisable by giving written notice to the Buying Member (the “</w:t>
      </w:r>
      <w:r>
        <w:rPr>
          <w:rFonts w:ascii="Times New Roman" w:cs="Times New Roman" w:eastAsia="Times New Roman" w:hAnsi="Times New Roman"/>
          <w:sz w:val="20"/>
          <w:szCs w:val="20"/>
          <w:b w:val="1"/>
          <w:bCs w:val="1"/>
          <w:color w:val="auto"/>
        </w:rPr>
        <w:t>ROFO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Acceptance Notice</w:t>
      </w:r>
      <w:r>
        <w:rPr>
          <w:rFonts w:ascii="Times New Roman" w:cs="Times New Roman" w:eastAsia="Times New Roman" w:hAnsi="Times New Roman"/>
          <w:sz w:val="20"/>
          <w:szCs w:val="20"/>
          <w:color w:val="auto"/>
        </w:rPr>
        <w:t>”) within thirty (30) days after its receipt of the ROFO Response Notice, to elect to sell to the Buying Member or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designee the Selling Member’s Membership Interest (or in the case of any ROFO undertaken pursuant to </w:t>
      </w:r>
      <w:r>
        <w:rPr>
          <w:rFonts w:ascii="Times New Roman" w:cs="Times New Roman" w:eastAsia="Times New Roman" w:hAnsi="Times New Roman"/>
          <w:sz w:val="20"/>
          <w:szCs w:val="20"/>
          <w:u w:val="single" w:color="auto"/>
          <w:color w:val="auto"/>
        </w:rPr>
        <w:t>Section 4.3(a)</w:t>
      </w:r>
      <w:r>
        <w:rPr>
          <w:rFonts w:ascii="Times New Roman" w:cs="Times New Roman" w:eastAsia="Times New Roman" w:hAnsi="Times New Roman"/>
          <w:sz w:val="20"/>
          <w:szCs w:val="20"/>
          <w:color w:val="auto"/>
        </w:rPr>
        <w:t>, all of Figure’s Membership Interest or all of the Company Assets) at the Buyout Price calculated based on the Proposed Value set forth in the ROFO Response Notice, in which event the Members, and the Company, as applicable, shall consummate the closing of such sale at such Buyout Price as promptly as reasonably practicable, and in any event, within thirty (30) days after the Selling Member’s delivery of the ROFO Acceptance Notice (subject to extension for up to an additional sixty (60) days to the extent reasonably necessary to obtain required Governmental Entity approvals or clearances or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13" w:right="339" w:bottom="1440" w:gutter="0" w:footer="0" w:header="0"/>
        </w:sectPr>
      </w:pPr>
    </w:p>
    <w:bookmarkStart w:id="394" w:name="page395"/>
    <w:bookmarkEnd w:id="394"/>
    <w:p>
      <w:pPr>
        <w:jc w:val="both"/>
        <w:spacing w:after="0"/>
        <w:rPr>
          <w:sz w:val="20"/>
          <w:szCs w:val="20"/>
          <w:color w:val="auto"/>
        </w:rPr>
      </w:pPr>
      <w:r>
        <w:rPr>
          <w:rFonts w:ascii="Times New Roman" w:cs="Times New Roman" w:eastAsia="Times New Roman" w:hAnsi="Times New Roman"/>
          <w:sz w:val="19"/>
          <w:szCs w:val="19"/>
          <w:color w:val="auto"/>
        </w:rPr>
        <w:t xml:space="preserve">lender consents). If Selling Member fails to provide a ROFO Acceptance Notice within such thirty (30) days period, then the Selling Member shall be deemed to have elected not to accept the terms of the ROFO Response Notice. Except with respect to a sale of the Company Assets, at the closing of any sale to the Buying Member pursuant to a ROFO Acceptance Notice, the adjustments set forth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4.2(b)(ii)</w:t>
      </w:r>
      <w:r>
        <w:rPr>
          <w:rFonts w:ascii="Times New Roman" w:cs="Times New Roman" w:eastAsia="Times New Roman" w:hAnsi="Times New Roman"/>
          <w:sz w:val="19"/>
          <w:szCs w:val="19"/>
          <w:color w:val="auto"/>
        </w:rPr>
        <w:t xml:space="preserve"> shall be made to the Proposed Value and the Buyout Price, as applicable, to arrive at the final Buyout Price payable to the Selling Member pursuant to this </w:t>
      </w:r>
      <w:r>
        <w:rPr>
          <w:rFonts w:ascii="Times New Roman" w:cs="Times New Roman" w:eastAsia="Times New Roman" w:hAnsi="Times New Roman"/>
          <w:sz w:val="19"/>
          <w:szCs w:val="19"/>
          <w:u w:val="single" w:color="auto"/>
          <w:color w:val="auto"/>
        </w:rPr>
        <w:t>Section 4.3(c)</w:t>
      </w:r>
      <w:r>
        <w:rPr>
          <w:rFonts w:ascii="Times New Roman" w:cs="Times New Roman" w:eastAsia="Times New Roman" w:hAnsi="Times New Roman"/>
          <w:sz w:val="19"/>
          <w:szCs w:val="19"/>
          <w:color w:val="auto"/>
        </w:rPr>
        <w:t xml:space="preserve">. If Buying Member does not timely elect to exercise such ROFO, or if the Selling Member rejects the ROFO Response Notice or declines to provide a ROFO Acceptance Notice, then the Selling Member shall have the right, but not the obligation, for a period of one hundred twenty (120) days thereafter, to sell all but not less than all of its Membership Interests or to cause the Company to sell all but not less than all of the Company Assets (it being understood that, notwithstanding anything to the contrary set forth herein or otherwise, the sale of any Retained Assets may only be undertaken to the extent permitted by applicable laws and regulations and securitization documents) to a third party at a price calculated based on a Proposed Value greater than one hundred percent (100%) of the Proposed Value set forth in any ROFO Response Notice given in accordance with this </w:t>
      </w:r>
      <w:r>
        <w:rPr>
          <w:rFonts w:ascii="Times New Roman" w:cs="Times New Roman" w:eastAsia="Times New Roman" w:hAnsi="Times New Roman"/>
          <w:sz w:val="19"/>
          <w:szCs w:val="19"/>
          <w:u w:val="single" w:color="auto"/>
          <w:color w:val="auto"/>
        </w:rPr>
        <w:t>Section 4.3(c)</w:t>
      </w:r>
      <w:r>
        <w:rPr>
          <w:rFonts w:ascii="Times New Roman" w:cs="Times New Roman" w:eastAsia="Times New Roman" w:hAnsi="Times New Roman"/>
          <w:sz w:val="19"/>
          <w:szCs w:val="19"/>
          <w:color w:val="auto"/>
        </w:rPr>
        <w:t xml:space="preserve">. If Selling Member (or in the case of </w:t>
      </w:r>
      <w:r>
        <w:rPr>
          <w:rFonts w:ascii="Times New Roman" w:cs="Times New Roman" w:eastAsia="Times New Roman" w:hAnsi="Times New Roman"/>
          <w:sz w:val="19"/>
          <w:szCs w:val="19"/>
          <w:u w:val="single" w:color="auto"/>
          <w:color w:val="auto"/>
        </w:rPr>
        <w:t>Section 4.3(a)</w:t>
      </w:r>
      <w:r>
        <w:rPr>
          <w:rFonts w:ascii="Times New Roman" w:cs="Times New Roman" w:eastAsia="Times New Roman" w:hAnsi="Times New Roman"/>
          <w:sz w:val="19"/>
          <w:szCs w:val="19"/>
          <w:color w:val="auto"/>
        </w:rPr>
        <w:t xml:space="preserve">, Figure) fails to sell (or cause to be sold) its Membership Interests (or in the case of </w:t>
      </w:r>
      <w:r>
        <w:rPr>
          <w:rFonts w:ascii="Times New Roman" w:cs="Times New Roman" w:eastAsia="Times New Roman" w:hAnsi="Times New Roman"/>
          <w:sz w:val="19"/>
          <w:szCs w:val="19"/>
          <w:u w:val="single" w:color="auto"/>
          <w:color w:val="auto"/>
        </w:rPr>
        <w:t>Section 4.3(a)</w:t>
      </w:r>
      <w:r>
        <w:rPr>
          <w:rFonts w:ascii="Times New Roman" w:cs="Times New Roman" w:eastAsia="Times New Roman" w:hAnsi="Times New Roman"/>
          <w:sz w:val="19"/>
          <w:szCs w:val="19"/>
          <w:color w:val="auto"/>
        </w:rPr>
        <w:t xml:space="preserve">, Figure’s Membership Interests or all of the Company Assets) within such one hundred and twenty (120) day period in accordance with the foregoing provisions, the Selling Member must once again provide a ROFO Notice to Buying Member before it elects to sell its Membership Interests pursuant to </w:t>
      </w:r>
      <w:r>
        <w:rPr>
          <w:rFonts w:ascii="Times New Roman" w:cs="Times New Roman" w:eastAsia="Times New Roman" w:hAnsi="Times New Roman"/>
          <w:sz w:val="19"/>
          <w:szCs w:val="19"/>
          <w:u w:val="single" w:color="auto"/>
          <w:color w:val="auto"/>
        </w:rPr>
        <w:t>Section 4.3(b)</w:t>
      </w:r>
      <w:r>
        <w:rPr>
          <w:rFonts w:ascii="Times New Roman" w:cs="Times New Roman" w:eastAsia="Times New Roman" w:hAnsi="Times New Roman"/>
          <w:sz w:val="19"/>
          <w:szCs w:val="19"/>
          <w:color w:val="auto"/>
        </w:rPr>
        <w:t xml:space="preserve"> or in the case of </w:t>
      </w:r>
      <w:r>
        <w:rPr>
          <w:rFonts w:ascii="Times New Roman" w:cs="Times New Roman" w:eastAsia="Times New Roman" w:hAnsi="Times New Roman"/>
          <w:sz w:val="19"/>
          <w:szCs w:val="19"/>
          <w:u w:val="single" w:color="auto"/>
          <w:color w:val="auto"/>
        </w:rPr>
        <w:t>Section 4.3(a)</w:t>
      </w:r>
      <w:r>
        <w:rPr>
          <w:rFonts w:ascii="Times New Roman" w:cs="Times New Roman" w:eastAsia="Times New Roman" w:hAnsi="Times New Roman"/>
          <w:sz w:val="19"/>
          <w:szCs w:val="19"/>
          <w:color w:val="auto"/>
        </w:rPr>
        <w:t xml:space="preserve">, before Figure elects to sell its Membership Interests or cause the Company to sell, all of the Company Assets. Notwithstanding anything to the contrary, if the Buying Member elects to exercise the ROFO, and the Selling Member elects to exercise its ROFO Acceptance, and the closing thereof fails to occur for any reason (except for any reason solely or primarily attributable to the action or inaction of the Selling Member), then the Selling Member shall thereafter have the right to market and sell its Membership Interest (or in the case of </w:t>
      </w:r>
      <w:r>
        <w:rPr>
          <w:rFonts w:ascii="Times New Roman" w:cs="Times New Roman" w:eastAsia="Times New Roman" w:hAnsi="Times New Roman"/>
          <w:sz w:val="19"/>
          <w:szCs w:val="19"/>
          <w:u w:val="single" w:color="auto"/>
          <w:color w:val="auto"/>
        </w:rPr>
        <w:t>Section 4.3(a)</w:t>
      </w:r>
      <w:r>
        <w:rPr>
          <w:rFonts w:ascii="Times New Roman" w:cs="Times New Roman" w:eastAsia="Times New Roman" w:hAnsi="Times New Roman"/>
          <w:sz w:val="19"/>
          <w:szCs w:val="19"/>
          <w:color w:val="auto"/>
        </w:rPr>
        <w:t xml:space="preserve">, Figure’s Membership Interest or the Company Assets) to a third party that is not a Sixth Street Competitor (if the Defaulting Member is any Member other than Investor) or Competitor (if the Defaulting Member is a Member other than Figure), at any price (including at a price calculated based on less than 100% of the Proposed Value set forth in the ROFO Notice);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the Buying Member may in its sole discretion waive any condition to such Buying Member’s obligation to close other than the payment of the purchase price and the release of any full recourse guarantees. If any full recourse guaranties have been provided by any Selling Member or its Affiliates in connection with any warehousing facilities, financings or securitizations for the benefit of the Company or any of the Subsidiaries, it shall be a condition precedent that the Members and the Company obtain the release of the Selling Member or its Affiliates from any such guaranties simultaneously with the closing of any ROFO.</w:t>
      </w:r>
    </w:p>
    <w:p>
      <w:pPr>
        <w:spacing w:after="0" w:line="380" w:lineRule="exact"/>
        <w:rPr>
          <w:sz w:val="20"/>
          <w:szCs w:val="20"/>
          <w:color w:val="auto"/>
        </w:rPr>
      </w:pPr>
    </w:p>
    <w:p>
      <w:pPr>
        <w:jc w:val="both"/>
        <w:ind w:firstLine="1304"/>
        <w:spacing w:after="0" w:line="230" w:lineRule="auto"/>
        <w:tabs>
          <w:tab w:leader="none" w:pos="1784"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ROFO Waiver occurs, prior to marketing less than all of the Company Assets (the “</w:t>
      </w:r>
      <w:r>
        <w:rPr>
          <w:rFonts w:ascii="Times New Roman" w:cs="Times New Roman" w:eastAsia="Times New Roman" w:hAnsi="Times New Roman"/>
          <w:sz w:val="20"/>
          <w:szCs w:val="20"/>
          <w:b w:val="1"/>
          <w:bCs w:val="1"/>
          <w:color w:val="auto"/>
        </w:rPr>
        <w:t>Subject Assets</w:t>
      </w:r>
      <w:r>
        <w:rPr>
          <w:rFonts w:ascii="Times New Roman" w:cs="Times New Roman" w:eastAsia="Times New Roman" w:hAnsi="Times New Roman"/>
          <w:sz w:val="20"/>
          <w:szCs w:val="20"/>
          <w:color w:val="auto"/>
        </w:rPr>
        <w:t xml:space="preserve">”) for sale to third parties (it being agreed that a sale of all of the Company Assets shall be governed by </w:t>
      </w:r>
      <w:r>
        <w:rPr>
          <w:rFonts w:ascii="Times New Roman" w:cs="Times New Roman" w:eastAsia="Times New Roman" w:hAnsi="Times New Roman"/>
          <w:sz w:val="20"/>
          <w:szCs w:val="20"/>
          <w:u w:val="single" w:color="auto"/>
          <w:color w:val="auto"/>
        </w:rPr>
        <w:t>Sections 4.3(a)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Figure, acting on behalf of the Company, shall offer to sell such Company Assets to Investor (either directly or through its designee) in exchange for a purchase price equal to a proposed value for such Subject Assets as reasonably determined by Figure (a “</w:t>
      </w:r>
      <w:r>
        <w:rPr>
          <w:rFonts w:ascii="Times New Roman" w:cs="Times New Roman" w:eastAsia="Times New Roman" w:hAnsi="Times New Roman"/>
          <w:sz w:val="20"/>
          <w:szCs w:val="20"/>
          <w:b w:val="1"/>
          <w:bCs w:val="1"/>
          <w:color w:val="auto"/>
        </w:rPr>
        <w:t>Company Offer</w:t>
      </w:r>
      <w:r>
        <w:rPr>
          <w:rFonts w:ascii="Times New Roman" w:cs="Times New Roman" w:eastAsia="Times New Roman" w:hAnsi="Times New Roman"/>
          <w:sz w:val="20"/>
          <w:szCs w:val="20"/>
          <w:color w:val="auto"/>
        </w:rPr>
        <w:t xml:space="preserve">”). If Investor receives a Company Offer, Investor shall have the right to elect (by written notice delivered to the Company and Figure) to purchase such Subject Assets within thirty (30) days following receipt of such Company Offer;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Investor fails to provide written notice of such election within such thirty (30) day period, Investor shall be deemed to have elected not to accept the Company Offer. If Investor declines or is deemed to have declined to purchase the applicable Subject Assets pursuant to a Company Offer, Figure, acting on behalf of the Company, shall have the right but not the obligation, for a period of one hundred and twenty (120) days thereafter, to sell all but not less than all of the Subject Assets to a third party at a price greater than one hundred percent (100%) of the proposed value of the Subject Assets set forth in the Company Offer given in accordance with this </w:t>
      </w:r>
      <w:r>
        <w:rPr>
          <w:rFonts w:ascii="Times New Roman" w:cs="Times New Roman" w:eastAsia="Times New Roman" w:hAnsi="Times New Roman"/>
          <w:sz w:val="20"/>
          <w:szCs w:val="20"/>
          <w:u w:val="single" w:color="auto"/>
          <w:color w:val="auto"/>
        </w:rPr>
        <w:t>Section 4.3(d)</w:t>
      </w:r>
      <w:r>
        <w:rPr>
          <w:rFonts w:ascii="Times New Roman" w:cs="Times New Roman" w:eastAsia="Times New Roman" w:hAnsi="Times New Roman"/>
          <w:sz w:val="20"/>
          <w:szCs w:val="20"/>
          <w:color w:val="auto"/>
        </w:rPr>
        <w:t xml:space="preserve"> (it being understood that, notwithstanding anything to the contrary set forth herein or otherwise, the sale of any Retained Assets may only be undertaken to the extent permitted by applicable laws and regulations and securitization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13" w:right="339" w:bottom="1440" w:gutter="0" w:footer="0" w:header="0"/>
        </w:sectPr>
      </w:pPr>
    </w:p>
    <w:bookmarkStart w:id="395" w:name="page396"/>
    <w:bookmarkEnd w:id="395"/>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documents). If the Company fails to consummate a sale of the Subject Assets within such one hundred and twenty (120) day period in accordance with the foregoing provisions, Figure must once again provide a Company Offer to Investor with respect to such Subject Assets before the Company can sell the same. Notwithstanding the foregoing, if Investor elects to exercise its right to purchase any Subject Assets pursuant to a Company Offer but the closing thereof fails to occur for any reason (except for any reason solely or primarily attributable to the action or inaction of Figure), then Figure, acting on behalf of the Company, shall thereafter have the right to market and sell such Subject Assets to a third party that is not a Sixth Street Competitor at any price;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Investor may in its sole discretion waive any condition to Investor’s obligation to close other than the payment of the purchase price and the release of any full recourse guarantees.</w:t>
      </w:r>
    </w:p>
    <w:p>
      <w:pPr>
        <w:spacing w:after="0" w:line="139" w:lineRule="exact"/>
        <w:rPr>
          <w:sz w:val="20"/>
          <w:szCs w:val="20"/>
          <w:color w:val="auto"/>
        </w:rPr>
      </w:pPr>
    </w:p>
    <w:p>
      <w:pPr>
        <w:jc w:val="both"/>
        <w:ind w:firstLine="1304"/>
        <w:spacing w:after="0" w:line="252" w:lineRule="auto"/>
        <w:tabs>
          <w:tab w:leader="none" w:pos="172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if not all of the Company Assets have been disposed within two (2) years after the Run-Off Commencement Date, either Member shall have the right to unilaterally cause the Company to sell the remaining Company Assets (excluding, however, any Retained Assets the sale of which is not permitted by applicable laws and regulations and securitization documents) in a dealer-auction participated in with a minimum of three (3) nationally recognized dealers;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either Member shall have the right to participate in such dealer-auction as a bidder. Each Member shall, and shall cause its Affiliates (including in their capacity as the Seller and Servicer) to, cooperate with and provide assistance to the Company, its Subsidiaries, the Board, and each other Member in connection therewith, including executing and delivering documents, agreements, instruments, and certificates, providing information and reports and doing such other things, as may be reasonably requested by the Company, its Subsidiaries, the Board, and each other Member in connection with the transactions contemplated under this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same does not increase the liabilities or obligations, or decrease the rights and benefits, of such Member by more than a de minimis extent.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VACCOUNTING AND RECORDS</w:t>
      </w:r>
    </w:p>
    <w:p>
      <w:pPr>
        <w:spacing w:after="0" w:line="18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5.1</w:t>
      </w:r>
      <w:r>
        <w:rPr>
          <w:sz w:val="20"/>
          <w:szCs w:val="20"/>
          <w:color w:val="auto"/>
        </w:rPr>
        <w:tab/>
      </w:r>
      <w:r>
        <w:rPr>
          <w:rFonts w:ascii="Times New Roman" w:cs="Times New Roman" w:eastAsia="Times New Roman" w:hAnsi="Times New Roman"/>
          <w:sz w:val="19"/>
          <w:szCs w:val="19"/>
          <w:b w:val="1"/>
          <w:bCs w:val="1"/>
          <w:color w:val="auto"/>
        </w:rPr>
        <w:t>Records to be Maintained.</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Administrative Member shall maintain, or cause to be maintained:</w:t>
      </w:r>
    </w:p>
    <w:p>
      <w:pPr>
        <w:spacing w:after="0" w:line="189" w:lineRule="exact"/>
        <w:rPr>
          <w:sz w:val="20"/>
          <w:szCs w:val="20"/>
          <w:color w:val="auto"/>
        </w:rPr>
      </w:pPr>
    </w:p>
    <w:p>
      <w:pPr>
        <w:ind w:firstLine="1304"/>
        <w:spacing w:after="0" w:line="269" w:lineRule="auto"/>
        <w:tabs>
          <w:tab w:leader="none" w:pos="1717"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current list of the full name and last known business address of each Member, each Member’s Membership Interests, and each Member’s Capital Contributions (with and without Superiority Contributions);</w:t>
      </w:r>
    </w:p>
    <w:p>
      <w:pPr>
        <w:spacing w:after="0" w:line="132" w:lineRule="exact"/>
        <w:rPr>
          <w:rFonts w:ascii="Times New Roman" w:cs="Times New Roman" w:eastAsia="Times New Roman" w:hAnsi="Times New Roman"/>
          <w:sz w:val="20"/>
          <w:szCs w:val="20"/>
          <w:color w:val="auto"/>
        </w:rPr>
      </w:pPr>
    </w:p>
    <w:p>
      <w:pPr>
        <w:ind w:firstLine="1304"/>
        <w:spacing w:after="0" w:line="283" w:lineRule="auto"/>
        <w:tabs>
          <w:tab w:leader="none" w:pos="1785"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Certificate of Formation and all amendments thereto, together with executed copies of any powers of attorney pursuant to which the Certificate of Formation or any such amendment has been executed; and</w:t>
      </w:r>
    </w:p>
    <w:p>
      <w:pPr>
        <w:spacing w:after="0" w:line="119"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Company’s federal, state and local income tax returns and reports.</w:t>
      </w:r>
    </w:p>
    <w:p>
      <w:pPr>
        <w:spacing w:after="0" w:line="17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5.2</w:t>
      </w:r>
      <w:r>
        <w:rPr>
          <w:sz w:val="20"/>
          <w:szCs w:val="20"/>
          <w:color w:val="auto"/>
        </w:rPr>
        <w:tab/>
      </w:r>
      <w:r>
        <w:rPr>
          <w:rFonts w:ascii="Times New Roman" w:cs="Times New Roman" w:eastAsia="Times New Roman" w:hAnsi="Times New Roman"/>
          <w:sz w:val="19"/>
          <w:szCs w:val="19"/>
          <w:b w:val="1"/>
          <w:bCs w:val="1"/>
          <w:color w:val="auto"/>
        </w:rPr>
        <w:t>Books and Records.</w:t>
      </w:r>
    </w:p>
    <w:p>
      <w:pPr>
        <w:spacing w:after="0" w:line="193" w:lineRule="exact"/>
        <w:rPr>
          <w:sz w:val="20"/>
          <w:szCs w:val="20"/>
          <w:color w:val="auto"/>
        </w:rPr>
      </w:pPr>
    </w:p>
    <w:p>
      <w:pPr>
        <w:jc w:val="both"/>
        <w:ind w:firstLine="1304"/>
        <w:spacing w:after="0" w:line="269" w:lineRule="auto"/>
        <w:tabs>
          <w:tab w:leader="none" w:pos="1718"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Administrative Member shall keep, or cause to be kept, complete and accurate financial books and records with respect to the Company and its Subsidiaries and each Member shall be entitled to access and review such books and records of the Company from time to time upon at least one Business Day prior written notice, to the extent such books and records are then available, as may be reasonably requested by a Member;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Members do so during regular business hours at Administrative Member’s office or such other location as reasonably determined by the Members and Administrative Member. Notwithstanding the foregoing, the Company or the Board reserves the right to withhold any documents or information from a Member or any of its Affiliates (i) if the provision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13" w:right="339" w:bottom="1440" w:gutter="0" w:footer="0" w:header="0"/>
        </w:sectPr>
      </w:pPr>
    </w:p>
    <w:bookmarkStart w:id="396" w:name="page397"/>
    <w:bookmarkEnd w:id="396"/>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documents or information to such Member would result in a waiver of attorney-client privilege, work product protection or trade secret protection or other similar privilege or protection, or (ii) such document or information relates to any potential claim by or against the Company or its Subsidiaries, or any Member or any Affiliate of a Member made by or against such Member or its Affiliates. Except for the reports set forth in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or as otherwise required under this Agreement, any Basic Document to which a Figure Person is a party or under any other agreement or document entered into in connection with the transactions contemplated thereby, in no event shall the Company be required to prepare, produce, provide or deliver any documents or information to any Member that are not then available.</w:t>
      </w:r>
    </w:p>
    <w:p>
      <w:pPr>
        <w:spacing w:after="0" w:line="148" w:lineRule="exact"/>
        <w:rPr>
          <w:sz w:val="20"/>
          <w:szCs w:val="20"/>
          <w:color w:val="auto"/>
        </w:rPr>
      </w:pPr>
    </w:p>
    <w:p>
      <w:pPr>
        <w:jc w:val="both"/>
        <w:ind w:firstLine="1304"/>
        <w:spacing w:after="0" w:line="245" w:lineRule="auto"/>
        <w:tabs>
          <w:tab w:leader="none" w:pos="1730"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books of the Company shall be kept on the accrual basis in accordance with GAAP. The Company also shall report its operations for tax purposes on the accrual method. The fiscal year and tax year of the Company shall end on December 31 of each year, unless a different tax year shall be required by the Code. If any Member elects to conduct an audit of the books and records of the Company and its Subsidiaries, Administrative Member shall cooperate in good faith with such Member, at such Member’s expense, to provide in a timely manner such information and documents as may be reasonably requested by such Member. All schedules of book income shall be prepared on a GAAP basis.</w:t>
      </w:r>
    </w:p>
    <w:p>
      <w:pPr>
        <w:spacing w:after="0" w:line="14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5.3</w:t>
      </w:r>
      <w:r>
        <w:rPr>
          <w:sz w:val="20"/>
          <w:szCs w:val="20"/>
          <w:color w:val="auto"/>
        </w:rPr>
        <w:tab/>
      </w:r>
      <w:r>
        <w:rPr>
          <w:rFonts w:ascii="Times New Roman" w:cs="Times New Roman" w:eastAsia="Times New Roman" w:hAnsi="Times New Roman"/>
          <w:sz w:val="19"/>
          <w:szCs w:val="19"/>
          <w:b w:val="1"/>
          <w:bCs w:val="1"/>
          <w:color w:val="auto"/>
        </w:rPr>
        <w:t>Reports to Members.</w:t>
      </w:r>
    </w:p>
    <w:p>
      <w:pPr>
        <w:spacing w:after="0" w:line="17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Administrative Member shall use commercially reasonable efforts to provide, or use commercially reasonable efforts to cause to be provided by the Company Accountant, the following to the Members:</w:t>
      </w:r>
    </w:p>
    <w:p>
      <w:pPr>
        <w:spacing w:after="0" w:line="119" w:lineRule="exact"/>
        <w:rPr>
          <w:sz w:val="20"/>
          <w:szCs w:val="20"/>
          <w:color w:val="auto"/>
        </w:rPr>
      </w:pPr>
    </w:p>
    <w:p>
      <w:pPr>
        <w:ind w:left="1720" w:hanging="416"/>
        <w:spacing w:after="0"/>
        <w:tabs>
          <w:tab w:leader="none" w:pos="172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estimated Form 1065, Schedule K-1 for the prior Fiscal Year no later than March 31 of the current Fiscal Year;</w:t>
      </w:r>
    </w:p>
    <w:p>
      <w:pPr>
        <w:spacing w:after="0" w:line="175"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final Form 1065, Schedule K-1 for the prior Fiscal Year no later than May 15 of the current Fiscal Year;</w:t>
      </w:r>
    </w:p>
    <w:p>
      <w:pPr>
        <w:spacing w:after="0" w:line="188" w:lineRule="exact"/>
        <w:rPr>
          <w:rFonts w:ascii="Times New Roman" w:cs="Times New Roman" w:eastAsia="Times New Roman" w:hAnsi="Times New Roman"/>
          <w:sz w:val="20"/>
          <w:szCs w:val="20"/>
          <w:color w:val="auto"/>
        </w:rPr>
      </w:pPr>
    </w:p>
    <w:p>
      <w:pPr>
        <w:ind w:right="20" w:firstLine="1304"/>
        <w:spacing w:after="0" w:line="255" w:lineRule="auto"/>
        <w:tabs>
          <w:tab w:leader="none" w:pos="1738"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projection, no later than October 25 of each Fiscal Year, of taxable income at the federal and state level for the first three quarters of such Fiscal Year;</w:t>
      </w:r>
    </w:p>
    <w:p>
      <w:pPr>
        <w:spacing w:after="0" w:line="145" w:lineRule="exact"/>
        <w:rPr>
          <w:rFonts w:ascii="Times New Roman" w:cs="Times New Roman" w:eastAsia="Times New Roman" w:hAnsi="Times New Roman"/>
          <w:sz w:val="20"/>
          <w:szCs w:val="20"/>
          <w:color w:val="auto"/>
        </w:rPr>
      </w:pPr>
    </w:p>
    <w:p>
      <w:pPr>
        <w:jc w:val="both"/>
        <w:ind w:firstLine="1304"/>
        <w:spacing w:after="0" w:line="247" w:lineRule="auto"/>
        <w:tabs>
          <w:tab w:leader="none" w:pos="180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one hundred and twenty (120) days after the end of each Fiscal Year, an annual operating statement, annual balance sheet and statement of cash flows of the Company prepared on the basis of generally accepted accounting principles, audited by independent public accountants selected by the Board; and</w:t>
      </w:r>
    </w:p>
    <w:p>
      <w:pPr>
        <w:spacing w:after="0" w:line="153" w:lineRule="exact"/>
        <w:rPr>
          <w:rFonts w:ascii="Times New Roman" w:cs="Times New Roman" w:eastAsia="Times New Roman" w:hAnsi="Times New Roman"/>
          <w:sz w:val="20"/>
          <w:szCs w:val="20"/>
          <w:color w:val="auto"/>
        </w:rPr>
      </w:pPr>
    </w:p>
    <w:p>
      <w:pPr>
        <w:ind w:firstLine="1304"/>
        <w:spacing w:after="0" w:line="255" w:lineRule="auto"/>
        <w:tabs>
          <w:tab w:leader="none" w:pos="1727"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and in any event within one hundred and five (105) days after the end of each calendar quarter, a quarterly report setting forth in a summary manner the financial results of operations in such form as the Board shall determine.</w:t>
      </w:r>
    </w:p>
    <w:p>
      <w:pPr>
        <w:spacing w:after="0" w:line="14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5.4</w:t>
      </w:r>
      <w:r>
        <w:rPr>
          <w:sz w:val="20"/>
          <w:szCs w:val="20"/>
          <w:color w:val="auto"/>
        </w:rPr>
        <w:tab/>
      </w:r>
      <w:r>
        <w:rPr>
          <w:rFonts w:ascii="Times New Roman" w:cs="Times New Roman" w:eastAsia="Times New Roman" w:hAnsi="Times New Roman"/>
          <w:sz w:val="19"/>
          <w:szCs w:val="19"/>
          <w:b w:val="1"/>
          <w:bCs w:val="1"/>
          <w:color w:val="auto"/>
        </w:rPr>
        <w:t>Tax Returns and Reports.</w:t>
      </w:r>
    </w:p>
    <w:p>
      <w:pPr>
        <w:spacing w:after="0" w:line="179" w:lineRule="exact"/>
        <w:rPr>
          <w:sz w:val="20"/>
          <w:szCs w:val="20"/>
          <w:color w:val="auto"/>
        </w:rPr>
      </w:pPr>
    </w:p>
    <w:p>
      <w:pPr>
        <w:jc w:val="both"/>
        <w:ind w:firstLine="1304"/>
        <w:spacing w:after="0" w:line="242" w:lineRule="auto"/>
        <w:tabs>
          <w:tab w:leader="none" w:pos="1749"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5.3(a)</w:t>
      </w:r>
      <w:r>
        <w:rPr>
          <w:rFonts w:ascii="Times New Roman" w:cs="Times New Roman" w:eastAsia="Times New Roman" w:hAnsi="Times New Roman"/>
          <w:sz w:val="20"/>
          <w:szCs w:val="20"/>
          <w:color w:val="auto"/>
        </w:rPr>
        <w:t>, the Administrative Member shall use commercially reasonable efforts to prepare and timely file, or use commercially reasonable efforts to cause to be prepared and timely filed by the Company Accountant, income tax returns of the Company in all jurisdictions where such filings are required, and shall use commercially reasonable efforts to prepare and timely deliver or cause to be prepared and timely delivered to each Member, all information returns required by the Code (taking into account applicable extensions). The Administrative Member shall use commercially reasonable efforts to provide to each Member any Company information necessary for the preparation of the Members’ federal, state, and local income tax returns, including any estimated tax returns or extension requests, that any such Member reasonably requests. Notwithstanding the anything in this Agreement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13" w:right="339" w:bottom="1440" w:gutter="0" w:footer="0" w:header="0"/>
        </w:sectPr>
      </w:pPr>
    </w:p>
    <w:bookmarkStart w:id="397" w:name="page398"/>
    <w:bookmarkEnd w:id="397"/>
    <w:p>
      <w:pPr>
        <w:jc w:val="both"/>
        <w:spacing w:after="0" w:line="258" w:lineRule="auto"/>
        <w:rPr>
          <w:sz w:val="20"/>
          <w:szCs w:val="20"/>
          <w:color w:val="auto"/>
        </w:rPr>
      </w:pPr>
      <w:r>
        <w:rPr>
          <w:rFonts w:ascii="Times New Roman" w:cs="Times New Roman" w:eastAsia="Times New Roman" w:hAnsi="Times New Roman"/>
          <w:sz w:val="20"/>
          <w:szCs w:val="20"/>
          <w:color w:val="auto"/>
        </w:rPr>
        <w:t>Administrative Member shall promptly deliver all information and documentation in the possession of Administrative Member, or in the case of information and documentation within the control of Administrative Member, use commercially reasonable efforts to promptly deliver such information and documentation, to the Company Accountant that is necessary for the preparation of any tax returns of the Company or any Form 1065, Schedule K-1s.</w:t>
      </w:r>
    </w:p>
    <w:p>
      <w:pPr>
        <w:spacing w:after="0" w:line="145" w:lineRule="exact"/>
        <w:rPr>
          <w:sz w:val="20"/>
          <w:szCs w:val="20"/>
          <w:color w:val="auto"/>
        </w:rPr>
      </w:pPr>
    </w:p>
    <w:p>
      <w:pPr>
        <w:jc w:val="both"/>
        <w:ind w:firstLine="1304"/>
        <w:spacing w:after="0" w:line="249" w:lineRule="auto"/>
        <w:tabs>
          <w:tab w:leader="none" w:pos="1723"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Administrative Member shall use commercially reasonable efforts to provide, or use commercially reasonable efforts to cause to be provided, a copy of any federal and state income tax return for the prior Fiscal Year (each, a “</w:t>
      </w:r>
      <w:r>
        <w:rPr>
          <w:rFonts w:ascii="Times New Roman" w:cs="Times New Roman" w:eastAsia="Times New Roman" w:hAnsi="Times New Roman"/>
          <w:sz w:val="20"/>
          <w:szCs w:val="20"/>
          <w:b w:val="1"/>
          <w:bCs w:val="1"/>
          <w:color w:val="auto"/>
        </w:rPr>
        <w:t>Reviewed Tax Return</w:t>
      </w:r>
      <w:r>
        <w:rPr>
          <w:rFonts w:ascii="Times New Roman" w:cs="Times New Roman" w:eastAsia="Times New Roman" w:hAnsi="Times New Roman"/>
          <w:sz w:val="20"/>
          <w:szCs w:val="20"/>
          <w:color w:val="auto"/>
        </w:rPr>
        <w:t xml:space="preserve">”) to Investor for review and comment no later than sixty (60) days prior to the date required for filing thereof (taking into account all applicable extensions to file). Investor shall have thirty (30) days after the date a Reviewed Tax Return is provided to review and provide comments to such Reviewed Tax Return. Administrative Member shall reflect all comments of Investor to any Reviewed Tax Return provided during such thirty (30) day period for such Reviewed Tax Return;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such comment that impacts (or reasonably could impact) (A) any book item (or portion thereof) allocated to Figure in such year pursuant to the provisions of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xml:space="preserve"> (collectively, the “</w:t>
      </w:r>
      <w:r>
        <w:rPr>
          <w:rFonts w:ascii="Times New Roman" w:cs="Times New Roman" w:eastAsia="Times New Roman" w:hAnsi="Times New Roman"/>
          <w:sz w:val="20"/>
          <w:szCs w:val="20"/>
          <w:b w:val="1"/>
          <w:bCs w:val="1"/>
          <w:color w:val="auto"/>
        </w:rPr>
        <w:t>Allocation Provisions</w:t>
      </w:r>
      <w:r>
        <w:rPr>
          <w:rFonts w:ascii="Times New Roman" w:cs="Times New Roman" w:eastAsia="Times New Roman" w:hAnsi="Times New Roman"/>
          <w:sz w:val="20"/>
          <w:szCs w:val="20"/>
          <w:color w:val="auto"/>
        </w:rPr>
        <w:t xml:space="preserve">”) to reflect Figure’s entitlement to distributions under </w:t>
      </w:r>
      <w:r>
        <w:rPr>
          <w:rFonts w:ascii="Times New Roman" w:cs="Times New Roman" w:eastAsia="Times New Roman" w:hAnsi="Times New Roman"/>
          <w:sz w:val="20"/>
          <w:szCs w:val="20"/>
          <w:u w:val="single" w:color="auto"/>
          <w:color w:val="auto"/>
        </w:rPr>
        <w:t>Section 10.6(a)(v)</w:t>
      </w:r>
      <w:r>
        <w:rPr>
          <w:rFonts w:ascii="Times New Roman" w:cs="Times New Roman" w:eastAsia="Times New Roman" w:hAnsi="Times New Roman"/>
          <w:sz w:val="20"/>
          <w:szCs w:val="20"/>
          <w:color w:val="auto"/>
        </w:rPr>
        <w:t xml:space="preserve"> or the corresponding tax item (or portion thereof) or (B) the determination of the amount of book allocations to Figure in such year under the Allocation Provisions to reflect Figure’s entitlement to distributions under </w:t>
      </w:r>
      <w:r>
        <w:rPr>
          <w:rFonts w:ascii="Times New Roman" w:cs="Times New Roman" w:eastAsia="Times New Roman" w:hAnsi="Times New Roman"/>
          <w:sz w:val="20"/>
          <w:szCs w:val="20"/>
          <w:u w:val="single" w:color="auto"/>
          <w:color w:val="auto"/>
        </w:rPr>
        <w:t>Section 10.6(a)(v)</w:t>
      </w:r>
      <w:r>
        <w:rPr>
          <w:rFonts w:ascii="Times New Roman" w:cs="Times New Roman" w:eastAsia="Times New Roman" w:hAnsi="Times New Roman"/>
          <w:sz w:val="20"/>
          <w:szCs w:val="20"/>
          <w:color w:val="auto"/>
        </w:rPr>
        <w:t xml:space="preserve"> and/or the corresponding tax items, Administrative Member shall not reflect any such comment that is reasonably expected to have an adverse and disproportionate effect on Figure without Figure’s prior consent. After reflecting Investor comments in accordance with the immediately preceding sentence, Administrative Member shall use commercially reasonable efforts to timely file, or caused to be timely filed, such Reviewed Tax Return with the applicable governmental authority. Administrative Member will timely obtain an extension of any deadline required for the filing of any Reviewed Tax Return to the extent such an extension is available. For the avoidance of doubt, (i) any revisions made by the Administrative Member to any Schedule K-1 to incorporate comments from Investor to any Reviewed Tax Returns in accordance with this </w:t>
      </w:r>
      <w:r>
        <w:rPr>
          <w:rFonts w:ascii="Times New Roman" w:cs="Times New Roman" w:eastAsia="Times New Roman" w:hAnsi="Times New Roman"/>
          <w:sz w:val="20"/>
          <w:szCs w:val="20"/>
          <w:u w:val="single" w:color="auto"/>
          <w:color w:val="auto"/>
        </w:rPr>
        <w:t>Section 5.4(b)</w:t>
      </w:r>
      <w:r>
        <w:rPr>
          <w:rFonts w:ascii="Times New Roman" w:cs="Times New Roman" w:eastAsia="Times New Roman" w:hAnsi="Times New Roman"/>
          <w:sz w:val="20"/>
          <w:szCs w:val="20"/>
          <w:color w:val="auto"/>
        </w:rPr>
        <w:t xml:space="preserve"> after the delivery of the final Schedule K-1 pursuant to </w:t>
      </w:r>
      <w:r>
        <w:rPr>
          <w:rFonts w:ascii="Times New Roman" w:cs="Times New Roman" w:eastAsia="Times New Roman" w:hAnsi="Times New Roman"/>
          <w:sz w:val="20"/>
          <w:szCs w:val="20"/>
          <w:u w:val="single" w:color="auto"/>
          <w:color w:val="auto"/>
        </w:rPr>
        <w:t>Section 5.3(b)</w:t>
      </w:r>
      <w:r>
        <w:rPr>
          <w:rFonts w:ascii="Times New Roman" w:cs="Times New Roman" w:eastAsia="Times New Roman" w:hAnsi="Times New Roman"/>
          <w:sz w:val="20"/>
          <w:szCs w:val="20"/>
          <w:color w:val="auto"/>
        </w:rPr>
        <w:t xml:space="preserve"> shall not be deemed a breach of </w:t>
      </w:r>
      <w:r>
        <w:rPr>
          <w:rFonts w:ascii="Times New Roman" w:cs="Times New Roman" w:eastAsia="Times New Roman" w:hAnsi="Times New Roman"/>
          <w:sz w:val="20"/>
          <w:szCs w:val="20"/>
          <w:u w:val="single" w:color="auto"/>
          <w:color w:val="auto"/>
        </w:rPr>
        <w:t>Section 5.3(b)</w:t>
      </w:r>
      <w:r>
        <w:rPr>
          <w:rFonts w:ascii="Times New Roman" w:cs="Times New Roman" w:eastAsia="Times New Roman" w:hAnsi="Times New Roman"/>
          <w:sz w:val="20"/>
          <w:szCs w:val="20"/>
          <w:color w:val="auto"/>
        </w:rPr>
        <w:t xml:space="preserve"> and (ii) nothing in this </w:t>
      </w:r>
      <w:r>
        <w:rPr>
          <w:rFonts w:ascii="Times New Roman" w:cs="Times New Roman" w:eastAsia="Times New Roman" w:hAnsi="Times New Roman"/>
          <w:sz w:val="20"/>
          <w:szCs w:val="20"/>
          <w:u w:val="single" w:color="auto"/>
          <w:color w:val="auto"/>
        </w:rPr>
        <w:t>Section 5.4(b)</w:t>
      </w:r>
      <w:r>
        <w:rPr>
          <w:rFonts w:ascii="Times New Roman" w:cs="Times New Roman" w:eastAsia="Times New Roman" w:hAnsi="Times New Roman"/>
          <w:sz w:val="20"/>
          <w:szCs w:val="20"/>
          <w:color w:val="auto"/>
        </w:rPr>
        <w:t xml:space="preserve"> shall limit any Member’s rights under </w:t>
      </w:r>
      <w:r>
        <w:rPr>
          <w:rFonts w:ascii="Times New Roman" w:cs="Times New Roman" w:eastAsia="Times New Roman" w:hAnsi="Times New Roman"/>
          <w:sz w:val="20"/>
          <w:szCs w:val="20"/>
          <w:u w:val="single" w:color="auto"/>
          <w:color w:val="auto"/>
        </w:rPr>
        <w:t>Section 8.3(a)(i)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8.3(a)(xv)</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5.5</w:t>
      </w:r>
      <w:r>
        <w:rPr>
          <w:sz w:val="20"/>
          <w:szCs w:val="20"/>
          <w:color w:val="auto"/>
        </w:rPr>
        <w:tab/>
      </w:r>
      <w:r>
        <w:rPr>
          <w:rFonts w:ascii="Times New Roman" w:cs="Times New Roman" w:eastAsia="Times New Roman" w:hAnsi="Times New Roman"/>
          <w:sz w:val="19"/>
          <w:szCs w:val="19"/>
          <w:b w:val="1"/>
          <w:bCs w:val="1"/>
          <w:color w:val="auto"/>
        </w:rPr>
        <w:t>Company Budget.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initial Company Budget shall be approved by the Board no later than the Side Letter Effective Date (the “</w:t>
      </w:r>
      <w:r>
        <w:rPr>
          <w:rFonts w:ascii="Times New Roman" w:cs="Times New Roman" w:eastAsia="Times New Roman" w:hAnsi="Times New Roman"/>
          <w:sz w:val="20"/>
          <w:szCs w:val="20"/>
          <w:b w:val="1"/>
          <w:bCs w:val="1"/>
          <w:color w:val="auto"/>
        </w:rPr>
        <w:t>Initial 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Budget</w:t>
      </w:r>
      <w:r>
        <w:rPr>
          <w:rFonts w:ascii="Times New Roman" w:cs="Times New Roman" w:eastAsia="Times New Roman" w:hAnsi="Times New Roman"/>
          <w:sz w:val="20"/>
          <w:szCs w:val="20"/>
          <w:color w:val="auto"/>
        </w:rPr>
        <w:t>”). As soon as practicable prior to the end of each Fiscal Year, commencing with the Fiscal Year 2026, and in any event not later than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thirty (30) days prior to the end of each Fiscal Year, and with respect to any Company Budget relating to securitization, from time-to-time, the Administrative Member shall prepare and deliver to the Board for approval, a proposed Company Budget, in form substantially similar to the Initial Company Budget, which for the avoidance of doubt shall include Non-Discretionary Expenses. The Board shall endeavor to approve any proposed Company Budget or propose amendments thereto within five (5) Business Days;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13" w:right="339" w:bottom="1440" w:gutter="0" w:footer="0" w:header="0"/>
        </w:sectPr>
      </w:pPr>
    </w:p>
    <w:bookmarkStart w:id="398" w:name="page399"/>
    <w:bookmarkEnd w:id="398"/>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5.6</w:t>
      </w:r>
      <w:r>
        <w:rPr>
          <w:sz w:val="20"/>
          <w:szCs w:val="20"/>
          <w:color w:val="auto"/>
        </w:rPr>
        <w:tab/>
      </w:r>
      <w:r>
        <w:rPr>
          <w:rFonts w:ascii="Times New Roman" w:cs="Times New Roman" w:eastAsia="Times New Roman" w:hAnsi="Times New Roman"/>
          <w:sz w:val="19"/>
          <w:szCs w:val="19"/>
          <w:b w:val="1"/>
          <w:bCs w:val="1"/>
          <w:color w:val="auto"/>
        </w:rPr>
        <w:t>Company Accountant.</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The Company shall retain as the regular accountant and auditor for the Company a nationally recognized accounting firm designated by the Board in accordance with </w:t>
      </w:r>
      <w:r>
        <w:rPr>
          <w:rFonts w:ascii="Times New Roman" w:cs="Times New Roman" w:eastAsia="Times New Roman" w:hAnsi="Times New Roman"/>
          <w:sz w:val="20"/>
          <w:szCs w:val="20"/>
          <w:u w:val="single" w:color="auto"/>
          <w:color w:val="auto"/>
        </w:rPr>
        <w:t>Section 8.3(a)(xx)</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Company Accountant</w:t>
      </w:r>
      <w:r>
        <w:rPr>
          <w:rFonts w:ascii="Times New Roman" w:cs="Times New Roman" w:eastAsia="Times New Roman" w:hAnsi="Times New Roman"/>
          <w:sz w:val="20"/>
          <w:szCs w:val="20"/>
          <w:color w:val="auto"/>
        </w:rPr>
        <w:t>”). The fees and expenses of the Company Accountant and all costs associated with the selection and engagement of the Company Accountant shall be a Company Expense.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INTERESTS IN THE COMPANY</w:t>
      </w:r>
    </w:p>
    <w:p>
      <w:pPr>
        <w:spacing w:after="0" w:line="16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6.1 Return of Capital</w:t>
      </w:r>
      <w:r>
        <w:rPr>
          <w:rFonts w:ascii="Times New Roman" w:cs="Times New Roman" w:eastAsia="Times New Roman" w:hAnsi="Times New Roman"/>
          <w:sz w:val="20"/>
          <w:szCs w:val="20"/>
          <w:color w:val="auto"/>
        </w:rPr>
        <w:t>. No Member shall be liable for the return of the Capital Contributions or Superpriority Contributions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portion thereof) of any other Member, it being expressly understood that any such return shall be made solely from the assets of the Company. No Member shall be entitled to withdraw or receive a return of any part of its Capital Contributions, Superpriority Contributions or Capital Account, to receive interest on its Capital Contributions, Superpriority Contributions or Capital Account or to receive any distributions from the Company, except as otherwise expressly provided for in this Agreement or under applicable law.</w:t>
      </w:r>
    </w:p>
    <w:p>
      <w:pPr>
        <w:spacing w:after="0" w:line="147"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6.2 Ownership</w:t>
      </w:r>
      <w:r>
        <w:rPr>
          <w:rFonts w:ascii="Times New Roman" w:cs="Times New Roman" w:eastAsia="Times New Roman" w:hAnsi="Times New Roman"/>
          <w:sz w:val="20"/>
          <w:szCs w:val="20"/>
          <w:color w:val="auto"/>
        </w:rPr>
        <w:t>. Title to Company Property (including the Company Assets) shall be held by the Company in the Company’s name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or, as provided in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by one or more Subsidiaries in the name of the Company or the name of such Subsidiaries.</w:t>
      </w:r>
    </w:p>
    <w:p>
      <w:pPr>
        <w:spacing w:after="0" w:line="12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6.3 Waiver of Partition; Nature of Interests in the Company</w:t>
      </w:r>
      <w:r>
        <w:rPr>
          <w:rFonts w:ascii="Times New Roman" w:cs="Times New Roman" w:eastAsia="Times New Roman" w:hAnsi="Times New Roman"/>
          <w:sz w:val="20"/>
          <w:szCs w:val="20"/>
          <w:color w:val="auto"/>
        </w:rPr>
        <w:t>. Except as otherwise expressly provided for in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of the Members hereby irrevocably waives any right or power that such Member might have:</w:t>
      </w:r>
    </w:p>
    <w:p>
      <w:pPr>
        <w:spacing w:after="0" w:line="115" w:lineRule="exact"/>
        <w:rPr>
          <w:sz w:val="20"/>
          <w:szCs w:val="20"/>
          <w:color w:val="auto"/>
        </w:rPr>
      </w:pPr>
    </w:p>
    <w:p>
      <w:pPr>
        <w:ind w:left="1720" w:hanging="416"/>
        <w:spacing w:after="0"/>
        <w:tabs>
          <w:tab w:leader="none" w:pos="172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cause the Company or any of its assets to be partitioned;</w:t>
      </w:r>
    </w:p>
    <w:p>
      <w:pPr>
        <w:spacing w:after="0" w:line="188"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cause the appointment of a receiver for all or any portion of the assets of the Company;</w:t>
      </w:r>
    </w:p>
    <w:p>
      <w:pPr>
        <w:spacing w:after="0" w:line="188"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compel any sale of all or any portion of the assets of the Company pursuant to any applicable law; or</w:t>
      </w:r>
    </w:p>
    <w:p>
      <w:pPr>
        <w:spacing w:after="0" w:line="18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file a complaint, or to institute any proceeding at law or in equity, to cause the termination, dissolution or liquidation</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of the Company.</w:t>
      </w:r>
    </w:p>
    <w:p>
      <w:pPr>
        <w:spacing w:after="0" w:line="1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Each of the Members has been induced to enter into this Agreement in reliance upon the waivers set forth in this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and without such waivers no Member would have entered into this Agreement. No Member shall have any interest in any specific Company Property. The interests of all Members in this Company are personal property.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RIGHTS AND DUTIES OF MEMBERS; REPRESENTATIONS AND WARRANTIES</w:t>
      </w:r>
    </w:p>
    <w:p>
      <w:pPr>
        <w:spacing w:after="0" w:line="16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7.1</w:t>
      </w:r>
      <w:r>
        <w:rPr>
          <w:sz w:val="20"/>
          <w:szCs w:val="20"/>
          <w:color w:val="auto"/>
        </w:rPr>
        <w:tab/>
      </w:r>
      <w:r>
        <w:rPr>
          <w:rFonts w:ascii="Times New Roman" w:cs="Times New Roman" w:eastAsia="Times New Roman" w:hAnsi="Times New Roman"/>
          <w:sz w:val="19"/>
          <w:szCs w:val="19"/>
          <w:b w:val="1"/>
          <w:bCs w:val="1"/>
          <w:color w:val="auto"/>
        </w:rPr>
        <w:t>No Management Rights as Members; Voting.</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Except as otherwise expressly set forth in this Agreement or as required by applicable law, no Member shall have authority as a Member to bind the Company or to have any right to participate in the management of the Company, to vote on any matter or to grant or withhold consent or approval of actions of the Company. To the extent a vote of, or consent or determination by, “members” is required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09" w:right="339" w:bottom="1440" w:gutter="0" w:footer="0" w:header="0"/>
        </w:sectPr>
      </w:pPr>
    </w:p>
    <w:bookmarkStart w:id="399" w:name="page400"/>
    <w:bookmarkEnd w:id="399"/>
    <w:p>
      <w:pPr>
        <w:jc w:val="both"/>
        <w:spacing w:after="0" w:line="233" w:lineRule="auto"/>
        <w:rPr>
          <w:sz w:val="20"/>
          <w:szCs w:val="20"/>
          <w:color w:val="auto"/>
        </w:rPr>
      </w:pPr>
      <w:r>
        <w:rPr>
          <w:rFonts w:ascii="Times New Roman" w:cs="Times New Roman" w:eastAsia="Times New Roman" w:hAnsi="Times New Roman"/>
          <w:sz w:val="20"/>
          <w:szCs w:val="20"/>
          <w:color w:val="auto"/>
        </w:rPr>
        <w:t xml:space="preserve">applicable law, or is otherwise sought by the Company, each Member shall act through its designated Managers on the Board (except with respect to matters that require the consent of the Members when a Member does not have a representative on the Board such as Fundamental Decisions, which consent shall require the written consent of the applicable Member and the provisions of </w:t>
      </w:r>
      <w:r>
        <w:rPr>
          <w:rFonts w:ascii="Times New Roman" w:cs="Times New Roman" w:eastAsia="Times New Roman" w:hAnsi="Times New Roman"/>
          <w:sz w:val="20"/>
          <w:szCs w:val="20"/>
          <w:u w:val="single" w:color="auto"/>
          <w:color w:val="auto"/>
        </w:rPr>
        <w:t>Section 8.1(f)</w:t>
      </w:r>
      <w:r>
        <w:rPr>
          <w:rFonts w:ascii="Times New Roman" w:cs="Times New Roman" w:eastAsia="Times New Roman" w:hAnsi="Times New Roman"/>
          <w:sz w:val="20"/>
          <w:szCs w:val="20"/>
          <w:color w:val="auto"/>
        </w:rPr>
        <w:t xml:space="preserve"> shall apply </w:t>
      </w:r>
      <w:r>
        <w:rPr>
          <w:rFonts w:ascii="Times New Roman" w:cs="Times New Roman" w:eastAsia="Times New Roman" w:hAnsi="Times New Roman"/>
          <w:sz w:val="20"/>
          <w:szCs w:val="20"/>
          <w:i w:val="1"/>
          <w:iCs w:val="1"/>
          <w:color w:val="auto"/>
        </w:rPr>
        <w:t>mutatis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mutandis</w:t>
      </w:r>
      <w:r>
        <w:rPr>
          <w:rFonts w:ascii="Times New Roman" w:cs="Times New Roman" w:eastAsia="Times New Roman" w:hAnsi="Times New Roman"/>
          <w:sz w:val="20"/>
          <w:szCs w:val="20"/>
          <w:color w:val="auto"/>
        </w:rPr>
        <w:t>), and any such action, consent or approval may be taken without a meeting if all of the Managers on the Board consent thereto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writing or by electronic communication in accordance with </w:t>
      </w:r>
      <w:r>
        <w:rPr>
          <w:rFonts w:ascii="Times New Roman" w:cs="Times New Roman" w:eastAsia="Times New Roman" w:hAnsi="Times New Roman"/>
          <w:sz w:val="20"/>
          <w:szCs w:val="20"/>
          <w:u w:val="single" w:color="auto"/>
          <w:color w:val="auto"/>
        </w:rPr>
        <w:t>Section 8.1(e)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Defaulting Member shall not have the right to appoint any Managers to the Board and any Managers theretofore appointed by a Defaulting Member shall automatically, without further action by any party, be removed as Manager hereunder so long as such Member remains a Defaulting Member.</w:t>
      </w:r>
    </w:p>
    <w:p>
      <w:pPr>
        <w:spacing w:after="0" w:line="13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7.2</w:t>
      </w:r>
      <w:r>
        <w:rPr>
          <w:sz w:val="20"/>
          <w:szCs w:val="20"/>
          <w:color w:val="auto"/>
        </w:rPr>
        <w:tab/>
      </w:r>
      <w:r>
        <w:rPr>
          <w:rFonts w:ascii="Times New Roman" w:cs="Times New Roman" w:eastAsia="Times New Roman" w:hAnsi="Times New Roman"/>
          <w:sz w:val="19"/>
          <w:szCs w:val="19"/>
          <w:b w:val="1"/>
          <w:bCs w:val="1"/>
          <w:color w:val="auto"/>
        </w:rPr>
        <w:t>Intentionally Omitted.</w:t>
      </w:r>
    </w:p>
    <w:p>
      <w:pPr>
        <w:spacing w:after="0" w:line="17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7.3</w:t>
      </w:r>
      <w:r>
        <w:rPr>
          <w:sz w:val="20"/>
          <w:szCs w:val="20"/>
          <w:color w:val="auto"/>
        </w:rPr>
        <w:tab/>
      </w:r>
      <w:r>
        <w:rPr>
          <w:rFonts w:ascii="Times New Roman" w:cs="Times New Roman" w:eastAsia="Times New Roman" w:hAnsi="Times New Roman"/>
          <w:sz w:val="19"/>
          <w:szCs w:val="19"/>
          <w:b w:val="1"/>
          <w:bCs w:val="1"/>
          <w:color w:val="auto"/>
        </w:rPr>
        <w:t>Representations, Warranties and Covenants.</w:t>
      </w:r>
    </w:p>
    <w:p>
      <w:pPr>
        <w:spacing w:after="0" w:line="166"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Each Member hereby represents and warrants to the Company and to each other Member that the following statements are true and correct as of the Effective Date and shall be true and correct at any time such Member is a Member of the Company:</w:t>
      </w:r>
    </w:p>
    <w:p>
      <w:pPr>
        <w:spacing w:after="0" w:line="132" w:lineRule="exact"/>
        <w:rPr>
          <w:sz w:val="20"/>
          <w:szCs w:val="20"/>
          <w:color w:val="auto"/>
        </w:rPr>
      </w:pPr>
    </w:p>
    <w:p>
      <w:pPr>
        <w:jc w:val="both"/>
        <w:ind w:firstLine="1304"/>
        <w:spacing w:after="0" w:line="241" w:lineRule="auto"/>
        <w:tabs>
          <w:tab w:leader="none" w:pos="1716"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Member is not a natural person, it is duly formed, validly existing, and (if applicable) in good standing under the law of the state of its formation, and if required by applicable law, is duly qualified to do business and in good standing in the jurisdiction of its principal place of business (if not formed therein); (b) such Member has full corporate, limited liability company, partnership, trust or other applicable power and authority to execute and agree to this Agreement and to perform its obligations hereunder and all necessary actions by the board of directors, shareholders, managers, members, partners, trustees, beneficiaries or other Persons necessary for the due authorization, execution, delivery, and performance of this Agreement by such Member have been duly taken; (c) such Member has duly executed and delivered this Agreement; (d) such Member’s authorization, execution, delivery, and performance of this Agreement does not conflict in any material way with (i) any law, rule or court order applicable to such Member, (ii) such Member’s certificate or articles of incorporation or formation, bylaws, partnership agreement, operating agreement, limited liability company agreement or any similar organizational documents, or (iii) any other material agreement or arrangement to which such Member is a party or by which it is bound; (e) such Member is acquiring its interest in the Company for its own account for investment and not with a view to the resale, distribution or fractionalization thereof; (f) such Member has such knowledge and experience in financial matters that it is capable of evaluating the relative risks and merits of this investment; (g) such Member has adequate means of providing for its current needs and contingencies and has no need for liquidity in this investment; (h) all documents and records requested by such Member have been delivered or made available to it and such Member’s investment decision is based upon its own investigation and analysis and not the representations or inducements of the Company, the Board, or any Member; (i) such Member understands that the interests in the Company have not been, and will not be, registered under the Securities Act in reliance upon applicable exemptions from registration; and (j) such Member is a “</w:t>
      </w:r>
      <w:r>
        <w:rPr>
          <w:rFonts w:ascii="Times New Roman" w:cs="Times New Roman" w:eastAsia="Times New Roman" w:hAnsi="Times New Roman"/>
          <w:sz w:val="19"/>
          <w:szCs w:val="19"/>
          <w:b w:val="1"/>
          <w:bCs w:val="1"/>
          <w:color w:val="auto"/>
        </w:rPr>
        <w:t>United States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within the meaning of Section 7701(a)(30) of the Code or is a disregarded entity the assets of which are treated as owned by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United States person</w:t>
      </w:r>
      <w:r>
        <w:rPr>
          <w:rFonts w:ascii="Times New Roman" w:cs="Times New Roman" w:eastAsia="Times New Roman" w:hAnsi="Times New Roman"/>
          <w:sz w:val="19"/>
          <w:szCs w:val="19"/>
          <w:color w:val="auto"/>
        </w:rPr>
        <w:t>” within the meaning of Section 7701(a)(30) of the Code, for United States federal income tax purposes.</w:t>
      </w:r>
    </w:p>
    <w:p>
      <w:pPr>
        <w:spacing w:after="0" w:line="138" w:lineRule="exact"/>
        <w:rPr>
          <w:rFonts w:ascii="Times New Roman" w:cs="Times New Roman" w:eastAsia="Times New Roman" w:hAnsi="Times New Roman"/>
          <w:sz w:val="19"/>
          <w:szCs w:val="19"/>
          <w:color w:val="auto"/>
        </w:rPr>
      </w:pPr>
    </w:p>
    <w:p>
      <w:pPr>
        <w:jc w:val="both"/>
        <w:ind w:firstLine="1304"/>
        <w:spacing w:after="0" w:line="235" w:lineRule="auto"/>
        <w:tabs>
          <w:tab w:leader="none" w:pos="1776"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understands that (i) an investment in the Company involves substantial and a high degree of risk, (ii) no federal or state agency has passed on the offer and sale of the Membership Interest in the Company to such Person, (iii) it may be required to bear, and is able to bear, the economic and financial risk of such Person’s investment in the Company for an indefinite period of time, since as of the Effective Date such Person’s Membership Interest in the Company has not been registered for sale under the Securities Act of 1933 and may never be registered and, therefore, cannot be sold or otherwise transferred unless subsequently registered under the Securities Act of 1933 or pursuant to an exemption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13" w:right="339" w:bottom="1440" w:gutter="0" w:footer="0" w:header="0"/>
        </w:sectPr>
      </w:pPr>
    </w:p>
    <w:bookmarkStart w:id="400" w:name="page401"/>
    <w:bookmarkEnd w:id="400"/>
    <w:p>
      <w:pPr>
        <w:jc w:val="both"/>
        <w:spacing w:after="0" w:line="242" w:lineRule="auto"/>
        <w:rPr>
          <w:sz w:val="20"/>
          <w:szCs w:val="20"/>
          <w:color w:val="auto"/>
        </w:rPr>
      </w:pPr>
      <w:r>
        <w:rPr>
          <w:rFonts w:ascii="Times New Roman" w:cs="Times New Roman" w:eastAsia="Times New Roman" w:hAnsi="Times New Roman"/>
          <w:sz w:val="20"/>
          <w:szCs w:val="20"/>
          <w:color w:val="auto"/>
        </w:rPr>
        <w:t>from such registration, and the Membership Interest in the Company of such Person cannot be sold or otherwise transferred unless registered under applicable state securities or blue sky laws or pursuant to an exemption from such registration, (iv) there is no current established market for the Membership Interest of such Person in the Company and none is expected to develop, (v) such Person has such knowledge and experience in real estate and other financial and business matters, so as to be capable of evaluating the merits and risks of an investment in the Company, (vi) such Person is acquiring Membership Interest in the Company for investment only and not with a view to, or for resale in connection with, any distribution to the public or public offering thereof, except in compliance with the Exchange Act.</w:t>
      </w:r>
    </w:p>
    <w:p>
      <w:pPr>
        <w:spacing w:after="0" w:line="148" w:lineRule="exact"/>
        <w:rPr>
          <w:sz w:val="20"/>
          <w:szCs w:val="20"/>
          <w:color w:val="auto"/>
        </w:rPr>
      </w:pPr>
    </w:p>
    <w:p>
      <w:pPr>
        <w:jc w:val="both"/>
        <w:ind w:firstLine="1304"/>
        <w:spacing w:after="0" w:line="243" w:lineRule="auto"/>
        <w:tabs>
          <w:tab w:leader="none" w:pos="1845"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as of the Effective Date, in material compliance with, and will remain at all times while a Member of the Company, specifically with respect to activities undertaken in connection with being a Member of, or otherwise for or on behalf of, the Company, in compliance with, all applicable: (i) anti-money laundering and anti-terrorism financing laws, regulations, rules, and executive orders, including the reporting, record keeping and compliance requirements of the Bank Secrecy Act, as amended by The International Money Laundering Abatement and Financial Anti-Terrorism Act of 2001, Title III of the USA PATRIOT Act, and related Securities and Exchange Commission, or other relevant agency rules and regulations relating to anti-money laundering and anti-terrorism financing (“</w:t>
      </w:r>
      <w:r>
        <w:rPr>
          <w:rFonts w:ascii="Times New Roman" w:cs="Times New Roman" w:eastAsia="Times New Roman" w:hAnsi="Times New Roman"/>
          <w:sz w:val="20"/>
          <w:szCs w:val="20"/>
          <w:b w:val="1"/>
          <w:bCs w:val="1"/>
          <w:color w:val="auto"/>
        </w:rPr>
        <w:t>AML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Laws</w:t>
      </w:r>
      <w:r>
        <w:rPr>
          <w:rFonts w:ascii="Times New Roman" w:cs="Times New Roman" w:eastAsia="Times New Roman" w:hAnsi="Times New Roman"/>
          <w:sz w:val="20"/>
          <w:szCs w:val="20"/>
          <w:color w:val="auto"/>
        </w:rPr>
        <w:t>”) and (ii) economic sanctions laws, regulations, rules, and executive orders administered or enforced by OFAC or the U.S. State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Department (“</w:t>
      </w:r>
      <w:r>
        <w:rPr>
          <w:rFonts w:ascii="Times New Roman" w:cs="Times New Roman" w:eastAsia="Times New Roman" w:hAnsi="Times New Roman"/>
          <w:sz w:val="20"/>
          <w:szCs w:val="20"/>
          <w:b w:val="1"/>
          <w:bCs w:val="1"/>
          <w:color w:val="auto"/>
        </w:rPr>
        <w:t>Sanctions</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jc w:val="both"/>
        <w:ind w:firstLine="1304"/>
        <w:spacing w:after="0" w:line="247" w:lineRule="auto"/>
        <w:tabs>
          <w:tab w:leader="none" w:pos="179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such Member nor any Person for whom such Member is acting as agent or nominee in connection with this investment nor any Person that Controls or is Controlled by such Member or, to the knowledge of such Member after due inquiry, any other Affiliate of such Member, is a Prohibited Person.</w:t>
      </w:r>
    </w:p>
    <w:p>
      <w:pPr>
        <w:spacing w:after="0" w:line="153" w:lineRule="exact"/>
        <w:rPr>
          <w:rFonts w:ascii="Times New Roman" w:cs="Times New Roman" w:eastAsia="Times New Roman" w:hAnsi="Times New Roman"/>
          <w:sz w:val="20"/>
          <w:szCs w:val="20"/>
          <w:color w:val="auto"/>
        </w:rPr>
      </w:pPr>
    </w:p>
    <w:p>
      <w:pPr>
        <w:jc w:val="both"/>
        <w:ind w:firstLine="1304"/>
        <w:spacing w:after="0" w:line="247" w:lineRule="auto"/>
        <w:tabs>
          <w:tab w:leader="none" w:pos="1834"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broker, finder, or investment bank is entitled to any brokerage, finder’s, or other fee or commission from the Company or any of the Members in connection with the transactions contemplated by this Agreement based upon arrangements made by or on behalf of such Member or its Affiliates.</w:t>
      </w:r>
    </w:p>
    <w:p>
      <w:pPr>
        <w:spacing w:after="0" w:line="153" w:lineRule="exact"/>
        <w:rPr>
          <w:rFonts w:ascii="Times New Roman" w:cs="Times New Roman" w:eastAsia="Times New Roman" w:hAnsi="Times New Roman"/>
          <w:sz w:val="20"/>
          <w:szCs w:val="20"/>
          <w:color w:val="auto"/>
        </w:rPr>
      </w:pPr>
    </w:p>
    <w:p>
      <w:pPr>
        <w:jc w:val="both"/>
        <w:ind w:firstLine="1304"/>
        <w:spacing w:after="0" w:line="242" w:lineRule="auto"/>
        <w:tabs>
          <w:tab w:leader="none" w:pos="177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Member hereby represents, warrants and covenants that it is not (A) an “employee benefit plan” as defined in Section 3(3) of ERISA, that is subject to Title I of ERISA, (B) a “plan” as defined in Section 4975(e)(1) of the Code, that is subject to Section 4975 of the Code, or (C) an entity deemed to hold “plan assets” of the foregoing plans described in clause (A) or (B) pursuant to Section 3(42) of ERISA. In addition, each Member represents, warrants and covenants that it is not (and is not purchasing the Membership Interest with funds that constitute the assets of) a “governmental plan”, a non-electing “church plan”, or a non-U.S. plan, each as defined under Title I of ERISA, and that such Member is not subject to any laws, regulations or policies regulating investments of and fiduciary obligations with respect to such plans that would be violated by the transactions contemplated hereunder (a “</w:t>
      </w:r>
      <w:r>
        <w:rPr>
          <w:rFonts w:ascii="Times New Roman" w:cs="Times New Roman" w:eastAsia="Times New Roman" w:hAnsi="Times New Roman"/>
          <w:sz w:val="20"/>
          <w:szCs w:val="20"/>
          <w:b w:val="1"/>
          <w:bCs w:val="1"/>
          <w:color w:val="auto"/>
        </w:rPr>
        <w:t>Similar Law</w:t>
      </w:r>
      <w:r>
        <w:rPr>
          <w:rFonts w:ascii="Times New Roman" w:cs="Times New Roman" w:eastAsia="Times New Roman" w:hAnsi="Times New Roman"/>
          <w:sz w:val="20"/>
          <w:szCs w:val="20"/>
          <w:color w:val="auto"/>
        </w:rPr>
        <w:t>”).</w:t>
      </w:r>
    </w:p>
    <w:p>
      <w:pPr>
        <w:spacing w:after="0" w:line="14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Member is a Qualified Purchaser as defined in the Investment Company Act of 1940, as amended.</w:t>
      </w:r>
    </w:p>
    <w:p>
      <w:pPr>
        <w:spacing w:after="0" w:line="175" w:lineRule="exact"/>
        <w:rPr>
          <w:rFonts w:ascii="Times New Roman" w:cs="Times New Roman" w:eastAsia="Times New Roman" w:hAnsi="Times New Roman"/>
          <w:sz w:val="20"/>
          <w:szCs w:val="20"/>
          <w:color w:val="auto"/>
        </w:rPr>
      </w:pPr>
    </w:p>
    <w:p>
      <w:pPr>
        <w:ind w:firstLine="1304"/>
        <w:spacing w:after="0" w:line="269" w:lineRule="auto"/>
        <w:tabs>
          <w:tab w:leader="none" w:pos="1725"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Investor, Investor hereby represents and warrants to Figure that as of the Effective Date, Investor Member is under common Control with SSP.</w:t>
      </w:r>
    </w:p>
    <w:p>
      <w:pPr>
        <w:spacing w:after="0" w:line="118" w:lineRule="exact"/>
        <w:rPr>
          <w:rFonts w:ascii="Times New Roman" w:cs="Times New Roman" w:eastAsia="Times New Roman" w:hAnsi="Times New Roman"/>
          <w:sz w:val="20"/>
          <w:szCs w:val="20"/>
          <w:color w:val="auto"/>
        </w:rPr>
      </w:pPr>
    </w:p>
    <w:p>
      <w:pPr>
        <w:ind w:firstLine="1304"/>
        <w:spacing w:after="0" w:line="269" w:lineRule="auto"/>
        <w:tabs>
          <w:tab w:leader="none" w:pos="1701"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Figure, Figure hereby represents and warrants to Investor that as of the Effective Date, Figure Member is Controlled by Figure Corp.</w:t>
      </w:r>
    </w:p>
    <w:p>
      <w:pPr>
        <w:spacing w:after="0" w:line="118" w:lineRule="exact"/>
        <w:rPr>
          <w:rFonts w:ascii="Times New Roman" w:cs="Times New Roman" w:eastAsia="Times New Roman" w:hAnsi="Times New Roman"/>
          <w:sz w:val="20"/>
          <w:szCs w:val="20"/>
          <w:color w:val="auto"/>
        </w:rPr>
      </w:pPr>
    </w:p>
    <w:p>
      <w:pPr>
        <w:ind w:firstLine="1304"/>
        <w:spacing w:after="0" w:line="269" w:lineRule="auto"/>
        <w:tabs>
          <w:tab w:leader="none" w:pos="1703"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representations and warranties and covenants contained in this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shall survive the execution and delivery of this Agreement, the termination and dissolution of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13" w:right="339" w:bottom="1440" w:gutter="0" w:footer="0" w:header="0"/>
        </w:sectPr>
      </w:pPr>
    </w:p>
    <w:bookmarkStart w:id="401" w:name="page402"/>
    <w:bookmarkEnd w:id="401"/>
    <w:p>
      <w:pPr>
        <w:spacing w:after="0" w:line="269" w:lineRule="auto"/>
        <w:rPr>
          <w:sz w:val="20"/>
          <w:szCs w:val="20"/>
          <w:color w:val="auto"/>
        </w:rPr>
      </w:pPr>
      <w:r>
        <w:rPr>
          <w:rFonts w:ascii="Times New Roman" w:cs="Times New Roman" w:eastAsia="Times New Roman" w:hAnsi="Times New Roman"/>
          <w:sz w:val="20"/>
          <w:szCs w:val="20"/>
          <w:color w:val="auto"/>
        </w:rPr>
        <w:t>any other Member and the time any Member ceases to be a Member in the Company with respect to the period of time such Member was a Member in the Company.</w:t>
      </w:r>
    </w:p>
    <w:p>
      <w:pPr>
        <w:spacing w:after="0" w:line="11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7.4</w:t>
      </w:r>
      <w:r>
        <w:rPr>
          <w:sz w:val="20"/>
          <w:szCs w:val="20"/>
          <w:color w:val="auto"/>
        </w:rPr>
        <w:tab/>
      </w:r>
      <w:r>
        <w:rPr>
          <w:rFonts w:ascii="Times New Roman" w:cs="Times New Roman" w:eastAsia="Times New Roman" w:hAnsi="Times New Roman"/>
          <w:sz w:val="19"/>
          <w:szCs w:val="19"/>
          <w:b w:val="1"/>
          <w:bCs w:val="1"/>
          <w:color w:val="auto"/>
        </w:rPr>
        <w:t>Conflicts of Interest Waiver; Waiver of Duties.</w:t>
      </w:r>
    </w:p>
    <w:p>
      <w:pPr>
        <w:spacing w:after="0" w:line="179" w:lineRule="exact"/>
        <w:rPr>
          <w:sz w:val="20"/>
          <w:szCs w:val="20"/>
          <w:color w:val="auto"/>
        </w:rPr>
      </w:pPr>
    </w:p>
    <w:p>
      <w:pPr>
        <w:jc w:val="both"/>
        <w:ind w:firstLine="1304"/>
        <w:spacing w:after="0" w:line="241" w:lineRule="auto"/>
        <w:tabs>
          <w:tab w:leader="none" w:pos="1812"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7.4(f)</w:t>
      </w:r>
      <w:r>
        <w:rPr>
          <w:rFonts w:ascii="Times New Roman" w:cs="Times New Roman" w:eastAsia="Times New Roman" w:hAnsi="Times New Roman"/>
          <w:sz w:val="20"/>
          <w:szCs w:val="20"/>
          <w:color w:val="auto"/>
        </w:rPr>
        <w:t xml:space="preserve"> in the case of Figure, each Member and its Related Parties shall be entitled to enter into transactions that may be considered to be competitive with, or a business opportunity that may be beneficial to, the Company or its Subsidiaries. Subject to approval as a Fundamental Decision pursuant to </w:t>
      </w:r>
      <w:r>
        <w:rPr>
          <w:rFonts w:ascii="Times New Roman" w:cs="Times New Roman" w:eastAsia="Times New Roman" w:hAnsi="Times New Roman"/>
          <w:sz w:val="20"/>
          <w:szCs w:val="20"/>
          <w:u w:val="single" w:color="auto"/>
          <w:color w:val="auto"/>
        </w:rPr>
        <w:t>Section 8.3(a)(xxxiv)</w:t>
      </w:r>
      <w:r>
        <w:rPr>
          <w:rFonts w:ascii="Times New Roman" w:cs="Times New Roman" w:eastAsia="Times New Roman" w:hAnsi="Times New Roman"/>
          <w:sz w:val="20"/>
          <w:szCs w:val="20"/>
          <w:color w:val="auto"/>
        </w:rPr>
        <w:t xml:space="preserve">, a Member or its Related Parties may lend money to and transact other business with the Company and its Subsidiaries. Without limiting the provisions of </w:t>
      </w:r>
      <w:r>
        <w:rPr>
          <w:rFonts w:ascii="Times New Roman" w:cs="Times New Roman" w:eastAsia="Times New Roman" w:hAnsi="Times New Roman"/>
          <w:sz w:val="20"/>
          <w:szCs w:val="20"/>
          <w:u w:val="single" w:color="auto"/>
          <w:color w:val="auto"/>
        </w:rPr>
        <w:t>Section 8.3(a)(xxxiv)</w:t>
      </w:r>
      <w:r>
        <w:rPr>
          <w:rFonts w:ascii="Times New Roman" w:cs="Times New Roman" w:eastAsia="Times New Roman" w:hAnsi="Times New Roman"/>
          <w:sz w:val="20"/>
          <w:szCs w:val="20"/>
          <w:color w:val="auto"/>
        </w:rPr>
        <w:t xml:space="preserve">, the rights and obligations of a Member or its Related Party who lends money to or transacts business with the Company or its Subsidiaries in accordance with this Agreement are the same as those of a Person who is not a member of the Company, subject to other applicable law. Subject to limitations set forth in this Agreement and without limiting the provisions of </w:t>
      </w:r>
      <w:r>
        <w:rPr>
          <w:rFonts w:ascii="Times New Roman" w:cs="Times New Roman" w:eastAsia="Times New Roman" w:hAnsi="Times New Roman"/>
          <w:sz w:val="20"/>
          <w:szCs w:val="20"/>
          <w:u w:val="single" w:color="auto"/>
          <w:color w:val="auto"/>
        </w:rPr>
        <w:t>Section 8.3(a)(xxxiv)</w:t>
      </w:r>
      <w:r>
        <w:rPr>
          <w:rFonts w:ascii="Times New Roman" w:cs="Times New Roman" w:eastAsia="Times New Roman" w:hAnsi="Times New Roman"/>
          <w:sz w:val="20"/>
          <w:szCs w:val="20"/>
          <w:color w:val="auto"/>
        </w:rPr>
        <w:t>, no transaction with the Company or any of its Subsidiaries shall be void or voidable solely because a Member or its Related Parties has a direct or indirect interest in the transaction if the transaction is on arm’s length terms or otherwise on terms readily available in the market to unaffiliated parties.</w:t>
      </w:r>
    </w:p>
    <w:p>
      <w:pPr>
        <w:spacing w:after="0" w:line="149" w:lineRule="exact"/>
        <w:rPr>
          <w:rFonts w:ascii="Times New Roman" w:cs="Times New Roman" w:eastAsia="Times New Roman" w:hAnsi="Times New Roman"/>
          <w:sz w:val="20"/>
          <w:szCs w:val="20"/>
          <w:color w:val="auto"/>
        </w:rPr>
      </w:pPr>
    </w:p>
    <w:p>
      <w:pPr>
        <w:jc w:val="both"/>
        <w:ind w:firstLine="1304"/>
        <w:spacing w:after="0" w:line="239" w:lineRule="auto"/>
        <w:tabs>
          <w:tab w:leader="none" w:pos="1815"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7.4(f)</w:t>
      </w:r>
      <w:r>
        <w:rPr>
          <w:rFonts w:ascii="Times New Roman" w:cs="Times New Roman" w:eastAsia="Times New Roman" w:hAnsi="Times New Roman"/>
          <w:sz w:val="20"/>
          <w:szCs w:val="20"/>
          <w:color w:val="auto"/>
        </w:rPr>
        <w:t xml:space="preserve"> in the case of Figure, if a Member or its Related Party acquires knowledge of a potential transaction or matter that may be a “</w:t>
      </w:r>
      <w:r>
        <w:rPr>
          <w:rFonts w:ascii="Times New Roman" w:cs="Times New Roman" w:eastAsia="Times New Roman" w:hAnsi="Times New Roman"/>
          <w:sz w:val="20"/>
          <w:szCs w:val="20"/>
          <w:b w:val="1"/>
          <w:bCs w:val="1"/>
          <w:color w:val="auto"/>
        </w:rPr>
        <w:t>Corporate Opportunity</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7.4(d)</w:t>
      </w:r>
      <w:r>
        <w:rPr>
          <w:rFonts w:ascii="Times New Roman" w:cs="Times New Roman" w:eastAsia="Times New Roman" w:hAnsi="Times New Roman"/>
          <w:sz w:val="20"/>
          <w:szCs w:val="20"/>
          <w:color w:val="auto"/>
        </w:rPr>
        <w:t xml:space="preserve">), none of the other Members, the Company, or any Subsidiary of the Company shall have an interest in, or expectation that, such Corporate Opportunity be offered to it or that it be offered an opportunity to participate therein, and any such interest, expectation, offer or opportunity to participate, and any other interest or expectation otherwise due to the Company with respect to such Corporate Opportunity, is hereby renounced by the Company and each other Member on its behalf and on behalf of any other entity owned by the Company or any other Member. Accordingly, subject to </w:t>
      </w:r>
      <w:r>
        <w:rPr>
          <w:rFonts w:ascii="Times New Roman" w:cs="Times New Roman" w:eastAsia="Times New Roman" w:hAnsi="Times New Roman"/>
          <w:sz w:val="20"/>
          <w:szCs w:val="20"/>
          <w:u w:val="single" w:color="auto"/>
          <w:color w:val="auto"/>
        </w:rPr>
        <w:t>Section 7.4(f)</w:t>
      </w:r>
      <w:r>
        <w:rPr>
          <w:rFonts w:ascii="Times New Roman" w:cs="Times New Roman" w:eastAsia="Times New Roman" w:hAnsi="Times New Roman"/>
          <w:sz w:val="20"/>
          <w:szCs w:val="20"/>
          <w:color w:val="auto"/>
        </w:rPr>
        <w:t xml:space="preserve"> in the case of Figure, (i) none of the Members nor their Related Parties will be under any obligation to present, communicate or offer any such Corporate Opportunity to the Company or any other Person and (ii) each Member and its Related Parties shall have the right to hold any such Corporate Opportunity for its own or the account of its Related Parties, or to direct, recommend, sell, assign or otherwise transfer such Corporate Opportunity to any Person or Persons in its sole discretion. To the fullest extent permitted by applicable law, none of the Members nor their Related Parties shall have or be under any duty to any other Member, the Company, any Subsidiary of the Company, or any other entity owned by the Company or any other Member with respect to such Corporate Opportunity or otherwise, including any fiduciary duty, duty of loyalty or duty to act in good faith or in the best interests of any of the Company or any entity owned by the Company or any Member, and shall not be liable to any other Member, the Company, its Subsidiaries, or any entity owned by the Company or any Member for any breach or alleged breach thereof or for any derivation of personal economic gain.</w:t>
      </w:r>
    </w:p>
    <w:p>
      <w:pPr>
        <w:spacing w:after="0" w:line="169" w:lineRule="exact"/>
        <w:rPr>
          <w:rFonts w:ascii="Times New Roman" w:cs="Times New Roman" w:eastAsia="Times New Roman" w:hAnsi="Times New Roman"/>
          <w:sz w:val="20"/>
          <w:szCs w:val="20"/>
          <w:color w:val="auto"/>
        </w:rPr>
      </w:pPr>
    </w:p>
    <w:p>
      <w:pPr>
        <w:jc w:val="both"/>
        <w:ind w:firstLine="1304"/>
        <w:spacing w:after="0" w:line="242" w:lineRule="auto"/>
        <w:tabs>
          <w:tab w:leader="none" w:pos="1722"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fullest extent permitted by law, including Section 18-1101(c) of the Act, each Manager shall be deemed an agent of the Member who appoints, nominates or otherwise designates such Manager, may act in the best interest of the Member by whom he or she was appointed, shall not be required to take into consideration the interests of the other Members or their respective Affiliates and, to the fullest extent permitted by law, neither any Manager nor any Member shall owe a fiduciary duty to the Company, any Member, or any other Person bound by this Agreement. The provisions of this Agreement, to the extent that they restrict or eliminate the duties and liabilities of the Managers and/or the Members otherwise existing at law or in equity, are agreed by the Members to so restrict or eliminate such duties and liabilities of the Managers and the Members.</w:t>
      </w:r>
    </w:p>
    <w:p>
      <w:pPr>
        <w:spacing w:after="0" w:line="141" w:lineRule="exact"/>
        <w:rPr>
          <w:rFonts w:ascii="Times New Roman" w:cs="Times New Roman" w:eastAsia="Times New Roman" w:hAnsi="Times New Roman"/>
          <w:sz w:val="20"/>
          <w:szCs w:val="20"/>
          <w:color w:val="auto"/>
        </w:rPr>
      </w:pPr>
    </w:p>
    <w:p>
      <w:pPr>
        <w:ind w:firstLine="1304"/>
        <w:spacing w:after="0" w:line="273" w:lineRule="auto"/>
        <w:tabs>
          <w:tab w:leader="none" w:pos="1773"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color w:val="auto"/>
          <w:shd w:val="clear" w:color="auto" w:fill="FFC09A"/>
        </w:rPr>
        <w:t>Sixth Street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Persons</w:t>
      </w:r>
      <w:r>
        <w:rPr>
          <w:rFonts w:ascii="Times New Roman" w:cs="Times New Roman" w:eastAsia="Times New Roman" w:hAnsi="Times New Roman"/>
          <w:sz w:val="20"/>
          <w:szCs w:val="20"/>
          <w:color w:val="auto"/>
        </w:rPr>
        <w:t xml:space="preserve">” shall mean (A) </w:t>
      </w:r>
      <w:r>
        <w:rPr>
          <w:rFonts w:ascii="Times New Roman" w:cs="Times New Roman" w:eastAsia="Times New Roman" w:hAnsi="Times New Roman"/>
          <w:sz w:val="20"/>
          <w:szCs w:val="20"/>
          <w:color w:val="auto"/>
          <w:shd w:val="clear" w:color="auto" w:fill="FFC09A"/>
        </w:rPr>
        <w:t>Sixth Street Partners, LLC (“</w:t>
      </w:r>
      <w:r>
        <w:rPr>
          <w:rFonts w:ascii="Times New Roman" w:cs="Times New Roman" w:eastAsia="Times New Roman" w:hAnsi="Times New Roman"/>
          <w:sz w:val="20"/>
          <w:szCs w:val="20"/>
          <w:b w:val="1"/>
          <w:bCs w:val="1"/>
          <w:color w:val="auto"/>
          <w:shd w:val="clear" w:color="auto" w:fill="FFC09A"/>
        </w:rPr>
        <w:t>SSP</w:t>
      </w:r>
      <w:r>
        <w:rPr>
          <w:rFonts w:ascii="Times New Roman" w:cs="Times New Roman" w:eastAsia="Times New Roman" w:hAnsi="Times New Roman"/>
          <w:sz w:val="20"/>
          <w:szCs w:val="20"/>
          <w:color w:val="auto"/>
          <w:shd w:val="clear" w:color="auto" w:fill="FFC09A"/>
        </w:rPr>
        <w:t>”), (B)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shd w:val="clear" w:color="auto" w:fill="FFC09A"/>
        </w:rPr>
        <w:t>investment fund managed directly or indirectly by SSP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13" w:right="339" w:bottom="1440" w:gutter="0" w:footer="0" w:header="0"/>
        </w:sectPr>
      </w:pPr>
    </w:p>
    <w:bookmarkStart w:id="402" w:name="page403"/>
    <w:bookmarkEnd w:id="402"/>
    <w:p>
      <w:pPr>
        <w:jc w:val="both"/>
        <w:spacing w:after="0" w:line="231" w:lineRule="auto"/>
        <w:rPr>
          <w:sz w:val="20"/>
          <w:szCs w:val="20"/>
          <w:color w:val="auto"/>
        </w:rPr>
      </w:pPr>
      <w:r>
        <w:rPr>
          <w:rFonts w:ascii="Times New Roman" w:cs="Times New Roman" w:eastAsia="Times New Roman" w:hAnsi="Times New Roman"/>
          <w:sz w:val="20"/>
          <w:szCs w:val="20"/>
          <w:color w:val="auto"/>
        </w:rPr>
        <w:t>Affiliates (excluding the Company and its Subsidiaries) (the “</w:t>
      </w:r>
      <w:r>
        <w:rPr>
          <w:rFonts w:ascii="Times New Roman" w:cs="Times New Roman" w:eastAsia="Times New Roman" w:hAnsi="Times New Roman"/>
          <w:sz w:val="20"/>
          <w:szCs w:val="20"/>
          <w:b w:val="1"/>
          <w:bCs w:val="1"/>
          <w:color w:val="auto"/>
        </w:rPr>
        <w:t>SSP Funds</w:t>
      </w:r>
      <w:r>
        <w:rPr>
          <w:rFonts w:ascii="Times New Roman" w:cs="Times New Roman" w:eastAsia="Times New Roman" w:hAnsi="Times New Roman"/>
          <w:sz w:val="20"/>
          <w:szCs w:val="20"/>
          <w:color w:val="auto"/>
        </w:rPr>
        <w:t>”), (C) any investment account managed directly or indirectly by SSP, its Affiliates, or any SSP Funds, or with respect to which SSP, its Affiliates, or any SSP Funds has discretionary investment or management authority (the “</w:t>
      </w:r>
      <w:r>
        <w:rPr>
          <w:rFonts w:ascii="Times New Roman" w:cs="Times New Roman" w:eastAsia="Times New Roman" w:hAnsi="Times New Roman"/>
          <w:sz w:val="20"/>
          <w:szCs w:val="20"/>
          <w:b w:val="1"/>
          <w:bCs w:val="1"/>
          <w:color w:val="auto"/>
        </w:rPr>
        <w:t>SSP SMAs</w:t>
      </w:r>
      <w:r>
        <w:rPr>
          <w:rFonts w:ascii="Times New Roman" w:cs="Times New Roman" w:eastAsia="Times New Roman" w:hAnsi="Times New Roman"/>
          <w:sz w:val="20"/>
          <w:szCs w:val="20"/>
          <w:color w:val="auto"/>
        </w:rPr>
        <w:t xml:space="preserve">”), (D) any Affiliates of SSP, the SSP Funds, or the SSP SMAs (excluding the Company and its Subsidiaries) and (E) any director, manager, officer or employee of any of the entities set forth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regardless of whether such Persons are also directors, managers, officers or employees of the Company, its Subsidiaries, or any entity owned by the Company or its Subsidiaries. For purposes of this Agreement, “</w:t>
      </w:r>
      <w:r>
        <w:rPr>
          <w:rFonts w:ascii="Times New Roman" w:cs="Times New Roman" w:eastAsia="Times New Roman" w:hAnsi="Times New Roman"/>
          <w:sz w:val="20"/>
          <w:szCs w:val="20"/>
          <w:b w:val="1"/>
          <w:bCs w:val="1"/>
          <w:color w:val="auto"/>
        </w:rPr>
        <w:t>Figure Person</w:t>
      </w:r>
      <w:r>
        <w:rPr>
          <w:rFonts w:ascii="Times New Roman" w:cs="Times New Roman" w:eastAsia="Times New Roman" w:hAnsi="Times New Roman"/>
          <w:sz w:val="20"/>
          <w:szCs w:val="20"/>
          <w:color w:val="auto"/>
        </w:rPr>
        <w:t xml:space="preserve">” means the (A) Figure, Figure Corp., Servicer, Figure Lending Corp., and (B) any Affiliate of Figure that is a party to any Affiliate Agreement from time to time. As used in </w:t>
      </w:r>
      <w:r>
        <w:rPr>
          <w:rFonts w:ascii="Times New Roman" w:cs="Times New Roman" w:eastAsia="Times New Roman" w:hAnsi="Times New Roman"/>
          <w:sz w:val="20"/>
          <w:szCs w:val="20"/>
          <w:u w:val="single" w:color="auto"/>
          <w:color w:val="auto"/>
        </w:rPr>
        <w:t>Section 7.4(b)</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Corporate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Opportunity</w:t>
      </w:r>
      <w:r>
        <w:rPr>
          <w:rFonts w:ascii="Times New Roman" w:cs="Times New Roman" w:eastAsia="Times New Roman" w:hAnsi="Times New Roman"/>
          <w:sz w:val="20"/>
          <w:szCs w:val="20"/>
          <w:color w:val="auto"/>
        </w:rPr>
        <w:t>” shall include business opportunities which the Company is financially able to undertake, which are, from their nature,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line of the Company’s or any of its Subsidiaries’ business, are of practical advantage to it and are ones in which the Company has an interest or a reasonable expectancy, and in which, by embracing the opportunities, the self-interest of a Member or its Related Parties, as applicable, will be or could reasonably expect to be brought into conflict with that of the Company or any of its Subsidiaries.</w:t>
      </w:r>
    </w:p>
    <w:p>
      <w:pPr>
        <w:spacing w:after="0" w:line="148" w:lineRule="exact"/>
        <w:rPr>
          <w:sz w:val="20"/>
          <w:szCs w:val="20"/>
          <w:color w:val="auto"/>
        </w:rPr>
      </w:pPr>
    </w:p>
    <w:p>
      <w:pPr>
        <w:jc w:val="both"/>
        <w:ind w:firstLine="1304"/>
        <w:spacing w:after="0" w:line="230" w:lineRule="auto"/>
        <w:tabs>
          <w:tab w:leader="none" w:pos="1865"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set forth in this Agreement, the Members (other than Investor and its Affiliates) acknowledge that Investor is an Affiliate of SSP, a full service investment advisory firm engaged, either directly or through Affiliates, in various activities, including securities trading, financial advisory, investment management, principal investment, hedging, financing, securitization, and brokerage activities. In the ordinary course of these activities, SSP and its Affiliates may make or hold a broad array of investments and actively trade debt and equity securities (or related derivative securities) and/or financial instruments (including loans) for its own account and for the accounts of its clients and may at any time hold long and short positions in such securities and/or instruments. Such investment and other activities may involve securities and instruments of the Company and its Subsidiaries, as well as of other Persons and their Affiliates which may (i) be involved in transactions arising from or relating to the transactions in which the Company and its Subsidiaries are engaged, (ii) be customers or competitors of the Company and its Subsidiaries, or (iii) have other relationships with the Company and its Subsidiaries. Nothing in this Agreement shall restrict or preclude the Company, its Subsidiaries, Investor or its Related Parties from pursuing any business opportunities either on its or their own behalf or in conjunction with any of their clients or other third parties.</w:t>
      </w:r>
    </w:p>
    <w:p>
      <w:pPr>
        <w:spacing w:after="0" w:line="149" w:lineRule="exact"/>
        <w:rPr>
          <w:rFonts w:ascii="Times New Roman" w:cs="Times New Roman" w:eastAsia="Times New Roman" w:hAnsi="Times New Roman"/>
          <w:sz w:val="20"/>
          <w:szCs w:val="20"/>
          <w:color w:val="auto"/>
        </w:rPr>
      </w:pPr>
    </w:p>
    <w:p>
      <w:pPr>
        <w:jc w:val="both"/>
        <w:ind w:firstLine="1304"/>
        <w:spacing w:after="0" w:line="229" w:lineRule="auto"/>
        <w:tabs>
          <w:tab w:leader="none" w:pos="1702"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set forth in this Agreement, the Members (other than Figure and its Affiliates) acknowledge and agree that (i) Figure is an Affiliate of Figure Corp., which is engaged, either directly or through Affiliates, in various activities, including originating, holding, servicing, hedging, financing and securitizing HELOCs and other financial products, (ii) except as expressly set forth in the Side Letter, neither Figure nor any of its Related Parties shall have any obligation to sell or offer to sell HELOCs or any other Assets to the Company or any of its Subsidiaries and (iii) subject to the remainder of this </w:t>
      </w:r>
      <w:r>
        <w:rPr>
          <w:rFonts w:ascii="Times New Roman" w:cs="Times New Roman" w:eastAsia="Times New Roman" w:hAnsi="Times New Roman"/>
          <w:sz w:val="20"/>
          <w:szCs w:val="20"/>
          <w:u w:val="single" w:color="auto"/>
          <w:color w:val="auto"/>
        </w:rPr>
        <w:t>Section 7.4(f)</w:t>
      </w:r>
      <w:r>
        <w:rPr>
          <w:rFonts w:ascii="Times New Roman" w:cs="Times New Roman" w:eastAsia="Times New Roman" w:hAnsi="Times New Roman"/>
          <w:sz w:val="20"/>
          <w:szCs w:val="20"/>
          <w:color w:val="auto"/>
        </w:rPr>
        <w:t>, Figure shall in no way be restricted from selling (including through a joint venture), financing or engaging in any business with respect to HELOCs or any other Assets. The term “</w:t>
      </w:r>
      <w:r>
        <w:rPr>
          <w:rFonts w:ascii="Times New Roman" w:cs="Times New Roman" w:eastAsia="Times New Roman" w:hAnsi="Times New Roman"/>
          <w:sz w:val="20"/>
          <w:szCs w:val="20"/>
          <w:b w:val="1"/>
          <w:bCs w:val="1"/>
          <w:color w:val="auto"/>
        </w:rPr>
        <w:t>Restricted Period</w:t>
      </w:r>
      <w:r>
        <w:rPr>
          <w:rFonts w:ascii="Times New Roman" w:cs="Times New Roman" w:eastAsia="Times New Roman" w:hAnsi="Times New Roman"/>
          <w:sz w:val="20"/>
          <w:szCs w:val="20"/>
          <w:color w:val="auto"/>
        </w:rPr>
        <w:t>” shall mean the period from and after the Effective Date until, (A) if a Run-Off Commencement Date has occurred and at such time as Figure is not a Pre-Defaulting Member, such Run-Off Commencement Date, (B) if a Run-Off Commencement Date has occurred and at such time Figure is a Pre-Defaulting Member (x) if following such Run-Off Commencement Date, Figure becomes a Defaulting Member in respect of the Bad Act Termination Event that caused Figure to then become a Pre-Defaulting Member, the two-year anniversary of such Run-Off Commencement Date, or (y) if following such Run-Off Commencement Date, Figure does not become a Defaulting Member in respect of the Bad Act Termination Event that caused Figure to then become a Pre-Defaulting Member, such Run-Off Commencement Date, or (C) if a Run-Off Commencement Date has occurred and at such time Figure is a Defaulting Member, the two-year anniversary of such Run-Off Commencement Date. During the Restricted Period, Figure and its Related Parties shall not, directly or indirectly, (i) enter into a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09" w:right="339" w:bottom="1440" w:gutter="0" w:footer="0" w:header="0"/>
        </w:sectPr>
      </w:pPr>
    </w:p>
    <w:bookmarkStart w:id="403" w:name="page404"/>
    <w:bookmarkEnd w:id="403"/>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with an unaffiliated third party established for the purpose of buying and securitizing HELOCs, or (ii) issue securities in connection with or create any TBA/Forward markets for HELOCs (each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b w:val="1"/>
          <w:bCs w:val="1"/>
          <w:color w:val="auto"/>
        </w:rPr>
        <w:t>Restricted Transaction Structure</w:t>
      </w:r>
      <w:r>
        <w:rPr>
          <w:rFonts w:ascii="Times New Roman" w:cs="Times New Roman" w:eastAsia="Times New Roman" w:hAnsi="Times New Roman"/>
          <w:sz w:val="20"/>
          <w:szCs w:val="20"/>
          <w:color w:val="auto"/>
        </w:rPr>
        <w:t>”). For the avoidance of doubt, (i) Figure shall have the right to engage in any Restricted Transaction Structure from and after the expiration of any Restricted Period; and (ii) during the Restricted Period, Figure and its Related Parties shall in no event be restricted from (x) engaging in any business with respect to Assets other than HELOCs, including, without limitation, by entering into a joint venture analogous to the Restricted Transaction Structure but with respect to Assets other than HELOCs, or (y) engaging in any business with respect to HELOCs (including financing or securitizing the same) other than using the Restricted Transaction Structure.</w:t>
      </w:r>
    </w:p>
    <w:p>
      <w:pPr>
        <w:spacing w:after="0" w:line="13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7.5</w:t>
      </w:r>
      <w:r>
        <w:rPr>
          <w:sz w:val="20"/>
          <w:szCs w:val="20"/>
          <w:color w:val="auto"/>
        </w:rPr>
        <w:tab/>
      </w:r>
      <w:r>
        <w:rPr>
          <w:rFonts w:ascii="Times New Roman" w:cs="Times New Roman" w:eastAsia="Times New Roman" w:hAnsi="Times New Roman"/>
          <w:sz w:val="19"/>
          <w:szCs w:val="19"/>
          <w:b w:val="1"/>
          <w:bCs w:val="1"/>
          <w:color w:val="auto"/>
        </w:rPr>
        <w:t>Cooperation.</w:t>
      </w:r>
    </w:p>
    <w:p>
      <w:pPr>
        <w:spacing w:after="0" w:line="193" w:lineRule="exact"/>
        <w:rPr>
          <w:sz w:val="20"/>
          <w:szCs w:val="20"/>
          <w:color w:val="auto"/>
        </w:rPr>
      </w:pPr>
    </w:p>
    <w:p>
      <w:pPr>
        <w:jc w:val="both"/>
        <w:ind w:firstLine="1304"/>
        <w:spacing w:after="0" w:line="252" w:lineRule="auto"/>
        <w:tabs>
          <w:tab w:leader="none" w:pos="173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Member shall, and shall cause its Affiliates and Subsidiaries to, at the Company’s expense, provide commercially reasonable assistance to the Company and its Subsidiaries in connection with any hedging, financing (including a warehouse facility), securitization or loan sale transaction pursued by the Company or any of its Subsidiaries in accordance with this Agreement, if any, including to (i) form (or cause a securitization depositor to form) each securitization borrower and/or issuer, (ii) provide information reasonably requested in connection therewith by lenders, initial purchasers, trustees or other contractual counterparties, (iii) provide information for inclusion in any disclosure materials to the extent necessary or advisable to comply with U.S. federal or state securities laws, (iv) provide information, documents, agreements, opinions, certificates, or other instruments reasonably requested in support of the Company’s sponsorship or participation in any such transaction and for the establishment and maintenance of the website required by Rule 17g-5 under the Securities Exchange Act of 1934, as amended and post any requisite ABS 15E on such website, (v) cooperate in preparation and filing of requisite Form ABS-15G filings and any ABS 15E, and (vi) participate in and help prepare any roadshows.</w:t>
      </w:r>
    </w:p>
    <w:p>
      <w:pPr>
        <w:spacing w:after="0" w:line="150"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44"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acknowledge and agree that the Company or the Subsidiaries shall purchase or retain an eligible horizontal residual interest or vertical interest in any securitization transaction sponsored by the Company or any Subsidiaries, or combination thereof, as required by the U.S. Risk Retention Rules for so long as required by the U.S. Risk Retention Rules in connection with any securitization transaction that is sponsored (or co-sponsored) by the Company or its Subsidiaries for which the Company or any Subsidiary is the retaining sponsor under the U.S. Risk Retention Rules.</w:t>
      </w:r>
    </w:p>
    <w:p>
      <w:pPr>
        <w:spacing w:after="0" w:line="151" w:lineRule="exact"/>
        <w:rPr>
          <w:rFonts w:ascii="Times New Roman" w:cs="Times New Roman" w:eastAsia="Times New Roman" w:hAnsi="Times New Roman"/>
          <w:sz w:val="20"/>
          <w:szCs w:val="20"/>
          <w:color w:val="auto"/>
        </w:rPr>
      </w:pPr>
    </w:p>
    <w:p>
      <w:pPr>
        <w:jc w:val="both"/>
        <w:ind w:firstLine="1304"/>
        <w:spacing w:after="0" w:line="252" w:lineRule="auto"/>
        <w:tabs>
          <w:tab w:leader="none" w:pos="1814"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Investor and Figure will use commercially reasonable efforts to cooperate to obtain the best advance rate for each warehouse facility. To the extent that any warehouse financer requires a recourse guarantee from Investor, and without such financing the Company would not have monthly Net Cash Flow (without regard to Net Cash Flow from any prior months) sufficient to make distributions to the Members pursuant to </w:t>
      </w:r>
      <w:r>
        <w:rPr>
          <w:rFonts w:ascii="Times New Roman" w:cs="Times New Roman" w:eastAsia="Times New Roman" w:hAnsi="Times New Roman"/>
          <w:sz w:val="20"/>
          <w:szCs w:val="20"/>
          <w:u w:val="single" w:color="auto"/>
          <w:color w:val="auto"/>
        </w:rPr>
        <w:t>Section 10.6(a)(iii)</w:t>
      </w:r>
      <w:r>
        <w:rPr>
          <w:rFonts w:ascii="Times New Roman" w:cs="Times New Roman" w:eastAsia="Times New Roman" w:hAnsi="Times New Roman"/>
          <w:sz w:val="20"/>
          <w:szCs w:val="20"/>
          <w:color w:val="auto"/>
        </w:rPr>
        <w:t xml:space="preserve"> in full on a monthly basis (assuming for the purposes of this </w:t>
      </w:r>
      <w:r>
        <w:rPr>
          <w:rFonts w:ascii="Times New Roman" w:cs="Times New Roman" w:eastAsia="Times New Roman" w:hAnsi="Times New Roman"/>
          <w:sz w:val="20"/>
          <w:szCs w:val="20"/>
          <w:u w:val="single" w:color="auto"/>
          <w:color w:val="auto"/>
        </w:rPr>
        <w:t>Section 7.5(c)</w:t>
      </w:r>
      <w:r>
        <w:rPr>
          <w:rFonts w:ascii="Times New Roman" w:cs="Times New Roman" w:eastAsia="Times New Roman" w:hAnsi="Times New Roman"/>
          <w:sz w:val="20"/>
          <w:szCs w:val="20"/>
          <w:color w:val="auto"/>
        </w:rPr>
        <w:t xml:space="preserve"> that no Superpriority Contributions have been made by the Members), and Investor does not agree to provide such guarantee, then Investor and Figure agree to renegotiate in good faith the Preferred Hurdle Rate solely to the extent there is a decrease in the Company’s ability to make distributions to the Members in full on a monthly basis pursuant to </w:t>
      </w:r>
      <w:r>
        <w:rPr>
          <w:rFonts w:ascii="Times New Roman" w:cs="Times New Roman" w:eastAsia="Times New Roman" w:hAnsi="Times New Roman"/>
          <w:sz w:val="20"/>
          <w:szCs w:val="20"/>
          <w:u w:val="single" w:color="auto"/>
          <w:color w:val="auto"/>
        </w:rPr>
        <w:t>Section 10.6(a)(iii)</w:t>
      </w:r>
      <w:r>
        <w:rPr>
          <w:rFonts w:ascii="Times New Roman" w:cs="Times New Roman" w:eastAsia="Times New Roman" w:hAnsi="Times New Roman"/>
          <w:sz w:val="20"/>
          <w:szCs w:val="20"/>
          <w:color w:val="auto"/>
        </w:rPr>
        <w:t xml:space="preserve"> from monthly Net Cash Flow (without regard to Net Cash Flow from any prior months and assuming for the purposes of this </w:t>
      </w:r>
      <w:r>
        <w:rPr>
          <w:rFonts w:ascii="Times New Roman" w:cs="Times New Roman" w:eastAsia="Times New Roman" w:hAnsi="Times New Roman"/>
          <w:sz w:val="20"/>
          <w:szCs w:val="20"/>
          <w:u w:val="single" w:color="auto"/>
          <w:color w:val="auto"/>
        </w:rPr>
        <w:t>Section 7.5(c)</w:t>
      </w:r>
      <w:r>
        <w:rPr>
          <w:rFonts w:ascii="Times New Roman" w:cs="Times New Roman" w:eastAsia="Times New Roman" w:hAnsi="Times New Roman"/>
          <w:sz w:val="20"/>
          <w:szCs w:val="20"/>
          <w:color w:val="auto"/>
        </w:rPr>
        <w:t xml:space="preserve"> that no Superpriority Contributions have been made by the Members) as a direct result of any actual diminution of warehouse economics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13" w:right="339" w:bottom="1440" w:gutter="0" w:footer="0" w:header="0"/>
        </w:sectPr>
      </w:pPr>
    </w:p>
    <w:bookmarkStart w:id="404" w:name="page405"/>
    <w:bookmarkEnd w:id="404"/>
    <w:p>
      <w:pPr>
        <w:jc w:val="center"/>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p>
    <w:p>
      <w:pPr>
        <w:spacing w:after="0" w:line="14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8.1</w:t>
      </w:r>
      <w:r>
        <w:rPr>
          <w:sz w:val="20"/>
          <w:szCs w:val="20"/>
          <w:color w:val="auto"/>
        </w:rPr>
        <w:tab/>
      </w:r>
      <w:r>
        <w:rPr>
          <w:rFonts w:ascii="Times New Roman" w:cs="Times New Roman" w:eastAsia="Times New Roman" w:hAnsi="Times New Roman"/>
          <w:sz w:val="19"/>
          <w:szCs w:val="19"/>
          <w:b w:val="1"/>
          <w:bCs w:val="1"/>
          <w:color w:val="auto"/>
        </w:rPr>
        <w:t>Board of Managers.</w:t>
      </w:r>
    </w:p>
    <w:p>
      <w:pPr>
        <w:spacing w:after="0" w:line="166" w:lineRule="exact"/>
        <w:rPr>
          <w:sz w:val="20"/>
          <w:szCs w:val="20"/>
          <w:color w:val="auto"/>
        </w:rPr>
      </w:pPr>
    </w:p>
    <w:p>
      <w:pPr>
        <w:jc w:val="both"/>
        <w:ind w:firstLine="1304"/>
        <w:spacing w:after="0" w:line="242" w:lineRule="auto"/>
        <w:tabs>
          <w:tab w:leader="none" w:pos="1713" w:val="left"/>
        </w:tabs>
        <w:numPr>
          <w:ilvl w:val="1"/>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 Authority</w:t>
      </w:r>
      <w:r>
        <w:rPr>
          <w:rFonts w:ascii="Times New Roman" w:cs="Times New Roman" w:eastAsia="Times New Roman" w:hAnsi="Times New Roman"/>
          <w:sz w:val="19"/>
          <w:szCs w:val="19"/>
          <w:color w:val="auto"/>
        </w:rPr>
        <w:t xml:space="preserve">. Subject to the provisions of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8.3(c)</w:t>
      </w:r>
      <w:r>
        <w:rPr>
          <w:rFonts w:ascii="Times New Roman" w:cs="Times New Roman" w:eastAsia="Times New Roman" w:hAnsi="Times New Roman"/>
          <w:sz w:val="19"/>
          <w:szCs w:val="19"/>
          <w:color w:val="auto"/>
        </w:rPr>
        <w:t>, the business and affairs of the Company shall be made, managed, and controlled by a Board of Managers for the Company (the “</w:t>
      </w:r>
      <w:r>
        <w:rPr>
          <w:rFonts w:ascii="Times New Roman" w:cs="Times New Roman" w:eastAsia="Times New Roman" w:hAnsi="Times New Roman"/>
          <w:sz w:val="19"/>
          <w:szCs w:val="19"/>
          <w:b w:val="1"/>
          <w:bCs w:val="1"/>
          <w:color w:val="auto"/>
        </w:rPr>
        <w:t>Board</w:t>
      </w:r>
      <w:r>
        <w:rPr>
          <w:rFonts w:ascii="Times New Roman" w:cs="Times New Roman" w:eastAsia="Times New Roman" w:hAnsi="Times New Roman"/>
          <w:sz w:val="19"/>
          <w:szCs w:val="19"/>
          <w:color w:val="auto"/>
        </w:rPr>
        <w:t>”) comprised of natural persons (each, a “</w:t>
      </w:r>
      <w:r>
        <w:rPr>
          <w:rFonts w:ascii="Times New Roman" w:cs="Times New Roman" w:eastAsia="Times New Roman" w:hAnsi="Times New Roman"/>
          <w:sz w:val="19"/>
          <w:szCs w:val="19"/>
          <w:b w:val="1"/>
          <w:bCs w:val="1"/>
          <w:color w:val="auto"/>
        </w:rPr>
        <w:t>Manager</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b w:val="1"/>
          <w:bCs w:val="1"/>
          <w:color w:val="auto"/>
        </w:rPr>
        <w:t>Managers</w:t>
      </w:r>
      <w:r>
        <w:rPr>
          <w:rFonts w:ascii="Times New Roman" w:cs="Times New Roman" w:eastAsia="Times New Roman" w:hAnsi="Times New Roman"/>
          <w:sz w:val="19"/>
          <w:szCs w:val="19"/>
          <w:color w:val="auto"/>
        </w:rPr>
        <w:t xml:space="preserve">”) appointed as provided below;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Members and the Board hereby appoint and authorize Administrative Member to, and Administrative Member agrees to, subject to Material Decisions and Fundamental Decisions and the other terms and conditions of this Agreement, conduct and manage the business and affairs of the Company and its Subsidiaries and to perform the management services and other support services set forth on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attached hereto and to manage the day-to-day operations of the Company and its Subsidiaries (all of the foregoing, collectively, the “</w:t>
      </w:r>
      <w:r>
        <w:rPr>
          <w:rFonts w:ascii="Times New Roman" w:cs="Times New Roman" w:eastAsia="Times New Roman" w:hAnsi="Times New Roman"/>
          <w:sz w:val="19"/>
          <w:szCs w:val="19"/>
          <w:b w:val="1"/>
          <w:bCs w:val="1"/>
          <w:color w:val="auto"/>
        </w:rPr>
        <w:t>Services</w:t>
      </w:r>
      <w:r>
        <w:rPr>
          <w:rFonts w:ascii="Times New Roman" w:cs="Times New Roman" w:eastAsia="Times New Roman" w:hAnsi="Times New Roman"/>
          <w:sz w:val="19"/>
          <w:szCs w:val="19"/>
          <w:color w:val="auto"/>
        </w:rPr>
        <w:t>”), including, without limitation, to (i) establish the policies and operating procedures with respect to the business and affairs of the Company and manage the day-to-day affairs of the Company,</w:t>
      </w:r>
    </w:p>
    <w:p>
      <w:pPr>
        <w:spacing w:after="0" w:line="1" w:lineRule="exact"/>
        <w:rPr>
          <w:rFonts w:ascii="Times New Roman" w:cs="Times New Roman" w:eastAsia="Times New Roman" w:hAnsi="Times New Roman"/>
          <w:sz w:val="19"/>
          <w:szCs w:val="19"/>
          <w:color w:val="auto"/>
        </w:rPr>
      </w:pPr>
    </w:p>
    <w:p>
      <w:pPr>
        <w:jc w:val="both"/>
        <w:ind w:firstLine="8"/>
        <w:spacing w:after="0" w:line="232" w:lineRule="auto"/>
        <w:tabs>
          <w:tab w:leader="none" w:pos="296"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 representatives of the Company and delegate to such representatives the power to perform any of the acts that the Administrative Member is authorized to perform, including, without limitation, the authority to execute and deliver documents on behalf of the Company and all Subsidiaries, (iii) make decisions relating to the business and affairs of the Company, and (iv) implement the Material Decisions and Fundamental Decisions approved by the Board or the Members, as applicable), in each case, subject to the express terms and conditions of this Agreement. The Managers shall be “managers” within the meaning of the Act.</w:t>
      </w:r>
    </w:p>
    <w:p>
      <w:pPr>
        <w:spacing w:after="0" w:line="135" w:lineRule="exact"/>
        <w:rPr>
          <w:rFonts w:ascii="Times New Roman" w:cs="Times New Roman" w:eastAsia="Times New Roman" w:hAnsi="Times New Roman"/>
          <w:sz w:val="20"/>
          <w:szCs w:val="20"/>
          <w:color w:val="auto"/>
        </w:rPr>
      </w:pPr>
    </w:p>
    <w:p>
      <w:pPr>
        <w:jc w:val="both"/>
        <w:ind w:firstLine="1304"/>
        <w:spacing w:after="0"/>
        <w:tabs>
          <w:tab w:leader="none" w:pos="1751" w:val="left"/>
        </w:tabs>
        <w:numPr>
          <w:ilvl w:val="1"/>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Appointment of Managers</w:t>
      </w:r>
      <w:r>
        <w:rPr>
          <w:rFonts w:ascii="Times New Roman" w:cs="Times New Roman" w:eastAsia="Times New Roman" w:hAnsi="Times New Roman"/>
          <w:sz w:val="19"/>
          <w:szCs w:val="19"/>
          <w:color w:val="auto"/>
        </w:rPr>
        <w:t>. The authorized number of Managers on the Board shall be four (4) (which number may be modified from time to time by the Members), where (i) two (2) Managers shall be appointed by Investor and, as of the date hereof, shall be [***] (each, an “</w:t>
      </w:r>
      <w:r>
        <w:rPr>
          <w:rFonts w:ascii="Times New Roman" w:cs="Times New Roman" w:eastAsia="Times New Roman" w:hAnsi="Times New Roman"/>
          <w:sz w:val="19"/>
          <w:szCs w:val="19"/>
          <w:b w:val="1"/>
          <w:bCs w:val="1"/>
          <w:color w:val="auto"/>
        </w:rPr>
        <w:t>SSP Manager</w:t>
      </w:r>
      <w:r>
        <w:rPr>
          <w:rFonts w:ascii="Times New Roman" w:cs="Times New Roman" w:eastAsia="Times New Roman" w:hAnsi="Times New Roman"/>
          <w:sz w:val="19"/>
          <w:szCs w:val="19"/>
          <w:color w:val="auto"/>
        </w:rPr>
        <w:t>”) and (ii) two (2) Managers shall be appointed by Figure and, as of the date hereof, shall be Todd Stevens and Esteban Del Solar (each, a “</w:t>
      </w:r>
      <w:r>
        <w:rPr>
          <w:rFonts w:ascii="Times New Roman" w:cs="Times New Roman" w:eastAsia="Times New Roman" w:hAnsi="Times New Roman"/>
          <w:sz w:val="19"/>
          <w:szCs w:val="19"/>
          <w:b w:val="1"/>
          <w:bCs w:val="1"/>
          <w:color w:val="auto"/>
        </w:rPr>
        <w:t>Figure Manager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upon a Member becoming a Defaulting Member, any Managers theretofore appointed by such Defaulting Member shall automatically, without further action by any party, be removed as Manager hereunder so long as such Member remains a Defaulting Member. Each Manager shall act at the exclusive direction of, be the agent of and shall be free to represent the views and positions of such appointing Member, except to the extent otherwise required under the Investment Advisers Act solely with respect to investment management decisions. Each Manager shall have the right to propose, and the Board shall have the sole authority to authorize and approve, Material Decisions. Each Member may, by written notice to the other Member, remove any Manager appointed by such Member and appoint a substitute therefor;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any new Manager appointed to the Board by any Member must either (i) be a partner, managing member, officer, director or employee of such Member or of an Affiliate of such Member, or</w:t>
      </w:r>
    </w:p>
    <w:p>
      <w:pPr>
        <w:spacing w:after="0" w:line="8" w:lineRule="exact"/>
        <w:rPr>
          <w:rFonts w:ascii="Times New Roman" w:cs="Times New Roman" w:eastAsia="Times New Roman" w:hAnsi="Times New Roman"/>
          <w:sz w:val="19"/>
          <w:szCs w:val="19"/>
          <w:color w:val="auto"/>
        </w:rPr>
      </w:pPr>
    </w:p>
    <w:p>
      <w:pPr>
        <w:jc w:val="both"/>
        <w:ind w:firstLine="8"/>
        <w:spacing w:after="0" w:line="232" w:lineRule="auto"/>
        <w:tabs>
          <w:tab w:leader="none" w:pos="307"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approved by the Managers appointed by the other Member, such approval not to be unreasonably withheld, conditioned or delayed. Any Member may, by written notice delivered to the other Members, delegate any or all of the duties of such Member’s representatives on the Board to another of its representatives on the Board or to any employee of such Member or any of its respective Affiliates (and such delegate shall also be an agent of and operate at the sole direction of the appointing Member), and any decisions or actions taken by such delegate shall be fully binding upon the Company and the Members as if taken by such Manager.</w:t>
      </w:r>
    </w:p>
    <w:p>
      <w:pPr>
        <w:spacing w:after="0" w:line="135" w:lineRule="exact"/>
        <w:rPr>
          <w:rFonts w:ascii="Times New Roman" w:cs="Times New Roman" w:eastAsia="Times New Roman" w:hAnsi="Times New Roman"/>
          <w:sz w:val="20"/>
          <w:szCs w:val="20"/>
          <w:color w:val="auto"/>
        </w:rPr>
      </w:pPr>
    </w:p>
    <w:p>
      <w:pPr>
        <w:jc w:val="both"/>
        <w:ind w:firstLine="1304"/>
        <w:spacing w:after="0" w:line="237" w:lineRule="auto"/>
        <w:tabs>
          <w:tab w:leader="none" w:pos="1740" w:val="left"/>
        </w:tabs>
        <w:numPr>
          <w:ilvl w:val="1"/>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Board Meetings</w:t>
      </w:r>
      <w:r>
        <w:rPr>
          <w:rFonts w:ascii="Times New Roman" w:cs="Times New Roman" w:eastAsia="Times New Roman" w:hAnsi="Times New Roman"/>
          <w:sz w:val="20"/>
          <w:szCs w:val="20"/>
          <w:color w:val="auto"/>
        </w:rPr>
        <w:t>. Meetings of the Board shall take place from time to time, but not less frequently than twice a year at the offices of the Company or at such other location as may be determined by the Board. Special meetings of the Board may be called by any Manager. Written notice of every meeting of the Board or any committees thereof shall be given to each Manager at least twenty-four (24) hours prior to the date of such meeting. Such notice need not state the purpose or purposes of, nor the business to be transacted at, such meeting, except as may otherwise be required by law or provided for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09" w:right="339" w:bottom="1440" w:gutter="0" w:footer="0" w:header="0"/>
        </w:sectPr>
      </w:pPr>
    </w:p>
    <w:bookmarkStart w:id="405" w:name="page406"/>
    <w:bookmarkEnd w:id="405"/>
    <w:p>
      <w:pPr>
        <w:jc w:val="both"/>
        <w:spacing w:after="0" w:line="243" w:lineRule="auto"/>
        <w:rPr>
          <w:sz w:val="20"/>
          <w:szCs w:val="20"/>
          <w:color w:val="auto"/>
        </w:rPr>
      </w:pPr>
      <w:r>
        <w:rPr>
          <w:rFonts w:ascii="Times New Roman" w:cs="Times New Roman" w:eastAsia="Times New Roman" w:hAnsi="Times New Roman"/>
          <w:sz w:val="20"/>
          <w:szCs w:val="20"/>
          <w:color w:val="auto"/>
        </w:rPr>
        <w:t>this Agreement. Notice of any meeting of the Board may be given personally, by mail, courier, electronic mail or other reasonably appropriate means. Notice of a meeting need not be given to any Manager who signs a waiver of notice or a consent to holding the meeting or a consent in lieu of meeting or an approval of the minutes of a meeting, whether before or after the meeting, or who attends the meeting without protesting, prior thereto or at its commencement, the lack of notice. At all meetings of the Board, business shall be transacted in such order as shall from time to time be determined by a chairman selected by a majority of the Board in attendance at such meeting.</w:t>
      </w:r>
    </w:p>
    <w:p>
      <w:pPr>
        <w:spacing w:after="0" w:line="159" w:lineRule="exact"/>
        <w:rPr>
          <w:sz w:val="20"/>
          <w:szCs w:val="20"/>
          <w:color w:val="auto"/>
        </w:rPr>
      </w:pPr>
    </w:p>
    <w:p>
      <w:pPr>
        <w:jc w:val="both"/>
        <w:ind w:firstLine="1304"/>
        <w:spacing w:after="0" w:line="247" w:lineRule="auto"/>
        <w:tabs>
          <w:tab w:leader="none" w:pos="1819"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Quorum</w:t>
      </w:r>
      <w:r>
        <w:rPr>
          <w:rFonts w:ascii="Times New Roman" w:cs="Times New Roman" w:eastAsia="Times New Roman" w:hAnsi="Times New Roman"/>
          <w:sz w:val="20"/>
          <w:szCs w:val="20"/>
          <w:color w:val="auto"/>
        </w:rPr>
        <w:t>. At any meeting of the Board (or any committee thereof), unless otherwise determined by the Board, the presence of at least one SSP Manager and one Figure Manager shall constitute a quorum for the transaction of business, it being understood that, at any time a Member is a Defaulting Member, a Manager appointed by such Member shall not be required to constitute a quorum.</w:t>
      </w:r>
    </w:p>
    <w:p>
      <w:pPr>
        <w:spacing w:after="0" w:line="153" w:lineRule="exact"/>
        <w:rPr>
          <w:rFonts w:ascii="Times New Roman" w:cs="Times New Roman" w:eastAsia="Times New Roman" w:hAnsi="Times New Roman"/>
          <w:sz w:val="20"/>
          <w:szCs w:val="20"/>
          <w:color w:val="auto"/>
        </w:rPr>
      </w:pPr>
    </w:p>
    <w:p>
      <w:pPr>
        <w:jc w:val="both"/>
        <w:ind w:firstLine="1304"/>
        <w:spacing w:after="0" w:line="238" w:lineRule="auto"/>
        <w:tabs>
          <w:tab w:leader="none" w:pos="1754"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Actions</w:t>
      </w:r>
      <w:r>
        <w:rPr>
          <w:rFonts w:ascii="Times New Roman" w:cs="Times New Roman" w:eastAsia="Times New Roman" w:hAnsi="Times New Roman"/>
          <w:sz w:val="20"/>
          <w:szCs w:val="20"/>
          <w:color w:val="auto"/>
        </w:rPr>
        <w:t xml:space="preserve">. Except as otherwise expressly provided in this Agreement, including </w:t>
      </w:r>
      <w:r>
        <w:rPr>
          <w:rFonts w:ascii="Times New Roman" w:cs="Times New Roman" w:eastAsia="Times New Roman" w:hAnsi="Times New Roman"/>
          <w:sz w:val="20"/>
          <w:szCs w:val="20"/>
          <w:u w:val="single" w:color="auto"/>
          <w:color w:val="auto"/>
        </w:rPr>
        <w:t>Section 8.3(b)</w:t>
      </w:r>
      <w:r>
        <w:rPr>
          <w:rFonts w:ascii="Times New Roman" w:cs="Times New Roman" w:eastAsia="Times New Roman" w:hAnsi="Times New Roman"/>
          <w:sz w:val="20"/>
          <w:szCs w:val="20"/>
          <w:color w:val="auto"/>
        </w:rPr>
        <w:t xml:space="preserve">, the act of the Board (or any committee thereof) shall be (i) the vote of more than a majority of the number of Managers entitled to vote on such matter (i.e., that have not been recused from any such vote) taken at any meeting of the Board (or any committee thereof) at which a quorum is present, or (ii) pursuant to a written consent signed by more than a majority of the number of Managers. Each Manager present at a meeting of the Board (or a committee thereof) or executing a written consent of the Board (or a committee thereof) shall be entitled to cast one (1) vote, it being the case that any action required to be taken at a meeting of the Board may be taken without a meeting if a consent in writing, setting forth the actions so taken, shall be signed by more than the majority of the number of Managers entitled to vote on such matter; provided that each SSP Manager present at a meeting of the Board (or a committee thereof) or executing a written consent of the Board (or a committee thereof) shall be entitled to vote or execute a written consent on behalf of each other SSP Manager that is not present at the meeting or executing such written consent and each Figure Manager present at a meeting of the Board (or a committee thereof) or executing a written consent of the Board (or a committee thereof) shall be entitled to vote or execute a written consent on behalf of each other Figure Manager that is not present at the meeting or executing such written consent. For the purpose of clarity, so long as neither Member is a Defaulting Member, and except where (i) all of the SSP Managers or all of the Figure Managers, as applicable, have been recused on a particular agenda item pursuant to </w:t>
      </w:r>
      <w:r>
        <w:rPr>
          <w:rFonts w:ascii="Times New Roman" w:cs="Times New Roman" w:eastAsia="Times New Roman" w:hAnsi="Times New Roman"/>
          <w:sz w:val="20"/>
          <w:szCs w:val="20"/>
          <w:u w:val="single" w:color="auto"/>
          <w:color w:val="auto"/>
        </w:rPr>
        <w:t>Section 8.1(f)</w:t>
      </w:r>
      <w:r>
        <w:rPr>
          <w:rFonts w:ascii="Times New Roman" w:cs="Times New Roman" w:eastAsia="Times New Roman" w:hAnsi="Times New Roman"/>
          <w:sz w:val="20"/>
          <w:szCs w:val="20"/>
          <w:color w:val="auto"/>
        </w:rPr>
        <w:t xml:space="preserve">, or (ii) subject to the provisions of </w:t>
      </w:r>
      <w:r>
        <w:rPr>
          <w:rFonts w:ascii="Times New Roman" w:cs="Times New Roman" w:eastAsia="Times New Roman" w:hAnsi="Times New Roman"/>
          <w:sz w:val="20"/>
          <w:szCs w:val="20"/>
          <w:u w:val="single" w:color="auto"/>
          <w:color w:val="auto"/>
        </w:rPr>
        <w:t>Section 8.3(a)</w:t>
      </w:r>
      <w:r>
        <w:rPr>
          <w:rFonts w:ascii="Times New Roman" w:cs="Times New Roman" w:eastAsia="Times New Roman" w:hAnsi="Times New Roman"/>
          <w:sz w:val="20"/>
          <w:szCs w:val="20"/>
          <w:color w:val="auto"/>
        </w:rPr>
        <w:t xml:space="preserve"> regarding disputes over certain Material Decisions specified therein which, after Reasonable Efforts to Resolve, may be determined by the SSP Managers, the affirmative vote of, or written consent signed by, at least one SSP Manager and one Figure Manager shall be required to constitute an act of the Board.</w:t>
      </w:r>
    </w:p>
    <w:p>
      <w:pPr>
        <w:spacing w:after="0" w:line="171" w:lineRule="exact"/>
        <w:rPr>
          <w:rFonts w:ascii="Times New Roman" w:cs="Times New Roman" w:eastAsia="Times New Roman" w:hAnsi="Times New Roman"/>
          <w:sz w:val="20"/>
          <w:szCs w:val="20"/>
          <w:color w:val="auto"/>
        </w:rPr>
      </w:pPr>
    </w:p>
    <w:p>
      <w:pPr>
        <w:jc w:val="both"/>
        <w:ind w:firstLine="1304"/>
        <w:spacing w:after="0" w:line="239" w:lineRule="auto"/>
        <w:tabs>
          <w:tab w:leader="none" w:pos="1800"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Recusal</w:t>
      </w:r>
      <w:r>
        <w:rPr>
          <w:rFonts w:ascii="Times New Roman" w:cs="Times New Roman" w:eastAsia="Times New Roman" w:hAnsi="Times New Roman"/>
          <w:sz w:val="20"/>
          <w:szCs w:val="20"/>
          <w:color w:val="auto"/>
        </w:rPr>
        <w:t>. The Managers appointed by a Member will be recused from participating in any deliberations of or vote related to (each a “</w:t>
      </w:r>
      <w:r>
        <w:rPr>
          <w:rFonts w:ascii="Times New Roman" w:cs="Times New Roman" w:eastAsia="Times New Roman" w:hAnsi="Times New Roman"/>
          <w:sz w:val="20"/>
          <w:szCs w:val="20"/>
          <w:b w:val="1"/>
          <w:bCs w:val="1"/>
          <w:color w:val="auto"/>
        </w:rPr>
        <w:t>Conflict of Interest</w:t>
      </w:r>
      <w:r>
        <w:rPr>
          <w:rFonts w:ascii="Times New Roman" w:cs="Times New Roman" w:eastAsia="Times New Roman" w:hAnsi="Times New Roman"/>
          <w:sz w:val="20"/>
          <w:szCs w:val="20"/>
          <w:color w:val="auto"/>
        </w:rPr>
        <w:t xml:space="preserve">”) the execution of, or exercise of the rights of the Company or the Subsidiaries under (including with respect to a dispute), an Affiliate Agreement with such Member or its Related Parties, including the enforcement of any of the terms thereof or the termination thereof in accordance with this Agreement and/or such Affiliate Agreement and/or any dispute or potential dispute involving such Manager, any Affiliate of such Manager (including the Member that appointed such Manager), on the one hand, and the Company and or any of its Subsidiaries on the other hand;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and notwithstanding anything to the contrary, in no event shall the Company or any of the Subsidiaries terminate any Affiliate Agreement with Figure or a Related Party thereof other than in accordance with their terms (subject, however, to the terms of the Supplemental Side Letter). For the avoidance of doubt, (i) neither the Managers appointed by a Member nor such Member shall be entitled to exercise the rights of the Company or the Subsidiaries in connection with any transaction where such Member has a Conflict of Interest (e.g., the enforcement of any of the terms of or the termination of this Agreement or any Affiliate Agreement or in connection with any dispute or potential dispute), and (ii) the Managers appointed by the other Member who does not have a Conflict of Interest shall be entitled to,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13" w:right="339"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20"/>
          <w:szCs w:val="20"/>
          <w:color w:val="auto"/>
        </w:rPr>
        <w:t>behalf of the Company or of its Subsidiaries, exercise of the rights of the Company or such Subsidiaries in connection therewith.</w:t>
      </w:r>
    </w:p>
    <w:p>
      <w:pPr>
        <w:spacing w:after="0" w:line="162" w:lineRule="exact"/>
        <w:rPr>
          <w:sz w:val="20"/>
          <w:szCs w:val="20"/>
          <w:color w:val="auto"/>
        </w:rPr>
      </w:pPr>
    </w:p>
    <w:p>
      <w:pPr>
        <w:jc w:val="both"/>
        <w:ind w:firstLine="1304"/>
        <w:spacing w:after="0" w:line="247" w:lineRule="auto"/>
        <w:tabs>
          <w:tab w:leader="none" w:pos="1751"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Telephone Conference</w:t>
      </w:r>
      <w:r>
        <w:rPr>
          <w:rFonts w:ascii="Times New Roman" w:cs="Times New Roman" w:eastAsia="Times New Roman" w:hAnsi="Times New Roman"/>
          <w:sz w:val="20"/>
          <w:szCs w:val="20"/>
          <w:color w:val="auto"/>
        </w:rPr>
        <w:t>. Managers may participate in a meeting of the Board in person, by telephone, video conference or other electronic communications equipment by means of which all Persons participating in the meeting can hear each other, or by any other means permitted by law. Such participation will constitute presence in person at such meeting.</w:t>
      </w:r>
    </w:p>
    <w:p>
      <w:pPr>
        <w:spacing w:after="0" w:line="126" w:lineRule="exact"/>
        <w:rPr>
          <w:rFonts w:ascii="Times New Roman" w:cs="Times New Roman" w:eastAsia="Times New Roman" w:hAnsi="Times New Roman"/>
          <w:sz w:val="20"/>
          <w:szCs w:val="20"/>
          <w:color w:val="auto"/>
        </w:rPr>
      </w:pPr>
    </w:p>
    <w:p>
      <w:pPr>
        <w:ind w:firstLine="1304"/>
        <w:spacing w:after="0" w:line="255" w:lineRule="auto"/>
        <w:tabs>
          <w:tab w:leader="none" w:pos="1751"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of Managers</w:t>
      </w:r>
      <w:r>
        <w:rPr>
          <w:rFonts w:ascii="Times New Roman" w:cs="Times New Roman" w:eastAsia="Times New Roman" w:hAnsi="Times New Roman"/>
          <w:sz w:val="20"/>
          <w:szCs w:val="20"/>
          <w:color w:val="auto"/>
        </w:rPr>
        <w:t>. None of the Managers shall be entitled to receive compensation for serving as a Manager nor for any travel and expenses incurred in connection with attending meetings of the Board.</w:t>
      </w:r>
    </w:p>
    <w:p>
      <w:pPr>
        <w:spacing w:after="0" w:line="132" w:lineRule="exact"/>
        <w:rPr>
          <w:rFonts w:ascii="Times New Roman" w:cs="Times New Roman" w:eastAsia="Times New Roman" w:hAnsi="Times New Roman"/>
          <w:sz w:val="20"/>
          <w:szCs w:val="20"/>
          <w:color w:val="auto"/>
        </w:rPr>
      </w:pPr>
    </w:p>
    <w:p>
      <w:pPr>
        <w:jc w:val="both"/>
        <w:ind w:firstLine="1304"/>
        <w:spacing w:after="0" w:line="231" w:lineRule="auto"/>
        <w:tabs>
          <w:tab w:leader="none" w:pos="1708"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Exclusive Duty to the Company</w:t>
      </w:r>
      <w:r>
        <w:rPr>
          <w:rFonts w:ascii="Times New Roman" w:cs="Times New Roman" w:eastAsia="Times New Roman" w:hAnsi="Times New Roman"/>
          <w:sz w:val="20"/>
          <w:szCs w:val="20"/>
          <w:color w:val="auto"/>
        </w:rPr>
        <w:t xml:space="preserve">. The Managers shall devote as much of their time to the affairs of the Company as in the judgment of the Managers the conduct of the Company’s business shall reasonably require, and the Managers shall not be obligated to do or perform any act or thing in connection with the business of the Company not expressly set forth herein. Subject to </w:t>
      </w:r>
      <w:r>
        <w:rPr>
          <w:rFonts w:ascii="Times New Roman" w:cs="Times New Roman" w:eastAsia="Times New Roman" w:hAnsi="Times New Roman"/>
          <w:sz w:val="20"/>
          <w:szCs w:val="20"/>
          <w:u w:val="single" w:color="auto"/>
          <w:color w:val="auto"/>
        </w:rPr>
        <w:t>Section 7.4(f)</w:t>
      </w:r>
      <w:r>
        <w:rPr>
          <w:rFonts w:ascii="Times New Roman" w:cs="Times New Roman" w:eastAsia="Times New Roman" w:hAnsi="Times New Roman"/>
          <w:sz w:val="20"/>
          <w:szCs w:val="20"/>
          <w:color w:val="auto"/>
        </w:rPr>
        <w:t xml:space="preserve"> in the case of any Figure Manager, nothing contained in this Agreement shall be deemed to preclude the Managers from engaging directly or indirectly in any other business or from directly or indirectly purchasing, selling, holding or otherwise dealing with any securities or assets for the account of any such other business, for its own accounts or for other clients. No Member shall, by reason of being a Member, have any right to participate in any manner in any profits or income earned, derived by or accruing to the Managers from the conduct of any business other than the business of the Company (to the extent provided herein) or from any transaction in securities or assets effected by the Managers for any account other than that of the Company.</w:t>
      </w:r>
    </w:p>
    <w:p>
      <w:pPr>
        <w:spacing w:after="0" w:line="140" w:lineRule="exact"/>
        <w:rPr>
          <w:rFonts w:ascii="Times New Roman" w:cs="Times New Roman" w:eastAsia="Times New Roman" w:hAnsi="Times New Roman"/>
          <w:sz w:val="20"/>
          <w:szCs w:val="20"/>
          <w:color w:val="auto"/>
        </w:rPr>
      </w:pPr>
    </w:p>
    <w:p>
      <w:pPr>
        <w:jc w:val="both"/>
        <w:ind w:firstLine="1304"/>
        <w:spacing w:after="0" w:line="239" w:lineRule="auto"/>
        <w:tabs>
          <w:tab w:leader="none" w:pos="1762"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Minutes</w:t>
      </w:r>
      <w:r>
        <w:rPr>
          <w:rFonts w:ascii="Times New Roman" w:cs="Times New Roman" w:eastAsia="Times New Roman" w:hAnsi="Times New Roman"/>
          <w:sz w:val="20"/>
          <w:szCs w:val="20"/>
          <w:color w:val="auto"/>
        </w:rPr>
        <w:t xml:space="preserve">. Minutes and/or resolutions of the Board when initialed or signed or otherwise approved in writing (which approval may be given by email without physical execution), in each case by the Managers entitled to approve such matter in accordance with the terms of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shall be binding and conclusive evidence of the decisions reflected therein and any authorizations granted thereby.</w:t>
      </w:r>
    </w:p>
    <w:p>
      <w:pPr>
        <w:spacing w:after="0" w:line="136" w:lineRule="exact"/>
        <w:rPr>
          <w:rFonts w:ascii="Times New Roman" w:cs="Times New Roman" w:eastAsia="Times New Roman" w:hAnsi="Times New Roman"/>
          <w:sz w:val="20"/>
          <w:szCs w:val="20"/>
          <w:color w:val="auto"/>
        </w:rPr>
      </w:pPr>
    </w:p>
    <w:p>
      <w:pPr>
        <w:ind w:firstLine="1304"/>
        <w:spacing w:after="0" w:line="255" w:lineRule="auto"/>
        <w:tabs>
          <w:tab w:leader="none" w:pos="1738"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of Office as Manager</w:t>
      </w:r>
      <w:r>
        <w:rPr>
          <w:rFonts w:ascii="Times New Roman" w:cs="Times New Roman" w:eastAsia="Times New Roman" w:hAnsi="Times New Roman"/>
          <w:sz w:val="20"/>
          <w:szCs w:val="20"/>
          <w:color w:val="auto"/>
        </w:rPr>
        <w:t xml:space="preserve">. Each Manager shall serve until the earlier of (i) his or her successor is duly appointed and qualified or (ii) such Manager’s death or disability, resignation or removal in accordance with </w:t>
      </w:r>
      <w:r>
        <w:rPr>
          <w:rFonts w:ascii="Times New Roman" w:cs="Times New Roman" w:eastAsia="Times New Roman" w:hAnsi="Times New Roman"/>
          <w:sz w:val="20"/>
          <w:szCs w:val="20"/>
          <w:u w:val="single" w:color="auto"/>
          <w:color w:val="auto"/>
        </w:rPr>
        <w:t>Section 8.8(b)</w:t>
      </w:r>
      <w:r>
        <w:rPr>
          <w:rFonts w:ascii="Times New Roman" w:cs="Times New Roman" w:eastAsia="Times New Roman" w:hAnsi="Times New Roman"/>
          <w:sz w:val="20"/>
          <w:szCs w:val="20"/>
          <w:color w:val="auto"/>
        </w:rPr>
        <w:t>.</w:t>
      </w:r>
    </w:p>
    <w:p>
      <w:pPr>
        <w:spacing w:after="0" w:line="128"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8.2</w:t>
        <w:tab/>
        <w:t>Authority of Administrative Member</w:t>
      </w:r>
      <w:r>
        <w:rPr>
          <w:rFonts w:ascii="Times New Roman" w:cs="Times New Roman" w:eastAsia="Times New Roman" w:hAnsi="Times New Roman"/>
          <w:sz w:val="20"/>
          <w:szCs w:val="20"/>
          <w:color w:val="auto"/>
        </w:rPr>
        <w:t>. Subject to the terms of this Agreement, including, without limitation,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and the limitations imposed by applicable law:</w:t>
      </w:r>
    </w:p>
    <w:p>
      <w:pPr>
        <w:spacing w:after="0" w:line="140" w:lineRule="exact"/>
        <w:rPr>
          <w:sz w:val="20"/>
          <w:szCs w:val="20"/>
          <w:color w:val="auto"/>
        </w:rPr>
      </w:pPr>
    </w:p>
    <w:p>
      <w:pPr>
        <w:ind w:firstLine="1304"/>
        <w:spacing w:after="0" w:line="255" w:lineRule="auto"/>
        <w:tabs>
          <w:tab w:leader="none" w:pos="1753"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Member shall have all of the same powers as, but not the duties of, a general partner of a general partnership under the laws of the State of Delaware:</w:t>
      </w:r>
    </w:p>
    <w:p>
      <w:pPr>
        <w:spacing w:after="0" w:line="132" w:lineRule="exact"/>
        <w:rPr>
          <w:rFonts w:ascii="Times New Roman" w:cs="Times New Roman" w:eastAsia="Times New Roman" w:hAnsi="Times New Roman"/>
          <w:sz w:val="20"/>
          <w:szCs w:val="20"/>
          <w:color w:val="auto"/>
        </w:rPr>
      </w:pPr>
    </w:p>
    <w:p>
      <w:pPr>
        <w:ind w:left="2340" w:hanging="388"/>
        <w:spacing w:after="0"/>
        <w:tabs>
          <w:tab w:leader="none" w:pos="2340"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including, without limitation, the full power and authority to do the following on behalf of the Company:</w:t>
      </w:r>
    </w:p>
    <w:p>
      <w:pPr>
        <w:spacing w:after="0" w:line="161" w:lineRule="exact"/>
        <w:rPr>
          <w:rFonts w:ascii="Times New Roman" w:cs="Times New Roman" w:eastAsia="Times New Roman" w:hAnsi="Times New Roman"/>
          <w:sz w:val="20"/>
          <w:szCs w:val="20"/>
          <w:color w:val="auto"/>
        </w:rPr>
      </w:pPr>
    </w:p>
    <w:p>
      <w:pPr>
        <w:jc w:val="both"/>
        <w:ind w:firstLine="1952"/>
        <w:spacing w:after="0"/>
        <w:tabs>
          <w:tab w:leader="none" w:pos="2425"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acquire, hold, operate, sell, transfer, assign, convey, exchange, lease, sublease, mortgage or otherwise dispose of or deal with all or any part of Company property (provided, that Administrative Member shall have the right to delegate its duties to an Affiliate under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jc w:val="both"/>
        <w:ind w:firstLine="1952"/>
        <w:spacing w:after="0"/>
        <w:tabs>
          <w:tab w:leader="none" w:pos="2510"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furtherance of the Company’s purposes and business, borrow money, whether on a secured or unsecured basis, refinance, recast, modify, amend, extend, compromise or otherwise deal with any such loan, and in connection therewith, issue evidences of indebtedness and secure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13" w:right="339"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20"/>
          <w:szCs w:val="20"/>
          <w:color w:val="auto"/>
        </w:rPr>
        <w:t>the same by mortgages, deeds of trust, security agreements or other similar documents affecting the assets of the Company;</w:t>
      </w:r>
    </w:p>
    <w:p>
      <w:pPr>
        <w:spacing w:after="0" w:line="175" w:lineRule="exact"/>
        <w:rPr>
          <w:sz w:val="20"/>
          <w:szCs w:val="20"/>
          <w:color w:val="auto"/>
        </w:rPr>
      </w:pPr>
    </w:p>
    <w:p>
      <w:pPr>
        <w:ind w:firstLine="1952"/>
        <w:spacing w:after="0" w:line="269" w:lineRule="auto"/>
        <w:tabs>
          <w:tab w:leader="none" w:pos="2484"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 other persons to execute and deliver such documents on behalf of the Company as the Board may deem necessary or desirable for the Company’s business, including, without limitation, guarantees and indemnities;</w:t>
      </w:r>
    </w:p>
    <w:p>
      <w:pPr>
        <w:spacing w:after="0" w:line="118" w:lineRule="exact"/>
        <w:rPr>
          <w:rFonts w:ascii="Times New Roman" w:cs="Times New Roman" w:eastAsia="Times New Roman" w:hAnsi="Times New Roman"/>
          <w:sz w:val="20"/>
          <w:szCs w:val="20"/>
          <w:color w:val="auto"/>
        </w:rPr>
      </w:pPr>
    </w:p>
    <w:p>
      <w:pPr>
        <w:ind w:left="2520" w:hanging="568"/>
        <w:spacing w:after="0"/>
        <w:tabs>
          <w:tab w:leader="none" w:pos="2520"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 or cause to be performed, all of the Company’s obligations under any agreement to which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is a party;</w:t>
      </w:r>
    </w:p>
    <w:p>
      <w:pPr>
        <w:spacing w:after="0" w:line="153" w:lineRule="exact"/>
        <w:rPr>
          <w:rFonts w:ascii="Times New Roman" w:cs="Times New Roman" w:eastAsia="Times New Roman" w:hAnsi="Times New Roman"/>
          <w:sz w:val="20"/>
          <w:szCs w:val="20"/>
          <w:color w:val="auto"/>
        </w:rPr>
      </w:pPr>
    </w:p>
    <w:p>
      <w:pPr>
        <w:ind w:left="2440" w:hanging="488"/>
        <w:spacing w:after="0"/>
        <w:tabs>
          <w:tab w:leader="none" w:pos="2440"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opening bank accounts for the Company;</w:t>
      </w:r>
    </w:p>
    <w:p>
      <w:pPr>
        <w:spacing w:after="0" w:line="175" w:lineRule="exact"/>
        <w:rPr>
          <w:rFonts w:ascii="Times New Roman" w:cs="Times New Roman" w:eastAsia="Times New Roman" w:hAnsi="Times New Roman"/>
          <w:sz w:val="20"/>
          <w:szCs w:val="20"/>
          <w:color w:val="auto"/>
        </w:rPr>
      </w:pPr>
    </w:p>
    <w:p>
      <w:pPr>
        <w:ind w:firstLine="1952"/>
        <w:spacing w:after="0" w:line="269" w:lineRule="auto"/>
        <w:tabs>
          <w:tab w:leader="none" w:pos="2519"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contracts on behalf of the Company and make expenditures as are required to operate and manage the Company and the Company Properties; and</w:t>
      </w:r>
    </w:p>
    <w:p>
      <w:pPr>
        <w:spacing w:after="0" w:line="132" w:lineRule="exact"/>
        <w:rPr>
          <w:rFonts w:ascii="Times New Roman" w:cs="Times New Roman" w:eastAsia="Times New Roman" w:hAnsi="Times New Roman"/>
          <w:sz w:val="20"/>
          <w:szCs w:val="20"/>
          <w:color w:val="auto"/>
        </w:rPr>
      </w:pPr>
    </w:p>
    <w:p>
      <w:pPr>
        <w:ind w:left="2540" w:hanging="588"/>
        <w:spacing w:after="0"/>
        <w:tabs>
          <w:tab w:leader="none" w:pos="2540"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any act which is necessary or desirable to carry out any of the purposes of the Company.</w:t>
      </w:r>
    </w:p>
    <w:p>
      <w:pPr>
        <w:spacing w:after="0" w:line="175" w:lineRule="exact"/>
        <w:rPr>
          <w:rFonts w:ascii="Times New Roman" w:cs="Times New Roman" w:eastAsia="Times New Roman" w:hAnsi="Times New Roman"/>
          <w:sz w:val="20"/>
          <w:szCs w:val="20"/>
          <w:color w:val="auto"/>
        </w:rPr>
      </w:pPr>
    </w:p>
    <w:p>
      <w:pPr>
        <w:jc w:val="both"/>
        <w:ind w:firstLine="1304"/>
        <w:spacing w:after="0" w:line="243" w:lineRule="auto"/>
        <w:tabs>
          <w:tab w:leader="none" w:pos="1805"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generality of </w:t>
      </w:r>
      <w:r>
        <w:rPr>
          <w:rFonts w:ascii="Times New Roman" w:cs="Times New Roman" w:eastAsia="Times New Roman" w:hAnsi="Times New Roman"/>
          <w:sz w:val="20"/>
          <w:szCs w:val="20"/>
          <w:u w:val="single" w:color="auto"/>
          <w:color w:val="auto"/>
        </w:rPr>
        <w:t>Section 8.2(a)(i)</w:t>
      </w:r>
      <w:r>
        <w:rPr>
          <w:rFonts w:ascii="Times New Roman" w:cs="Times New Roman" w:eastAsia="Times New Roman" w:hAnsi="Times New Roman"/>
          <w:sz w:val="20"/>
          <w:szCs w:val="20"/>
          <w:color w:val="auto"/>
        </w:rPr>
        <w:t>, Administrative Member shall be responsible for performing, or causing to be performed, and shall have the sole and exclusive authority to perform the Services in accordance with this Agreement (whether on behalf of the Company or any Subsidiary), at the Company’s expense and to the extent of available funds, and in accordance with the Company Budget (including, for the avoidance of doubt, the permitted variance and amounts for Non- Discretionary Expenses set forth in the definition thereof) and the terms of this Agreement, and subject to the foregoing, shall:</w:t>
      </w:r>
    </w:p>
    <w:p>
      <w:pPr>
        <w:spacing w:after="0" w:line="145" w:lineRule="exact"/>
        <w:rPr>
          <w:rFonts w:ascii="Times New Roman" w:cs="Times New Roman" w:eastAsia="Times New Roman" w:hAnsi="Times New Roman"/>
          <w:sz w:val="20"/>
          <w:szCs w:val="20"/>
          <w:color w:val="auto"/>
        </w:rPr>
      </w:pPr>
    </w:p>
    <w:p>
      <w:pPr>
        <w:ind w:firstLine="1952"/>
        <w:spacing w:after="0" w:line="269" w:lineRule="auto"/>
        <w:tabs>
          <w:tab w:leader="none" w:pos="2364"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the business of the Company on a day-to-day basis, including making distributions to the Members in accordance with this Agreement;</w:t>
      </w:r>
    </w:p>
    <w:p>
      <w:pPr>
        <w:spacing w:after="0" w:line="118" w:lineRule="exact"/>
        <w:rPr>
          <w:rFonts w:ascii="Times New Roman" w:cs="Times New Roman" w:eastAsia="Times New Roman" w:hAnsi="Times New Roman"/>
          <w:sz w:val="20"/>
          <w:szCs w:val="20"/>
          <w:color w:val="auto"/>
        </w:rPr>
      </w:pPr>
    </w:p>
    <w:p>
      <w:pPr>
        <w:jc w:val="both"/>
        <w:ind w:firstLine="1952"/>
        <w:spacing w:after="0" w:line="254" w:lineRule="auto"/>
        <w:tabs>
          <w:tab w:leader="none" w:pos="2476"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retain any Affiliate Service Provider, or another Person (subject to the provisions of </w:t>
      </w:r>
      <w:r>
        <w:rPr>
          <w:rFonts w:ascii="Times New Roman" w:cs="Times New Roman" w:eastAsia="Times New Roman" w:hAnsi="Times New Roman"/>
          <w:sz w:val="20"/>
          <w:szCs w:val="20"/>
          <w:u w:val="single" w:color="auto"/>
          <w:color w:val="auto"/>
        </w:rPr>
        <w:t>Section 8.1(f)</w:t>
      </w:r>
      <w:r>
        <w:rPr>
          <w:rFonts w:ascii="Times New Roman" w:cs="Times New Roman" w:eastAsia="Times New Roman" w:hAnsi="Times New Roman"/>
          <w:sz w:val="20"/>
          <w:szCs w:val="20"/>
          <w:color w:val="auto"/>
        </w:rPr>
        <w:t xml:space="preserve"> and the approval of the Members as a Fundamental Decision with respect to Affiliate Service Providers and the Affiliate Agreements), to perform the responsibilities and obligations of Administrative Member for the Company and/or the applicable Subsidiary;</w:t>
      </w:r>
    </w:p>
    <w:p>
      <w:pPr>
        <w:spacing w:after="0" w:line="133" w:lineRule="exact"/>
        <w:rPr>
          <w:rFonts w:ascii="Times New Roman" w:cs="Times New Roman" w:eastAsia="Times New Roman" w:hAnsi="Times New Roman"/>
          <w:sz w:val="20"/>
          <w:szCs w:val="20"/>
          <w:color w:val="auto"/>
        </w:rPr>
      </w:pPr>
    </w:p>
    <w:p>
      <w:pPr>
        <w:ind w:left="2440" w:hanging="488"/>
        <w:spacing w:after="0"/>
        <w:tabs>
          <w:tab w:leader="none" w:pos="2440"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carry out and implement all decisions and resolutions of the Board and/or the Members.</w:t>
      </w:r>
    </w:p>
    <w:p>
      <w:pPr>
        <w:spacing w:after="0" w:line="175" w:lineRule="exact"/>
        <w:rPr>
          <w:rFonts w:ascii="Times New Roman" w:cs="Times New Roman" w:eastAsia="Times New Roman" w:hAnsi="Times New Roman"/>
          <w:sz w:val="20"/>
          <w:szCs w:val="20"/>
          <w:color w:val="auto"/>
        </w:rPr>
      </w:pPr>
    </w:p>
    <w:p>
      <w:pPr>
        <w:jc w:val="both"/>
        <w:ind w:firstLine="1304"/>
        <w:spacing w:after="0" w:line="241" w:lineRule="auto"/>
        <w:tabs>
          <w:tab w:leader="none" w:pos="1748"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obtaining the approval of the Board as to any matter which is a Material Decision and the approval of each Member as to any matter which is a Fundamental Decision, as applicable, and notwithstanding anything in this Agreement to the contrary, Administrative Member shall not take or implement any Material Decisions or Fundamental Decisions, without the prior written consent of, and pursuant to and in accordance with written instructions (“</w:t>
      </w:r>
      <w:r>
        <w:rPr>
          <w:rFonts w:ascii="Times New Roman" w:cs="Times New Roman" w:eastAsia="Times New Roman" w:hAnsi="Times New Roman"/>
          <w:sz w:val="20"/>
          <w:szCs w:val="20"/>
          <w:b w:val="1"/>
          <w:bCs w:val="1"/>
          <w:color w:val="auto"/>
        </w:rPr>
        <w:t>Instructions</w:t>
      </w:r>
      <w:r>
        <w:rPr>
          <w:rFonts w:ascii="Times New Roman" w:cs="Times New Roman" w:eastAsia="Times New Roman" w:hAnsi="Times New Roman"/>
          <w:sz w:val="20"/>
          <w:szCs w:val="20"/>
          <w:color w:val="auto"/>
        </w:rPr>
        <w:t xml:space="preserve">”) from the Managers authorized to approve such Material Decision or the Members with respect to Fundamental Decision in accordance with the terms of this Agreement, which Instructions may be in the form or minutes of a meeting of the Board approved by the Managers or the Members, as applicable (which approval may be given by email without physical execution) or a written consent of the Board or the Members, as applicable (which may be given by email without physical execution), in each case, in accordance with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w:t>
      </w:r>
    </w:p>
    <w:p>
      <w:pPr>
        <w:spacing w:after="0" w:line="164" w:lineRule="exact"/>
        <w:rPr>
          <w:rFonts w:ascii="Times New Roman" w:cs="Times New Roman" w:eastAsia="Times New Roman" w:hAnsi="Times New Roman"/>
          <w:sz w:val="20"/>
          <w:szCs w:val="20"/>
          <w:color w:val="auto"/>
        </w:rPr>
      </w:pPr>
    </w:p>
    <w:p>
      <w:pPr>
        <w:jc w:val="both"/>
        <w:ind w:firstLine="1304"/>
        <w:spacing w:after="0" w:line="247" w:lineRule="auto"/>
        <w:tabs>
          <w:tab w:leader="none" w:pos="1954"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limitations set forth in this Agreement and the guidelines reasonably adopted by the Board, Administrative Member, on behalf of the Company, shall have the power and authority to enter into contracts on behalf of the Company in accordance with the current Company Budget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13" w:right="339" w:bottom="1440" w:gutter="0" w:footer="0" w:header="0"/>
        </w:sectPr>
      </w:pPr>
    </w:p>
    <w:bookmarkStart w:id="408" w:name="page409"/>
    <w:bookmarkEnd w:id="408"/>
    <w:p>
      <w:pPr>
        <w:jc w:val="both"/>
        <w:spacing w:after="0" w:line="250" w:lineRule="auto"/>
        <w:rPr>
          <w:sz w:val="20"/>
          <w:szCs w:val="20"/>
          <w:color w:val="auto"/>
        </w:rPr>
      </w:pPr>
      <w:r>
        <w:rPr>
          <w:rFonts w:ascii="Times New Roman" w:cs="Times New Roman" w:eastAsia="Times New Roman" w:hAnsi="Times New Roman"/>
          <w:sz w:val="20"/>
          <w:szCs w:val="20"/>
          <w:color w:val="auto"/>
        </w:rPr>
        <w:t>approved by the Board (including, for the avoidance of doubt, the permitted variance and provided, that, notwithstanding anything to the contrary set forth herein, Administrative Manager shall in any event have the right and authority to cause the Company to pay the actual amount Company Expenses which are Non- Discretionary Expenses, to the extent there is a line item for such Non-Discretionary Expenses included in the then applicable Company Budget), to make expenditures as are required to implement the foregoing, but only to the extent that any such expenditures and amounts required to be paid by the Company under such contracts and other instruments and documents have either been approved by the Board, or are not in excess of the amount set forth in the then current Company Budget for such expenditure or budget category (including, for the avoidance of doubt, the permitted variance) or are Non-Discretionary Expenses (and then only to the extent there is a line item for such Non-Discretionary Expense included in the then applicable Company Budget), or to the extent such amounts constitute Fundamental Decisions, are otherwise approved by the Members. Except as expressly set forth in any agreement entered into in accordance with this Agreement, neither Administrative Member nor any of its Related Parties shall be entitled to receive any fees or other compensation in respect of its activities as Administrative Member. For the avoidance of doubt, Administrative Member will not receive reimbursement for (i) compensation payable to any of its employees or other direct or indirect overhead which may be attributable to the performance of its duties as Administrative Member, or (ii) any fees, costs and expenses which are a result of the Administrative Member’s gross negligence or willful misconduct.</w:t>
      </w:r>
    </w:p>
    <w:p>
      <w:pPr>
        <w:spacing w:after="0" w:line="156" w:lineRule="exact"/>
        <w:rPr>
          <w:sz w:val="20"/>
          <w:szCs w:val="20"/>
          <w:color w:val="auto"/>
        </w:rPr>
      </w:pPr>
    </w:p>
    <w:p>
      <w:pPr>
        <w:jc w:val="both"/>
        <w:ind w:firstLine="1304"/>
        <w:spacing w:after="0" w:line="250" w:lineRule="auto"/>
        <w:tabs>
          <w:tab w:leader="none" w:pos="1703"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Administrative Member agrees that the Services shall be performed, and such rights shall be exercised, and it shall carry out and implement all decisions and resolutions of the Board and/or the Members in accordance (i) with all applicable governmental authorizations and applicable laws and regulations in all material respects, (ii) the standard of care exercised by prudent and experienced professionals performing similar functions, in accordance with customary industry standards and in a good faith manner, and (iii) with the terms and conditions of this Agreement (including without limitation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the governing documents of any Subsidiary of the Company, and any Basic Document or any other contract or agreement to which the Company or any of its Subsidiaries is bound (the “</w:t>
      </w:r>
      <w:r>
        <w:rPr>
          <w:rFonts w:ascii="Times New Roman" w:cs="Times New Roman" w:eastAsia="Times New Roman" w:hAnsi="Times New Roman"/>
          <w:sz w:val="20"/>
          <w:szCs w:val="20"/>
          <w:b w:val="1"/>
          <w:bCs w:val="1"/>
          <w:color w:val="auto"/>
        </w:rPr>
        <w:t>Management Standard</w:t>
      </w:r>
      <w:r>
        <w:rPr>
          <w:rFonts w:ascii="Times New Roman" w:cs="Times New Roman" w:eastAsia="Times New Roman" w:hAnsi="Times New Roman"/>
          <w:sz w:val="20"/>
          <w:szCs w:val="20"/>
          <w:color w:val="auto"/>
        </w:rPr>
        <w:t xml:space="preserve">”). Administrative Member further acknowledges and agrees to the limitations on the powers and authority of the Company and the Board, set forth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of this Agreement. Notwithstanding anything in this Agreement or otherwise to the contrary, Administrative Member shall perform all of its duties and obligations under this Agreement and with respect to any Company Assets in accordance with the Management Standard, and shall devote sufficient time and resources to perform diligently its responsibilities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notwithstanding anything herein to the contrary, Administrative Member shall have no liability and shall not be deemed to be in breach hereunder for any act or omission taken in good faith, to the extent such act or omission was (i) consistent with prevailing industry practices or custom or (ii) consistent with advice of counsel.</w:t>
      </w:r>
    </w:p>
    <w:p>
      <w:pPr>
        <w:spacing w:after="0" w:line="15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818"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Administrative Member hereby expressly disclaims, and Administrative Member shall in no event be deemed to have, any fiduciary duties or obligations to the Company, any Subsidiary or any other Member in connection with the performance of the Services (except to the extent otherwise required under the Investment Advisers Act solely with respect to investment management decisions), and the Company and the other Members each hereby confirms its understanding and agreement to that effect.</w:t>
      </w:r>
    </w:p>
    <w:p>
      <w:pPr>
        <w:spacing w:after="0" w:line="151" w:lineRule="exact"/>
        <w:rPr>
          <w:rFonts w:ascii="Times New Roman" w:cs="Times New Roman" w:eastAsia="Times New Roman" w:hAnsi="Times New Roman"/>
          <w:sz w:val="20"/>
          <w:szCs w:val="20"/>
          <w:color w:val="auto"/>
        </w:rPr>
      </w:pPr>
    </w:p>
    <w:p>
      <w:pPr>
        <w:ind w:firstLine="1304"/>
        <w:spacing w:after="0" w:line="283" w:lineRule="auto"/>
        <w:tabs>
          <w:tab w:leader="none" w:pos="1838"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set forth herein, there shall be no restriction on any Sixth Street Person charging and receiving a syndication fee from any Member other than Figure or any Affiliate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13" w:right="339" w:bottom="1440" w:gutter="0" w:footer="0" w:header="0"/>
        </w:sectPr>
      </w:pPr>
    </w:p>
    <w:bookmarkStart w:id="409" w:name="page410"/>
    <w:bookmarkEnd w:id="409"/>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8.3</w:t>
      </w:r>
      <w:r>
        <w:rPr>
          <w:sz w:val="20"/>
          <w:szCs w:val="20"/>
          <w:color w:val="auto"/>
        </w:rPr>
        <w:tab/>
      </w:r>
      <w:r>
        <w:rPr>
          <w:rFonts w:ascii="Times New Roman" w:cs="Times New Roman" w:eastAsia="Times New Roman" w:hAnsi="Times New Roman"/>
          <w:sz w:val="19"/>
          <w:szCs w:val="19"/>
          <w:b w:val="1"/>
          <w:bCs w:val="1"/>
          <w:color w:val="auto"/>
        </w:rPr>
        <w:t>Limitations on Administrative Member.</w:t>
      </w:r>
    </w:p>
    <w:p>
      <w:pPr>
        <w:spacing w:after="0" w:line="166" w:lineRule="exact"/>
        <w:rPr>
          <w:sz w:val="20"/>
          <w:szCs w:val="20"/>
          <w:color w:val="auto"/>
        </w:rPr>
      </w:pPr>
    </w:p>
    <w:p>
      <w:pPr>
        <w:jc w:val="both"/>
        <w:ind w:firstLine="1304"/>
        <w:spacing w:after="0" w:line="239" w:lineRule="auto"/>
        <w:tabs>
          <w:tab w:leader="none" w:pos="1578"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Material Decisions</w:t>
      </w:r>
      <w:r>
        <w:rPr>
          <w:rFonts w:ascii="Times New Roman" w:cs="Times New Roman" w:eastAsia="Times New Roman" w:hAnsi="Times New Roman"/>
          <w:sz w:val="20"/>
          <w:szCs w:val="20"/>
          <w:color w:val="auto"/>
        </w:rPr>
        <w:t xml:space="preserve">. Notwithstanding anything to the contrary contained this Agreement, any Basic Document, or any other agreement to which the Company or any of its Subsidiaries is a party, but subject to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Administrative Member shall not cause the Company or any Subsidiary to take any of the following actions, or enter into any agreement to take any of the following actions (“</w:t>
      </w:r>
      <w:r>
        <w:rPr>
          <w:rFonts w:ascii="Times New Roman" w:cs="Times New Roman" w:eastAsia="Times New Roman" w:hAnsi="Times New Roman"/>
          <w:sz w:val="20"/>
          <w:szCs w:val="20"/>
          <w:b w:val="1"/>
          <w:bCs w:val="1"/>
          <w:color w:val="auto"/>
        </w:rPr>
        <w:t>Material Decisions</w:t>
      </w:r>
      <w:r>
        <w:rPr>
          <w:rFonts w:ascii="Times New Roman" w:cs="Times New Roman" w:eastAsia="Times New Roman" w:hAnsi="Times New Roman"/>
          <w:sz w:val="20"/>
          <w:szCs w:val="20"/>
          <w:color w:val="auto"/>
        </w:rPr>
        <w:t xml:space="preserve">”), without the prior approval of the Board acting in accordance with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w:t>
      </w:r>
    </w:p>
    <w:p>
      <w:pPr>
        <w:spacing w:after="0" w:line="136" w:lineRule="exact"/>
        <w:rPr>
          <w:rFonts w:ascii="Times New Roman" w:cs="Times New Roman" w:eastAsia="Times New Roman" w:hAnsi="Times New Roman"/>
          <w:sz w:val="20"/>
          <w:szCs w:val="20"/>
          <w:color w:val="auto"/>
        </w:rPr>
      </w:pPr>
    </w:p>
    <w:p>
      <w:pPr>
        <w:jc w:val="both"/>
        <w:ind w:firstLine="1952"/>
        <w:spacing w:after="0" w:line="244" w:lineRule="auto"/>
        <w:tabs>
          <w:tab w:leader="none" w:pos="2329" w:val="left"/>
        </w:tabs>
        <w:numPr>
          <w:ilvl w:val="1"/>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(x) form any new Subsidiary or acquiring any direct or indirect equity interest in any Person and (y) causing any Subsidiary to be classified as a REIT and transferring any Company Assets to such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Board or the Members (if a Fundamental Decision), as applicable, is/are unable to agree upon a matter set forth in this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after Reasonable Efforts to Resolve and such matter relates to the formation of a Subsidiary that is intended to be classified as a REIT or causing any Subsidiary to be classified as a REIT, Investor shall have the right to purchase all, but not less than all, of Figure’s Membership Interests pursuant to the procedures for a Bad Act Termination Event Membership Interest Buyout pursuant to </w:t>
      </w:r>
      <w:r>
        <w:rPr>
          <w:rFonts w:ascii="Times New Roman" w:cs="Times New Roman" w:eastAsia="Times New Roman" w:hAnsi="Times New Roman"/>
          <w:sz w:val="19"/>
          <w:szCs w:val="19"/>
          <w:u w:val="single" w:color="auto"/>
          <w:color w:val="auto"/>
        </w:rPr>
        <w:t>Section 4.2(b)</w:t>
      </w:r>
      <w:r>
        <w:rPr>
          <w:rFonts w:ascii="Times New Roman" w:cs="Times New Roman" w:eastAsia="Times New Roman" w:hAnsi="Times New Roman"/>
          <w:sz w:val="19"/>
          <w:szCs w:val="19"/>
          <w:color w:val="auto"/>
        </w:rPr>
        <w:t xml:space="preserve"> (but for the avoidance of doubt, a Bad Act Termination Event shall </w:t>
      </w:r>
      <w:r>
        <w:rPr>
          <w:rFonts w:ascii="Times New Roman" w:cs="Times New Roman" w:eastAsia="Times New Roman" w:hAnsi="Times New Roman"/>
          <w:sz w:val="19"/>
          <w:szCs w:val="19"/>
          <w:b w:val="1"/>
          <w:bCs w:val="1"/>
          <w:u w:val="single" w:color="auto"/>
          <w:color w:val="auto"/>
        </w:rPr>
        <w:t>not</w:t>
      </w:r>
      <w:r>
        <w:rPr>
          <w:rFonts w:ascii="Times New Roman" w:cs="Times New Roman" w:eastAsia="Times New Roman" w:hAnsi="Times New Roman"/>
          <w:sz w:val="19"/>
          <w:szCs w:val="19"/>
          <w:color w:val="auto"/>
        </w:rPr>
        <w:t xml:space="preserve"> be deemed to have occurred with respect to Figure as a result of the failure of the Board to agree upon a matter set forth in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if a decision is made in accordance with this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to form a new Subsidiary to be classified as a REIT or cause an existing Subsidiary to be treated as a REIT, the Members shall use commercially reasonable efforts to cause the Company to engage a third-party advisor or consultant to provide REIT compliance advice and/or reporting services; </w:t>
      </w:r>
      <w:r>
        <w:rPr>
          <w:rFonts w:ascii="Times New Roman" w:cs="Times New Roman" w:eastAsia="Times New Roman" w:hAnsi="Times New Roman"/>
          <w:sz w:val="19"/>
          <w:szCs w:val="19"/>
          <w:b w:val="1"/>
          <w:bCs w:val="1"/>
          <w:color w:val="auto"/>
        </w:rPr>
        <w:t>[Fundamental Decision to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extent relating to forming a new Subsidiary to be classified as a REIT or causing an existing Subsidiary to be treated as a REIT]</w:t>
      </w:r>
    </w:p>
    <w:p>
      <w:pPr>
        <w:spacing w:after="0" w:line="135" w:lineRule="exact"/>
        <w:rPr>
          <w:rFonts w:ascii="Times New Roman" w:cs="Times New Roman" w:eastAsia="Times New Roman" w:hAnsi="Times New Roman"/>
          <w:sz w:val="19"/>
          <w:szCs w:val="19"/>
          <w:color w:val="auto"/>
        </w:rPr>
      </w:pPr>
    </w:p>
    <w:p>
      <w:pPr>
        <w:jc w:val="both"/>
        <w:ind w:firstLine="1952"/>
        <w:spacing w:after="0"/>
        <w:tabs>
          <w:tab w:leader="none" w:pos="2461"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amending the [***] from Figure Standard Production; provided, that if the Board is unable to agree upon a Material Decision set forth in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after Reasonable Efforts to Resolve, such Material Decisi</w:t>
      </w:r>
      <w:r>
        <w:rPr>
          <w:rFonts w:ascii="Times New Roman" w:cs="Times New Roman" w:eastAsia="Times New Roman" w:hAnsi="Times New Roman"/>
          <w:sz w:val="20"/>
          <w:szCs w:val="20"/>
          <w:u w:val="single" w:color="auto"/>
          <w:color w:val="auto"/>
        </w:rPr>
        <w:t>on shall b</w:t>
      </w:r>
      <w:r>
        <w:rPr>
          <w:rFonts w:ascii="Times New Roman" w:cs="Times New Roman" w:eastAsia="Times New Roman" w:hAnsi="Times New Roman"/>
          <w:sz w:val="20"/>
          <w:szCs w:val="20"/>
          <w:color w:val="auto"/>
        </w:rPr>
        <w:t>e determined by the SSP Managers [***];**</w:t>
      </w:r>
    </w:p>
    <w:p>
      <w:pPr>
        <w:spacing w:after="0" w:line="143" w:lineRule="exact"/>
        <w:rPr>
          <w:rFonts w:ascii="Times New Roman" w:cs="Times New Roman" w:eastAsia="Times New Roman" w:hAnsi="Times New Roman"/>
          <w:sz w:val="20"/>
          <w:szCs w:val="20"/>
          <w:color w:val="auto"/>
        </w:rPr>
      </w:pPr>
    </w:p>
    <w:p>
      <w:pPr>
        <w:ind w:left="2440" w:hanging="488"/>
        <w:spacing w:after="0"/>
        <w:tabs>
          <w:tab w:leader="none" w:pos="2440"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adjusting the Preferred Hurdle Rate </w:t>
      </w:r>
      <w:r>
        <w:rPr>
          <w:rFonts w:ascii="Times New Roman" w:cs="Times New Roman" w:eastAsia="Times New Roman" w:hAnsi="Times New Roman"/>
          <w:sz w:val="20"/>
          <w:szCs w:val="20"/>
          <w:b w:val="1"/>
          <w:bCs w:val="1"/>
          <w:color w:val="auto"/>
        </w:rPr>
        <w:t>[Fundamental Decision]</w:t>
      </w:r>
      <w:r>
        <w:rPr>
          <w:rFonts w:ascii="Times New Roman" w:cs="Times New Roman" w:eastAsia="Times New Roman" w:hAnsi="Times New Roman"/>
          <w:sz w:val="20"/>
          <w:szCs w:val="20"/>
          <w:color w:val="auto"/>
        </w:rPr>
        <w:t>;</w:t>
      </w:r>
    </w:p>
    <w:p>
      <w:pPr>
        <w:spacing w:after="0" w:line="165" w:lineRule="exact"/>
        <w:rPr>
          <w:rFonts w:ascii="Times New Roman" w:cs="Times New Roman" w:eastAsia="Times New Roman" w:hAnsi="Times New Roman"/>
          <w:sz w:val="20"/>
          <w:szCs w:val="20"/>
          <w:color w:val="auto"/>
        </w:rPr>
      </w:pPr>
    </w:p>
    <w:p>
      <w:pPr>
        <w:jc w:val="both"/>
        <w:ind w:firstLine="1952"/>
        <w:spacing w:after="0" w:line="235" w:lineRule="auto"/>
        <w:tabs>
          <w:tab w:leader="none" w:pos="2479"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(x) determining inputs for the [***], including the [***], for any TBA/Committed ABS; and (y) committing the Company to a TBA/Committed ABS and agreement on any Forward Sale documentation;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(A) in no event shall the Company or any Subsidiary commit to a TBA/Committed ABS or enter into an agreement therefor before the Board has agreed on the matters set forth in </w:t>
      </w:r>
      <w:r>
        <w:rPr>
          <w:rFonts w:ascii="Times New Roman" w:cs="Times New Roman" w:eastAsia="Times New Roman" w:hAnsi="Times New Roman"/>
          <w:sz w:val="20"/>
          <w:szCs w:val="20"/>
          <w:u w:val="single" w:color="auto"/>
          <w:color w:val="auto"/>
        </w:rPr>
        <w:t>clause (iv)(x)</w:t>
      </w:r>
      <w:r>
        <w:rPr>
          <w:rFonts w:ascii="Times New Roman" w:cs="Times New Roman" w:eastAsia="Times New Roman" w:hAnsi="Times New Roman"/>
          <w:sz w:val="20"/>
          <w:szCs w:val="20"/>
          <w:color w:val="auto"/>
        </w:rPr>
        <w:t xml:space="preserve"> above and (B) once the Company or any Subsidiary has committed to a to a TBA/Committed ABS or entered into an agreement therefor, the matters set forth in </w:t>
      </w:r>
      <w:r>
        <w:rPr>
          <w:rFonts w:ascii="Times New Roman" w:cs="Times New Roman" w:eastAsia="Times New Roman" w:hAnsi="Times New Roman"/>
          <w:sz w:val="20"/>
          <w:szCs w:val="20"/>
          <w:u w:val="single" w:color="auto"/>
          <w:color w:val="auto"/>
        </w:rPr>
        <w:t>clause (iv)(x)</w:t>
      </w:r>
      <w:r>
        <w:rPr>
          <w:rFonts w:ascii="Times New Roman" w:cs="Times New Roman" w:eastAsia="Times New Roman" w:hAnsi="Times New Roman"/>
          <w:sz w:val="20"/>
          <w:szCs w:val="20"/>
          <w:color w:val="auto"/>
        </w:rPr>
        <w:t xml:space="preserve"> based on which such commitment was made may not thereafter be modified;</w:t>
      </w:r>
    </w:p>
    <w:p>
      <w:pPr>
        <w:spacing w:after="0" w:line="133" w:lineRule="exact"/>
        <w:rPr>
          <w:rFonts w:ascii="Times New Roman" w:cs="Times New Roman" w:eastAsia="Times New Roman" w:hAnsi="Times New Roman"/>
          <w:sz w:val="20"/>
          <w:szCs w:val="20"/>
          <w:color w:val="auto"/>
        </w:rPr>
      </w:pPr>
    </w:p>
    <w:p>
      <w:pPr>
        <w:jc w:val="both"/>
        <w:ind w:firstLine="1952"/>
        <w:spacing w:after="0"/>
        <w:tabs>
          <w:tab w:leader="none" w:pos="2435"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entering into any agreement for interest rate risk management;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Board is unable to agree upon a Material Decision set forth in this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xml:space="preserve"> after Reasonable Efforts to Resolve, such Material Decision shall be determined by the SSP Managers;**</w:t>
      </w:r>
    </w:p>
    <w:p>
      <w:pPr>
        <w:spacing w:after="0" w:line="147" w:lineRule="exact"/>
        <w:rPr>
          <w:rFonts w:ascii="Times New Roman" w:cs="Times New Roman" w:eastAsia="Times New Roman" w:hAnsi="Times New Roman"/>
          <w:sz w:val="20"/>
          <w:szCs w:val="20"/>
          <w:color w:val="auto"/>
        </w:rPr>
      </w:pPr>
    </w:p>
    <w:p>
      <w:pPr>
        <w:jc w:val="both"/>
        <w:ind w:firstLine="1952"/>
        <w:spacing w:after="0" w:line="236" w:lineRule="auto"/>
        <w:tabs>
          <w:tab w:leader="none" w:pos="2461"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exercising any Call Options;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after Reasonable Efforts to Resolve, the Board or the Members (if a Fundamental Decision), as applicable, is/are unable to agree upon the exercise of any Call Option and either the SSP Managers or the Figure Managers have approved the exercise of such Call Option, the Member appointing the Managers in favor of exercising such Call Option shall have the right to cause the Company to assign such Call Option at its fair market value to such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09" w:right="339" w:bottom="1440" w:gutter="0" w:footer="0" w:header="0"/>
        </w:sectPr>
      </w:pPr>
    </w:p>
    <w:bookmarkStart w:id="410" w:name="page411"/>
    <w:bookmarkEnd w:id="410"/>
    <w:p>
      <w:pPr>
        <w:spacing w:after="0" w:line="273" w:lineRule="auto"/>
        <w:rPr>
          <w:sz w:val="20"/>
          <w:szCs w:val="20"/>
          <w:color w:val="auto"/>
        </w:rPr>
      </w:pPr>
      <w:r>
        <w:rPr>
          <w:rFonts w:ascii="Times New Roman" w:cs="Times New Roman" w:eastAsia="Times New Roman" w:hAnsi="Times New Roman"/>
          <w:sz w:val="20"/>
          <w:szCs w:val="20"/>
          <w:color w:val="auto"/>
        </w:rPr>
        <w:t xml:space="preserve">or its Affiliate; </w:t>
      </w:r>
      <w:r>
        <w:rPr>
          <w:rFonts w:ascii="Times New Roman" w:cs="Times New Roman" w:eastAsia="Times New Roman" w:hAnsi="Times New Roman"/>
          <w:sz w:val="20"/>
          <w:szCs w:val="20"/>
          <w:b w:val="1"/>
          <w:bCs w:val="1"/>
          <w:color w:val="auto"/>
        </w:rPr>
        <w:t>[Fundamental Decision to the extent that Additional Capital Contributions in excess of the Members’ respective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Capital Contribution Caps would be required to exercise the Call Option and fund the related Call Option Payments]</w:t>
      </w:r>
    </w:p>
    <w:p>
      <w:pPr>
        <w:spacing w:after="0" w:line="115" w:lineRule="exact"/>
        <w:rPr>
          <w:sz w:val="20"/>
          <w:szCs w:val="20"/>
          <w:color w:val="auto"/>
        </w:rPr>
      </w:pPr>
    </w:p>
    <w:p>
      <w:pPr>
        <w:ind w:firstLine="1952"/>
        <w:spacing w:after="0" w:line="295" w:lineRule="auto"/>
        <w:tabs>
          <w:tab w:leader="none" w:pos="2485" w:val="left"/>
        </w:tabs>
        <w:numPr>
          <w:ilvl w:val="0"/>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required in connection with the securitization of Company Assets in the ordinary course of business, borrowing money or issuing notes, bonds or other securities to finance the operation of the business of the Company and its Subsidiaries;</w:t>
      </w:r>
    </w:p>
    <w:p>
      <w:pPr>
        <w:spacing w:after="0" w:line="97" w:lineRule="exact"/>
        <w:rPr>
          <w:rFonts w:ascii="Times New Roman" w:cs="Times New Roman" w:eastAsia="Times New Roman" w:hAnsi="Times New Roman"/>
          <w:sz w:val="19"/>
          <w:szCs w:val="19"/>
          <w:color w:val="auto"/>
        </w:rPr>
      </w:pPr>
    </w:p>
    <w:p>
      <w:pPr>
        <w:jc w:val="both"/>
        <w:ind w:firstLine="1952"/>
        <w:spacing w:after="0" w:line="263" w:lineRule="auto"/>
        <w:tabs>
          <w:tab w:leader="none" w:pos="2547" w:val="left"/>
        </w:tabs>
        <w:numPr>
          <w:ilvl w:val="0"/>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establishing new warehouses, financing facilities or securitization vehicles, or initiating any initial public offering or listing of the equity interests of the Company or any Subsidiary on any capital markets exchange;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pledge of all or a portion of all or any of the Company Assets as collateral to secure any such warehousing, financing and securitization that has been previously approved as a Material Decision, in each case, directly or indirectly through a Subsidiary, shall not require further Board approval; or (B) determining the optimal risk retention structure, which may include a horizontal risk retention slice or a vertical risk retention slice;</w:t>
      </w:r>
    </w:p>
    <w:p>
      <w:pPr>
        <w:spacing w:after="0" w:line="125" w:lineRule="exact"/>
        <w:rPr>
          <w:rFonts w:ascii="Times New Roman" w:cs="Times New Roman" w:eastAsia="Times New Roman" w:hAnsi="Times New Roman"/>
          <w:sz w:val="19"/>
          <w:szCs w:val="19"/>
          <w:color w:val="auto"/>
        </w:rPr>
      </w:pPr>
    </w:p>
    <w:p>
      <w:pPr>
        <w:ind w:left="2580" w:hanging="628"/>
        <w:spacing w:after="0"/>
        <w:tabs>
          <w:tab w:leader="none" w:pos="258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guaranty by the Company or any Subsidiary of any debt of any Person (including any Subsidiary);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[Fundamental Decision]</w:t>
      </w:r>
      <w:r>
        <w:rPr>
          <w:rFonts w:ascii="Times New Roman" w:cs="Times New Roman" w:eastAsia="Times New Roman" w:hAnsi="Times New Roman"/>
          <w:sz w:val="20"/>
          <w:szCs w:val="20"/>
          <w:color w:val="auto"/>
        </w:rPr>
        <w:t>;</w:t>
      </w:r>
    </w:p>
    <w:p>
      <w:pPr>
        <w:spacing w:after="0" w:line="153" w:lineRule="exact"/>
        <w:rPr>
          <w:rFonts w:ascii="Times New Roman" w:cs="Times New Roman" w:eastAsia="Times New Roman" w:hAnsi="Times New Roman"/>
          <w:sz w:val="20"/>
          <w:szCs w:val="20"/>
          <w:color w:val="auto"/>
        </w:rPr>
      </w:pPr>
    </w:p>
    <w:p>
      <w:pPr>
        <w:ind w:firstLine="1952"/>
        <w:spacing w:after="0" w:line="269" w:lineRule="auto"/>
        <w:tabs>
          <w:tab w:leader="none" w:pos="2385"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approval of any Company Budget and any amendments, supplements or modifications thereto, other than those permitted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Board has approved the Initial Company Budget;</w:t>
      </w:r>
    </w:p>
    <w:p>
      <w:pPr>
        <w:spacing w:after="0" w:line="118" w:lineRule="exact"/>
        <w:rPr>
          <w:rFonts w:ascii="Times New Roman" w:cs="Times New Roman" w:eastAsia="Times New Roman" w:hAnsi="Times New Roman"/>
          <w:sz w:val="20"/>
          <w:szCs w:val="20"/>
          <w:color w:val="auto"/>
        </w:rPr>
      </w:pPr>
    </w:p>
    <w:p>
      <w:pPr>
        <w:jc w:val="both"/>
        <w:ind w:firstLine="1952"/>
        <w:spacing w:after="0" w:line="254" w:lineRule="auto"/>
        <w:tabs>
          <w:tab w:leader="none" w:pos="243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acquiring any Assets pursuant to the Basic Documents other than acquisition of any Assets necessary to satisfy Pre-Existing Obligations of the Company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Board is unable to agree upon a Material Decision set forth in this </w:t>
      </w:r>
      <w:r>
        <w:rPr>
          <w:rFonts w:ascii="Times New Roman" w:cs="Times New Roman" w:eastAsia="Times New Roman" w:hAnsi="Times New Roman"/>
          <w:sz w:val="20"/>
          <w:szCs w:val="20"/>
          <w:u w:val="single" w:color="auto"/>
          <w:color w:val="auto"/>
        </w:rPr>
        <w:t>clause (xi)</w:t>
      </w:r>
      <w:r>
        <w:rPr>
          <w:rFonts w:ascii="Times New Roman" w:cs="Times New Roman" w:eastAsia="Times New Roman" w:hAnsi="Times New Roman"/>
          <w:sz w:val="20"/>
          <w:szCs w:val="20"/>
          <w:color w:val="auto"/>
        </w:rPr>
        <w:t xml:space="preserve"> after Reasonable Efforts to Resolve, such Material Decision shall be determined by the SSP Managers**;</w:t>
      </w:r>
    </w:p>
    <w:p>
      <w:pPr>
        <w:sectPr>
          <w:pgSz w:w="11900" w:h="16838" w:orient="portrait"/>
          <w:cols w:equalWidth="0" w:num="1">
            <w:col w:w="11240"/>
          </w:cols>
          <w:pgMar w:left="320" w:top="1409" w:right="339" w:bottom="1440" w:gutter="0" w:footer="0" w:header="0"/>
        </w:sectPr>
      </w:pPr>
    </w:p>
    <w:p>
      <w:pPr>
        <w:spacing w:after="0" w:line="13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9"/>
          <w:szCs w:val="19"/>
          <w:color w:val="auto"/>
        </w:rPr>
        <w:t>(xii)</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extent such Asset type has</w:t>
      </w:r>
    </w:p>
    <w:p>
      <w:pPr>
        <w:spacing w:after="0"/>
        <w:rPr>
          <w:sz w:val="20"/>
          <w:szCs w:val="20"/>
          <w:color w:val="auto"/>
        </w:rPr>
      </w:pPr>
      <w:r>
        <w:rPr>
          <w:rFonts w:ascii="Times New Roman" w:cs="Times New Roman" w:eastAsia="Times New Roman" w:hAnsi="Times New Roman"/>
          <w:sz w:val="20"/>
          <w:szCs w:val="20"/>
          <w:b w:val="1"/>
          <w:bCs w:val="1"/>
          <w:color w:val="auto"/>
        </w:rPr>
        <w:t>[Fundamental Decision]</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firstLine="173"/>
        <w:spacing w:after="0" w:line="269" w:lineRule="auto"/>
        <w:rPr>
          <w:sz w:val="20"/>
          <w:szCs w:val="20"/>
          <w:color w:val="auto"/>
        </w:rPr>
      </w:pPr>
      <w:r>
        <w:rPr>
          <w:rFonts w:ascii="Times New Roman" w:cs="Times New Roman" w:eastAsia="Times New Roman" w:hAnsi="Times New Roman"/>
          <w:sz w:val="20"/>
          <w:szCs w:val="20"/>
          <w:color w:val="auto"/>
        </w:rPr>
        <w:t>acquiring any Assets other than HELOCs and rights incidental thereto pursuant to the Basic Documents to the not previously been acquired by the Company or any of its Subsidiaries pursuant to the Basic Documents</w:t>
      </w:r>
    </w:p>
    <w:p>
      <w:pPr>
        <w:spacing w:after="0" w:line="348" w:lineRule="exact"/>
        <w:rPr>
          <w:sz w:val="20"/>
          <w:szCs w:val="20"/>
          <w:color w:val="auto"/>
        </w:rPr>
      </w:pPr>
    </w:p>
    <w:p>
      <w:pPr>
        <w:sectPr>
          <w:pgSz w:w="11900" w:h="16838" w:orient="portrait"/>
          <w:cols w:equalWidth="0" w:num="2">
            <w:col w:w="2300" w:space="20"/>
            <w:col w:w="8920"/>
          </w:cols>
          <w:pgMar w:left="320" w:top="1409" w:right="339" w:bottom="1440" w:gutter="0" w:footer="0" w:header="0"/>
          <w:type w:val="continuous"/>
        </w:sectPr>
      </w:pPr>
    </w:p>
    <w:p>
      <w:pPr>
        <w:jc w:val="both"/>
        <w:ind w:firstLine="1952"/>
        <w:spacing w:after="0" w:line="244" w:lineRule="auto"/>
        <w:tabs>
          <w:tab w:leader="none" w:pos="2574"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of this Agreement, selling any Company Assets (x) other than in the ordinary course of business involving securitizing such Asset and (y) except for sales undertaken in accordance with </w:t>
      </w:r>
      <w:r>
        <w:rPr>
          <w:rFonts w:ascii="Times New Roman" w:cs="Times New Roman" w:eastAsia="Times New Roman" w:hAnsi="Times New Roman"/>
          <w:sz w:val="20"/>
          <w:szCs w:val="20"/>
          <w:u w:val="single" w:color="auto"/>
          <w:color w:val="auto"/>
        </w:rPr>
        <w:t>Section 4.3 or Section 4.2(e)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prior to the Run-Off Commencement Date, the Board is unable to agree upon a Material Decision set forth in this </w:t>
      </w:r>
      <w:r>
        <w:rPr>
          <w:rFonts w:ascii="Times New Roman" w:cs="Times New Roman" w:eastAsia="Times New Roman" w:hAnsi="Times New Roman"/>
          <w:sz w:val="20"/>
          <w:szCs w:val="20"/>
          <w:u w:val="single" w:color="auto"/>
          <w:color w:val="auto"/>
        </w:rPr>
        <w:t>clause (xiii)</w:t>
      </w:r>
      <w:r>
        <w:rPr>
          <w:rFonts w:ascii="Times New Roman" w:cs="Times New Roman" w:eastAsia="Times New Roman" w:hAnsi="Times New Roman"/>
          <w:sz w:val="20"/>
          <w:szCs w:val="20"/>
          <w:color w:val="auto"/>
        </w:rPr>
        <w:t xml:space="preserve"> after Reasonable Efforts to Resolve, such Material Decision shall be determined by the SSP Managers**</w:t>
      </w:r>
    </w:p>
    <w:p>
      <w:pPr>
        <w:spacing w:after="0" w:line="144" w:lineRule="exact"/>
        <w:rPr>
          <w:rFonts w:ascii="Times New Roman" w:cs="Times New Roman" w:eastAsia="Times New Roman" w:hAnsi="Times New Roman"/>
          <w:sz w:val="20"/>
          <w:szCs w:val="20"/>
          <w:color w:val="auto"/>
        </w:rPr>
      </w:pPr>
    </w:p>
    <w:p>
      <w:pPr>
        <w:ind w:left="2540" w:hanging="588"/>
        <w:spacing w:after="0"/>
        <w:tabs>
          <w:tab w:leader="none" w:pos="254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omitted];</w:t>
      </w:r>
    </w:p>
    <w:p>
      <w:pPr>
        <w:spacing w:after="0" w:line="188" w:lineRule="exact"/>
        <w:rPr>
          <w:rFonts w:ascii="Times New Roman" w:cs="Times New Roman" w:eastAsia="Times New Roman" w:hAnsi="Times New Roman"/>
          <w:sz w:val="20"/>
          <w:szCs w:val="20"/>
          <w:color w:val="auto"/>
        </w:rPr>
      </w:pPr>
    </w:p>
    <w:p>
      <w:pPr>
        <w:jc w:val="both"/>
        <w:ind w:firstLine="1952"/>
        <w:spacing w:after="0" w:line="239" w:lineRule="auto"/>
        <w:tabs>
          <w:tab w:leader="none" w:pos="2497"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making or changing such elections under the Code and other relevant tax laws as to the treatment of items of income, gain, loss, deduction and credit of the Company or any of its Subsidiaries, including elections referred to in section 754 of the Code to adjust the tax basis of Company property for federal income tax purposes in the manner prescribed in section 734 or 743 of the Code (and excluding, for the avoidance of doubt, any matters or actions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or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below);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Board or the Members (if a Fundamental Decision), as applicable, is/are unable to agree upon a matter set forth in this </w:t>
      </w:r>
      <w:r>
        <w:rPr>
          <w:rFonts w:ascii="Times New Roman" w:cs="Times New Roman" w:eastAsia="Times New Roman" w:hAnsi="Times New Roman"/>
          <w:sz w:val="20"/>
          <w:szCs w:val="20"/>
          <w:u w:val="single" w:color="auto"/>
          <w:color w:val="auto"/>
        </w:rPr>
        <w:t>clause (xv)</w:t>
      </w:r>
      <w:r>
        <w:rPr>
          <w:rFonts w:ascii="Times New Roman" w:cs="Times New Roman" w:eastAsia="Times New Roman" w:hAnsi="Times New Roman"/>
          <w:sz w:val="20"/>
          <w:szCs w:val="20"/>
          <w:color w:val="auto"/>
        </w:rPr>
        <w:t xml:space="preserve"> after Reasonable Efforts to Resolve, such matter shall be determined by the SSP Managers** and if any determination by the SSP Managers pursuant to this proviso would result in an adverse and disproportionate effect on Figure, then such determination shall require Figure’s prior written consent;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Figure does not so consent, then Investor shall have the right to purchase all, but not less than all, of Figure’s Membership Interests pursuant to the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09" w:right="339" w:bottom="1440" w:gutter="0" w:footer="0" w:header="0"/>
          <w:type w:val="continuous"/>
        </w:sectPr>
      </w:pPr>
    </w:p>
    <w:bookmarkStart w:id="411" w:name="page412"/>
    <w:bookmarkEnd w:id="411"/>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for a Bad Act Termination Event Membership Interest Buyout pursuant to </w:t>
      </w:r>
      <w:r>
        <w:rPr>
          <w:rFonts w:ascii="Times New Roman" w:cs="Times New Roman" w:eastAsia="Times New Roman" w:hAnsi="Times New Roman"/>
          <w:sz w:val="20"/>
          <w:szCs w:val="20"/>
          <w:u w:val="single" w:color="auto"/>
          <w:color w:val="auto"/>
        </w:rPr>
        <w:t>Section 4.2(b)</w:t>
      </w:r>
      <w:r>
        <w:rPr>
          <w:rFonts w:ascii="Times New Roman" w:cs="Times New Roman" w:eastAsia="Times New Roman" w:hAnsi="Times New Roman"/>
          <w:sz w:val="20"/>
          <w:szCs w:val="20"/>
          <w:color w:val="auto"/>
        </w:rPr>
        <w:t xml:space="preserve"> (but for the avoidance of doubt, a Bad Act Termination Event shall </w:t>
      </w:r>
      <w:r>
        <w:rPr>
          <w:rFonts w:ascii="Times New Roman" w:cs="Times New Roman" w:eastAsia="Times New Roman" w:hAnsi="Times New Roman"/>
          <w:sz w:val="20"/>
          <w:szCs w:val="20"/>
          <w:b w:val="1"/>
          <w:bCs w:val="1"/>
          <w:u w:val="single" w:color="auto"/>
          <w:color w:val="auto"/>
        </w:rPr>
        <w:t>not</w:t>
      </w:r>
      <w:r>
        <w:rPr>
          <w:rFonts w:ascii="Times New Roman" w:cs="Times New Roman" w:eastAsia="Times New Roman" w:hAnsi="Times New Roman"/>
          <w:sz w:val="20"/>
          <w:szCs w:val="20"/>
          <w:color w:val="auto"/>
        </w:rPr>
        <w:t xml:space="preserve"> be deemed to have occurred with respect to Figure as a result of the failure of the Board to agree upon a matter set forth in this </w:t>
      </w:r>
      <w:r>
        <w:rPr>
          <w:rFonts w:ascii="Times New Roman" w:cs="Times New Roman" w:eastAsia="Times New Roman" w:hAnsi="Times New Roman"/>
          <w:sz w:val="20"/>
          <w:szCs w:val="20"/>
          <w:u w:val="single" w:color="auto"/>
          <w:color w:val="auto"/>
        </w:rPr>
        <w:t>clause (xv))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[Fundamental Decision, to the extent such determination would result in an adverse and disproportionate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effect on Figure]</w:t>
      </w:r>
      <w:r>
        <w:rPr>
          <w:rFonts w:ascii="Times New Roman" w:cs="Times New Roman" w:eastAsia="Times New Roman" w:hAnsi="Times New Roman"/>
          <w:sz w:val="20"/>
          <w:szCs w:val="20"/>
          <w:color w:val="auto"/>
        </w:rPr>
        <w:t>;</w:t>
      </w:r>
    </w:p>
    <w:p>
      <w:pPr>
        <w:spacing w:after="0" w:line="145" w:lineRule="exact"/>
        <w:rPr>
          <w:sz w:val="20"/>
          <w:szCs w:val="20"/>
          <w:color w:val="auto"/>
        </w:rPr>
      </w:pPr>
    </w:p>
    <w:p>
      <w:pPr>
        <w:jc w:val="both"/>
        <w:ind w:firstLine="1952"/>
        <w:spacing w:after="0" w:line="250" w:lineRule="auto"/>
        <w:tabs>
          <w:tab w:leader="none" w:pos="2540"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selecting and changing of the method of accounting and bookkeeping procedures to be used by the Company or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Board is unable to agree upon a Material Decision set forth in this </w:t>
      </w:r>
      <w:r>
        <w:rPr>
          <w:rFonts w:ascii="Times New Roman" w:cs="Times New Roman" w:eastAsia="Times New Roman" w:hAnsi="Times New Roman"/>
          <w:sz w:val="20"/>
          <w:szCs w:val="20"/>
          <w:u w:val="single" w:color="auto"/>
          <w:color w:val="auto"/>
        </w:rPr>
        <w:t>clause (xvi)</w:t>
      </w:r>
      <w:r>
        <w:rPr>
          <w:rFonts w:ascii="Times New Roman" w:cs="Times New Roman" w:eastAsia="Times New Roman" w:hAnsi="Times New Roman"/>
          <w:sz w:val="20"/>
          <w:szCs w:val="20"/>
          <w:color w:val="auto"/>
        </w:rPr>
        <w:t xml:space="preserve"> after Reasonable Efforts to Resolve, such Material Decision shall be determined by the SSP Managers but only to the extent the proposed change is related to the operation and management of the SSP Funds and would not result in an adverse and disproportionate effect on Figure ** and if any determination by the SSP Managers pursuant to this proviso would result in an adverse and disproportionate effect on Figure, then such determination shall require Figure’s prior written consent;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Figure does not so consent, then Investor shall have the right to purchase all, but not less than all, of Figure’s Membership Interests pursuant to the procedures for a Bad Act Termination Event Membership Interest Buyout pursuant to </w:t>
      </w:r>
      <w:r>
        <w:rPr>
          <w:rFonts w:ascii="Times New Roman" w:cs="Times New Roman" w:eastAsia="Times New Roman" w:hAnsi="Times New Roman"/>
          <w:sz w:val="20"/>
          <w:szCs w:val="20"/>
          <w:u w:val="single" w:color="auto"/>
          <w:color w:val="auto"/>
        </w:rPr>
        <w:t>Section 4.2(b)</w:t>
      </w:r>
      <w:r>
        <w:rPr>
          <w:rFonts w:ascii="Times New Roman" w:cs="Times New Roman" w:eastAsia="Times New Roman" w:hAnsi="Times New Roman"/>
          <w:sz w:val="20"/>
          <w:szCs w:val="20"/>
          <w:color w:val="auto"/>
        </w:rPr>
        <w:t xml:space="preserve"> (but for the avoidance of doubt, a Bad Act Termination Event shall </w:t>
      </w:r>
      <w:r>
        <w:rPr>
          <w:rFonts w:ascii="Times New Roman" w:cs="Times New Roman" w:eastAsia="Times New Roman" w:hAnsi="Times New Roman"/>
          <w:sz w:val="20"/>
          <w:szCs w:val="20"/>
          <w:b w:val="1"/>
          <w:bCs w:val="1"/>
          <w:u w:val="single" w:color="auto"/>
          <w:color w:val="auto"/>
        </w:rPr>
        <w:t>not</w:t>
      </w:r>
      <w:r>
        <w:rPr>
          <w:rFonts w:ascii="Times New Roman" w:cs="Times New Roman" w:eastAsia="Times New Roman" w:hAnsi="Times New Roman"/>
          <w:sz w:val="20"/>
          <w:szCs w:val="20"/>
          <w:color w:val="auto"/>
        </w:rPr>
        <w:t xml:space="preserve"> be deemed to have occurred with respect to Figure as a result of the failure of the Board to agree upon a matter set forth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w:t>
      </w:r>
    </w:p>
    <w:p>
      <w:pPr>
        <w:spacing w:after="0" w:line="152" w:lineRule="exact"/>
        <w:rPr>
          <w:rFonts w:ascii="Times New Roman" w:cs="Times New Roman" w:eastAsia="Times New Roman" w:hAnsi="Times New Roman"/>
          <w:sz w:val="20"/>
          <w:szCs w:val="20"/>
          <w:color w:val="auto"/>
        </w:rPr>
      </w:pPr>
    </w:p>
    <w:p>
      <w:pPr>
        <w:jc w:val="both"/>
        <w:ind w:firstLine="1952"/>
        <w:spacing w:after="0" w:line="258" w:lineRule="auto"/>
        <w:tabs>
          <w:tab w:leader="none" w:pos="2613"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selecting and engaging legal representatives for the Company or any Subsidiaries other than with respect to day-to-day matters or implementation of business objectives;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Board is unable to agree upon a Material Decision set forth in this </w:t>
      </w:r>
      <w:r>
        <w:rPr>
          <w:rFonts w:ascii="Times New Roman" w:cs="Times New Roman" w:eastAsia="Times New Roman" w:hAnsi="Times New Roman"/>
          <w:sz w:val="20"/>
          <w:szCs w:val="20"/>
          <w:u w:val="single" w:color="auto"/>
          <w:color w:val="auto"/>
        </w:rPr>
        <w:t>clause (xvii)</w:t>
      </w:r>
      <w:r>
        <w:rPr>
          <w:rFonts w:ascii="Times New Roman" w:cs="Times New Roman" w:eastAsia="Times New Roman" w:hAnsi="Times New Roman"/>
          <w:sz w:val="20"/>
          <w:szCs w:val="20"/>
          <w:color w:val="auto"/>
        </w:rPr>
        <w:t xml:space="preserve"> after Reasonable Efforts to Resolve, such Material Decision shall be determined by the SSP Managers to the extent such legal representative is being engaged for the defense of litigation;**</w:t>
      </w:r>
    </w:p>
    <w:p>
      <w:pPr>
        <w:spacing w:after="0" w:line="145" w:lineRule="exact"/>
        <w:rPr>
          <w:rFonts w:ascii="Times New Roman" w:cs="Times New Roman" w:eastAsia="Times New Roman" w:hAnsi="Times New Roman"/>
          <w:sz w:val="20"/>
          <w:szCs w:val="20"/>
          <w:color w:val="auto"/>
        </w:rPr>
      </w:pPr>
    </w:p>
    <w:p>
      <w:pPr>
        <w:jc w:val="both"/>
        <w:ind w:firstLine="1952"/>
        <w:spacing w:after="0" w:line="253" w:lineRule="auto"/>
        <w:tabs>
          <w:tab w:leader="none" w:pos="2656"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selecting and engaging service providers to provide services to the Company or any Subsidiaries other than those (i) to which neither the Company nor any Subsidiary is expected to pay more than $250,000 in any given calendar year, (ii) which are contemplated in the approved Company Budget, (iii) providing origination related or securitization services, and/or (iv) permitted to be entered into pursuant to the Basic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Members agree that a Figure Person shall act as the servicer for any securitization trusts co-sponsored by the Company or any of its Subsidiaries;</w:t>
      </w:r>
    </w:p>
    <w:p>
      <w:pPr>
        <w:spacing w:after="0" w:line="151" w:lineRule="exact"/>
        <w:rPr>
          <w:rFonts w:ascii="Times New Roman" w:cs="Times New Roman" w:eastAsia="Times New Roman" w:hAnsi="Times New Roman"/>
          <w:sz w:val="20"/>
          <w:szCs w:val="20"/>
          <w:color w:val="auto"/>
        </w:rPr>
      </w:pPr>
    </w:p>
    <w:p>
      <w:pPr>
        <w:jc w:val="both"/>
        <w:ind w:firstLine="1952"/>
        <w:spacing w:after="0" w:line="268" w:lineRule="auto"/>
        <w:tabs>
          <w:tab w:leader="none" w:pos="2544"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service agreements pursuant to which the Company or any Subsidiary is required to pay more than $250,000 in any given calendar year, other than those which (i) are contemplated in the approved Company Budget, (ii) permitted under the Basic Documents, and/or (iii) are for origination related services;</w:t>
      </w:r>
    </w:p>
    <w:p>
      <w:pPr>
        <w:spacing w:after="0" w:line="120" w:lineRule="exact"/>
        <w:rPr>
          <w:rFonts w:ascii="Times New Roman" w:cs="Times New Roman" w:eastAsia="Times New Roman" w:hAnsi="Times New Roman"/>
          <w:sz w:val="20"/>
          <w:szCs w:val="20"/>
          <w:color w:val="auto"/>
        </w:rPr>
      </w:pPr>
    </w:p>
    <w:p>
      <w:pPr>
        <w:jc w:val="both"/>
        <w:ind w:firstLine="1952"/>
        <w:spacing w:after="0" w:line="258" w:lineRule="auto"/>
        <w:tabs>
          <w:tab w:leader="none" w:pos="2545"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selecting and engaging Company’s accountants and auditors;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Board is unable to agree upon a Material Decision set forth in this </w:t>
      </w:r>
      <w:r>
        <w:rPr>
          <w:rFonts w:ascii="Times New Roman" w:cs="Times New Roman" w:eastAsia="Times New Roman" w:hAnsi="Times New Roman"/>
          <w:sz w:val="20"/>
          <w:szCs w:val="20"/>
          <w:u w:val="single" w:color="auto"/>
          <w:color w:val="auto"/>
        </w:rPr>
        <w:t>clause (xx)</w:t>
      </w:r>
      <w:r>
        <w:rPr>
          <w:rFonts w:ascii="Times New Roman" w:cs="Times New Roman" w:eastAsia="Times New Roman" w:hAnsi="Times New Roman"/>
          <w:sz w:val="20"/>
          <w:szCs w:val="20"/>
          <w:color w:val="auto"/>
        </w:rPr>
        <w:t xml:space="preserve"> after Reasonable Efforts to Resolve, such Material Decision shall be determined by the SSP Managers so long as such accountant or auditor is one of the “</w:t>
      </w:r>
      <w:r>
        <w:rPr>
          <w:rFonts w:ascii="Times New Roman" w:cs="Times New Roman" w:eastAsia="Times New Roman" w:hAnsi="Times New Roman"/>
          <w:sz w:val="20"/>
          <w:szCs w:val="20"/>
          <w:b w:val="1"/>
          <w:bCs w:val="1"/>
          <w:color w:val="auto"/>
        </w:rPr>
        <w:t>Big Four</w:t>
      </w:r>
      <w:r>
        <w:rPr>
          <w:rFonts w:ascii="Times New Roman" w:cs="Times New Roman" w:eastAsia="Times New Roman" w:hAnsi="Times New Roman"/>
          <w:sz w:val="20"/>
          <w:szCs w:val="20"/>
          <w:color w:val="auto"/>
        </w:rPr>
        <w:t>” accounting firms or Grant Thorton, BDO USA LLC, RSM USA LLC and Baker Tilly) (each, an “</w:t>
      </w:r>
      <w:r>
        <w:rPr>
          <w:rFonts w:ascii="Times New Roman" w:cs="Times New Roman" w:eastAsia="Times New Roman" w:hAnsi="Times New Roman"/>
          <w:sz w:val="20"/>
          <w:szCs w:val="20"/>
          <w:b w:val="1"/>
          <w:bCs w:val="1"/>
          <w:color w:val="auto"/>
        </w:rPr>
        <w:t>Approved Accountant</w:t>
      </w:r>
      <w:r>
        <w:rPr>
          <w:rFonts w:ascii="Times New Roman" w:cs="Times New Roman" w:eastAsia="Times New Roman" w:hAnsi="Times New Roman"/>
          <w:sz w:val="20"/>
          <w:szCs w:val="20"/>
          <w:color w:val="auto"/>
        </w:rPr>
        <w:t>”);**</w:t>
      </w:r>
    </w:p>
    <w:p>
      <w:pPr>
        <w:spacing w:after="0" w:line="145" w:lineRule="exact"/>
        <w:rPr>
          <w:rFonts w:ascii="Times New Roman" w:cs="Times New Roman" w:eastAsia="Times New Roman" w:hAnsi="Times New Roman"/>
          <w:sz w:val="20"/>
          <w:szCs w:val="20"/>
          <w:color w:val="auto"/>
        </w:rPr>
      </w:pPr>
    </w:p>
    <w:p>
      <w:pPr>
        <w:jc w:val="both"/>
        <w:ind w:firstLine="1952"/>
        <w:spacing w:after="0" w:line="257" w:lineRule="auto"/>
        <w:tabs>
          <w:tab w:leader="none" w:pos="2560"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selecting banks where operating accounts for the Company are to be maintained;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Board is unable to agree upon a Material Decision set forth in this </w:t>
      </w:r>
      <w:r>
        <w:rPr>
          <w:rFonts w:ascii="Times New Roman" w:cs="Times New Roman" w:eastAsia="Times New Roman" w:hAnsi="Times New Roman"/>
          <w:sz w:val="20"/>
          <w:szCs w:val="20"/>
          <w:u w:val="single" w:color="auto"/>
          <w:color w:val="auto"/>
        </w:rPr>
        <w:t>clause (xxi)</w:t>
      </w:r>
      <w:r>
        <w:rPr>
          <w:rFonts w:ascii="Times New Roman" w:cs="Times New Roman" w:eastAsia="Times New Roman" w:hAnsi="Times New Roman"/>
          <w:sz w:val="20"/>
          <w:szCs w:val="20"/>
          <w:color w:val="auto"/>
        </w:rPr>
        <w:t xml:space="preserve"> after Reasonable Efforts to Resolve, such Material Decision shall be determined by the SSP Managers;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for the avoidance of doubt, that accounts into which HELOC payments are to be received shall not be a Material Decision and may be determined by the Figure Person acting as “Servicer” under the Figure Connect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13" w:right="339" w:bottom="1440" w:gutter="0" w:footer="0" w:header="0"/>
        </w:sectPr>
      </w:pPr>
    </w:p>
    <w:bookmarkStart w:id="412" w:name="page413"/>
    <w:bookmarkEnd w:id="412"/>
    <w:p>
      <w:pPr>
        <w:ind w:firstLine="1952"/>
        <w:spacing w:after="0" w:line="283" w:lineRule="auto"/>
        <w:tabs>
          <w:tab w:leader="none" w:pos="2643"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establishing Company offices;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Board is unable to agree upon a Material Decision set forth in this </w:t>
      </w:r>
      <w:r>
        <w:rPr>
          <w:rFonts w:ascii="Times New Roman" w:cs="Times New Roman" w:eastAsia="Times New Roman" w:hAnsi="Times New Roman"/>
          <w:sz w:val="20"/>
          <w:szCs w:val="20"/>
          <w:u w:val="single" w:color="auto"/>
          <w:color w:val="auto"/>
        </w:rPr>
        <w:t>clause (xxii)</w:t>
      </w:r>
      <w:r>
        <w:rPr>
          <w:rFonts w:ascii="Times New Roman" w:cs="Times New Roman" w:eastAsia="Times New Roman" w:hAnsi="Times New Roman"/>
          <w:sz w:val="20"/>
          <w:szCs w:val="20"/>
          <w:color w:val="auto"/>
        </w:rPr>
        <w:t xml:space="preserve"> after Reasonable Efforts to Resolve, such Material Decision shall be determined by the SSP Managers;**</w:t>
      </w:r>
    </w:p>
    <w:p>
      <w:pPr>
        <w:spacing w:after="0" w:line="119" w:lineRule="exact"/>
        <w:rPr>
          <w:rFonts w:ascii="Times New Roman" w:cs="Times New Roman" w:eastAsia="Times New Roman" w:hAnsi="Times New Roman"/>
          <w:sz w:val="20"/>
          <w:szCs w:val="20"/>
          <w:color w:val="auto"/>
        </w:rPr>
      </w:pPr>
    </w:p>
    <w:p>
      <w:pPr>
        <w:ind w:right="20" w:firstLine="1952"/>
        <w:spacing w:after="0" w:line="269" w:lineRule="auto"/>
        <w:tabs>
          <w:tab w:leader="none" w:pos="2705"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making distributions other than as provided in </w:t>
      </w:r>
      <w:r>
        <w:rPr>
          <w:rFonts w:ascii="Times New Roman" w:cs="Times New Roman" w:eastAsia="Times New Roman" w:hAnsi="Times New Roman"/>
          <w:sz w:val="20"/>
          <w:szCs w:val="20"/>
          <w:u w:val="single" w:color="auto"/>
          <w:color w:val="auto"/>
        </w:rPr>
        <w:t>Section 10.6(a)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13.3(c)</w:t>
      </w:r>
      <w:r>
        <w:rPr>
          <w:rFonts w:ascii="Times New Roman" w:cs="Times New Roman" w:eastAsia="Times New Roman" w:hAnsi="Times New Roman"/>
          <w:sz w:val="20"/>
          <w:szCs w:val="20"/>
          <w:color w:val="auto"/>
        </w:rPr>
        <w:t xml:space="preserve">; or making any in-kind distributions; </w:t>
      </w:r>
      <w:r>
        <w:rPr>
          <w:rFonts w:ascii="Times New Roman" w:cs="Times New Roman" w:eastAsia="Times New Roman" w:hAnsi="Times New Roman"/>
          <w:sz w:val="20"/>
          <w:szCs w:val="20"/>
          <w:b w:val="1"/>
          <w:bCs w:val="1"/>
          <w:color w:val="auto"/>
        </w:rPr>
        <w:t>[Fundamental Decision]</w:t>
      </w:r>
    </w:p>
    <w:p>
      <w:pPr>
        <w:spacing w:after="0" w:line="132" w:lineRule="exact"/>
        <w:rPr>
          <w:rFonts w:ascii="Times New Roman" w:cs="Times New Roman" w:eastAsia="Times New Roman" w:hAnsi="Times New Roman"/>
          <w:sz w:val="20"/>
          <w:szCs w:val="20"/>
          <w:color w:val="auto"/>
        </w:rPr>
      </w:pPr>
    </w:p>
    <w:p>
      <w:pPr>
        <w:jc w:val="both"/>
        <w:ind w:firstLine="1952"/>
        <w:spacing w:after="0" w:line="258" w:lineRule="auto"/>
        <w:tabs>
          <w:tab w:leader="none" w:pos="2625"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communications with a Governmental Entity (specifically excluding the rating agencies) that would bind the Company or any Subsidiary, other than with respect to tax audits or tax Proceedings, which shall be governed by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below</w:t>
      </w:r>
      <w:r>
        <w:rPr>
          <w:rFonts w:ascii="Times New Roman" w:cs="Times New Roman" w:eastAsia="Times New Roman" w:hAnsi="Times New Roman"/>
          <w:sz w:val="20"/>
          <w:szCs w:val="20"/>
          <w:u w:val="single" w:color="auto"/>
          <w:color w:val="auto"/>
        </w:rPr>
        <w:t>;</w:t>
      </w:r>
    </w:p>
    <w:p>
      <w:pPr>
        <w:spacing w:after="0" w:line="26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[Fundamental Decision to the extent such communication would reasonably be expected to have adverse implications for the business of any Figure Person or their Affiliates]</w:t>
      </w:r>
      <w:r>
        <w:rPr>
          <w:rFonts w:ascii="Times New Roman" w:cs="Times New Roman" w:eastAsia="Times New Roman" w:hAnsi="Times New Roman"/>
          <w:sz w:val="20"/>
          <w:szCs w:val="20"/>
          <w:color w:val="auto"/>
        </w:rPr>
        <w:t>;</w:t>
      </w:r>
    </w:p>
    <w:p>
      <w:pPr>
        <w:spacing w:after="0" w:line="141" w:lineRule="exact"/>
        <w:rPr>
          <w:rFonts w:ascii="Times New Roman" w:cs="Times New Roman" w:eastAsia="Times New Roman" w:hAnsi="Times New Roman"/>
          <w:sz w:val="20"/>
          <w:szCs w:val="20"/>
          <w:color w:val="auto"/>
        </w:rPr>
      </w:pPr>
    </w:p>
    <w:p>
      <w:pPr>
        <w:jc w:val="both"/>
        <w:ind w:firstLine="1952"/>
        <w:spacing w:after="0" w:line="261" w:lineRule="auto"/>
        <w:tabs>
          <w:tab w:leader="none" w:pos="2638"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expending any funds on behalf of the Company or the Subsidiaries that varies from the Company Budget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for the avoidance of doubt, that expenditures within the permitted variance and increases for Non-Discretionary Expenses as set forth in the definition of “</w:t>
      </w:r>
      <w:r>
        <w:rPr>
          <w:rFonts w:ascii="Times New Roman" w:cs="Times New Roman" w:eastAsia="Times New Roman" w:hAnsi="Times New Roman"/>
          <w:sz w:val="20"/>
          <w:szCs w:val="20"/>
          <w:b w:val="1"/>
          <w:bCs w:val="1"/>
          <w:color w:val="auto"/>
        </w:rPr>
        <w:t>Company Budget</w:t>
      </w:r>
      <w:r>
        <w:rPr>
          <w:rFonts w:ascii="Times New Roman" w:cs="Times New Roman" w:eastAsia="Times New Roman" w:hAnsi="Times New Roman"/>
          <w:sz w:val="20"/>
          <w:szCs w:val="20"/>
          <w:color w:val="auto"/>
        </w:rPr>
        <w:t>” shall not constitute a Material Decision);</w:t>
      </w:r>
    </w:p>
    <w:p>
      <w:pPr>
        <w:spacing w:after="0" w:line="140" w:lineRule="exact"/>
        <w:rPr>
          <w:rFonts w:ascii="Times New Roman" w:cs="Times New Roman" w:eastAsia="Times New Roman" w:hAnsi="Times New Roman"/>
          <w:sz w:val="20"/>
          <w:szCs w:val="20"/>
          <w:color w:val="auto"/>
        </w:rPr>
      </w:pPr>
    </w:p>
    <w:p>
      <w:pPr>
        <w:jc w:val="both"/>
        <w:ind w:firstLine="1952"/>
        <w:spacing w:after="0" w:line="258" w:lineRule="auto"/>
        <w:tabs>
          <w:tab w:leader="none" w:pos="2671"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making any temporary short-term investment of the funds of the Company or any of its Subsidiaries other than as set forth in a Company Budget or short-term investments of cash and cash equivalents, entered into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Board is unable to agree upon a Material Decision set forth in this </w:t>
      </w:r>
      <w:r>
        <w:rPr>
          <w:rFonts w:ascii="Times New Roman" w:cs="Times New Roman" w:eastAsia="Times New Roman" w:hAnsi="Times New Roman"/>
          <w:sz w:val="20"/>
          <w:szCs w:val="20"/>
          <w:u w:val="single" w:color="auto"/>
          <w:color w:val="auto"/>
        </w:rPr>
        <w:t>clause (xxvi)</w:t>
      </w:r>
      <w:r>
        <w:rPr>
          <w:rFonts w:ascii="Times New Roman" w:cs="Times New Roman" w:eastAsia="Times New Roman" w:hAnsi="Times New Roman"/>
          <w:sz w:val="20"/>
          <w:szCs w:val="20"/>
          <w:color w:val="auto"/>
        </w:rPr>
        <w:t xml:space="preserve"> after Reasonable Efforts to Resolve, such Material Decision shall be determined by the SSP Managers;**</w:t>
      </w:r>
    </w:p>
    <w:p>
      <w:pPr>
        <w:spacing w:after="0" w:line="145" w:lineRule="exact"/>
        <w:rPr>
          <w:rFonts w:ascii="Times New Roman" w:cs="Times New Roman" w:eastAsia="Times New Roman" w:hAnsi="Times New Roman"/>
          <w:sz w:val="20"/>
          <w:szCs w:val="20"/>
          <w:color w:val="auto"/>
        </w:rPr>
      </w:pPr>
    </w:p>
    <w:p>
      <w:pPr>
        <w:jc w:val="both"/>
        <w:ind w:firstLine="1952"/>
        <w:spacing w:after="0" w:line="261" w:lineRule="auto"/>
        <w:tabs>
          <w:tab w:leader="none" w:pos="2865"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approving the initial insurance plan for the Company and any insurance plan for the Company or Subsidiaries that provides material changes to the coverages or limits as compared to the previous insurance plan for the Company and the Subsidiaries in effect;</w:t>
      </w:r>
    </w:p>
    <w:p>
      <w:pPr>
        <w:spacing w:after="0" w:line="140" w:lineRule="exact"/>
        <w:rPr>
          <w:rFonts w:ascii="Times New Roman" w:cs="Times New Roman" w:eastAsia="Times New Roman" w:hAnsi="Times New Roman"/>
          <w:sz w:val="20"/>
          <w:szCs w:val="20"/>
          <w:color w:val="auto"/>
        </w:rPr>
      </w:pPr>
    </w:p>
    <w:p>
      <w:pPr>
        <w:jc w:val="both"/>
        <w:ind w:firstLine="1952"/>
        <w:spacing w:after="0" w:line="254" w:lineRule="auto"/>
        <w:tabs>
          <w:tab w:leader="none" w:pos="2611"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instituting or defending any legal action in the name of the Company or Subsidiary involving a claim in excess of $375,000, other than any tax actions described in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below and other than those that are covered by insurance;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Board is unable to agree upon a Material Decision set forth in this </w:t>
      </w:r>
      <w:r>
        <w:rPr>
          <w:rFonts w:ascii="Times New Roman" w:cs="Times New Roman" w:eastAsia="Times New Roman" w:hAnsi="Times New Roman"/>
          <w:sz w:val="20"/>
          <w:szCs w:val="20"/>
          <w:u w:val="single" w:color="auto"/>
          <w:color w:val="auto"/>
        </w:rPr>
        <w:t>clause (xxviii)</w:t>
      </w:r>
      <w:r>
        <w:rPr>
          <w:rFonts w:ascii="Times New Roman" w:cs="Times New Roman" w:eastAsia="Times New Roman" w:hAnsi="Times New Roman"/>
          <w:sz w:val="20"/>
          <w:szCs w:val="20"/>
          <w:color w:val="auto"/>
        </w:rPr>
        <w:t xml:space="preserve"> after Reasonable Efforts to Resolve, such Material Decision shall be determined by the SSP Managers;**</w:t>
      </w:r>
    </w:p>
    <w:p>
      <w:pPr>
        <w:spacing w:after="0" w:line="146" w:lineRule="exact"/>
        <w:rPr>
          <w:rFonts w:ascii="Times New Roman" w:cs="Times New Roman" w:eastAsia="Times New Roman" w:hAnsi="Times New Roman"/>
          <w:sz w:val="20"/>
          <w:szCs w:val="20"/>
          <w:color w:val="auto"/>
        </w:rPr>
      </w:pPr>
    </w:p>
    <w:p>
      <w:pPr>
        <w:jc w:val="both"/>
        <w:ind w:firstLine="1952"/>
        <w:spacing w:after="0" w:line="258" w:lineRule="auto"/>
        <w:tabs>
          <w:tab w:leader="none" w:pos="2719"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settling or compromising Proceedings (other than any tax Proceedings described in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below) involving amounts in excess of $750,000 per claim or $2,000,000 in the aggregate for any calendar year;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Board is unable to agree upon a Material Decision set forth in this </w:t>
      </w:r>
      <w:r>
        <w:rPr>
          <w:rFonts w:ascii="Times New Roman" w:cs="Times New Roman" w:eastAsia="Times New Roman" w:hAnsi="Times New Roman"/>
          <w:sz w:val="20"/>
          <w:szCs w:val="20"/>
          <w:u w:val="single" w:color="auto"/>
          <w:color w:val="auto"/>
        </w:rPr>
        <w:t>clause (xxix)</w:t>
      </w:r>
      <w:r>
        <w:rPr>
          <w:rFonts w:ascii="Times New Roman" w:cs="Times New Roman" w:eastAsia="Times New Roman" w:hAnsi="Times New Roman"/>
          <w:sz w:val="20"/>
          <w:szCs w:val="20"/>
          <w:color w:val="auto"/>
        </w:rPr>
        <w:t xml:space="preserve"> after Reasonable Efforts to Resolve, such Material Decision shall be determined by the SSP Managers, unless the same would result in disproportionate liability to Figure);**</w:t>
      </w:r>
    </w:p>
    <w:p>
      <w:pPr>
        <w:spacing w:after="0" w:line="145" w:lineRule="exact"/>
        <w:rPr>
          <w:rFonts w:ascii="Times New Roman" w:cs="Times New Roman" w:eastAsia="Times New Roman" w:hAnsi="Times New Roman"/>
          <w:sz w:val="20"/>
          <w:szCs w:val="20"/>
          <w:color w:val="auto"/>
        </w:rPr>
      </w:pPr>
    </w:p>
    <w:p>
      <w:pPr>
        <w:jc w:val="both"/>
        <w:ind w:firstLine="1952"/>
        <w:spacing w:after="0" w:line="253" w:lineRule="auto"/>
        <w:tabs>
          <w:tab w:leader="none" w:pos="2713"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establishing reserves to fund expenses of the Company and the Subsidiaries and contingent liabilities;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all Net Cash Flow remaining after distributions are made pursuant to </w:t>
      </w:r>
      <w:r>
        <w:rPr>
          <w:rFonts w:ascii="Times New Roman" w:cs="Times New Roman" w:eastAsia="Times New Roman" w:hAnsi="Times New Roman"/>
          <w:sz w:val="20"/>
          <w:szCs w:val="20"/>
          <w:u w:val="single" w:color="auto"/>
          <w:color w:val="auto"/>
        </w:rPr>
        <w:t>Section 10.6(a)</w:t>
      </w:r>
      <w:r>
        <w:rPr>
          <w:rFonts w:ascii="Times New Roman" w:cs="Times New Roman" w:eastAsia="Times New Roman" w:hAnsi="Times New Roman"/>
          <w:sz w:val="20"/>
          <w:szCs w:val="20"/>
          <w:color w:val="auto"/>
        </w:rPr>
        <w:t xml:space="preserve"> shall be held as reserves for the Company for the purchase of additional Assets and other Company Expenses; </w:t>
      </w:r>
      <w:r>
        <w:rPr>
          <w:rFonts w:ascii="Times New Roman" w:cs="Times New Roman" w:eastAsia="Times New Roman" w:hAnsi="Times New Roman"/>
          <w:sz w:val="20"/>
          <w:szCs w:val="20"/>
          <w:b w:val="1"/>
          <w:bCs w:val="1"/>
          <w:color w:val="auto"/>
        </w:rPr>
        <w:t>[Fundamental Decision with respect to establishing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reserves to fund potential securitization related liabilities of the Company and the Subsidiaries following the occurrence of a Run-Off Commencement Date]</w:t>
      </w:r>
    </w:p>
    <w:p>
      <w:pPr>
        <w:spacing w:after="0" w:line="147" w:lineRule="exact"/>
        <w:rPr>
          <w:rFonts w:ascii="Times New Roman" w:cs="Times New Roman" w:eastAsia="Times New Roman" w:hAnsi="Times New Roman"/>
          <w:sz w:val="20"/>
          <w:szCs w:val="20"/>
          <w:color w:val="auto"/>
        </w:rPr>
      </w:pPr>
    </w:p>
    <w:p>
      <w:pPr>
        <w:ind w:firstLine="1952"/>
        <w:spacing w:after="0" w:line="287" w:lineRule="auto"/>
        <w:tabs>
          <w:tab w:leader="none" w:pos="2685"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calling for capital, including pursuant to </w:t>
      </w:r>
      <w:r>
        <w:rPr>
          <w:rFonts w:ascii="Times New Roman" w:cs="Times New Roman" w:eastAsia="Times New Roman" w:hAnsi="Times New Roman"/>
          <w:sz w:val="20"/>
          <w:szCs w:val="20"/>
          <w:u w:val="single" w:color="auto"/>
          <w:color w:val="auto"/>
        </w:rPr>
        <w:t>Section 9.3(a)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[Fundamental Decision for any Member if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same would require such Member to fund more than its Capital Contribution Cap]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13" w:right="339" w:bottom="1440" w:gutter="0" w:footer="0" w:header="0"/>
        </w:sectPr>
      </w:pPr>
    </w:p>
    <w:bookmarkStart w:id="413" w:name="page414"/>
    <w:bookmarkEnd w:id="413"/>
    <w:p>
      <w:pPr>
        <w:jc w:val="both"/>
        <w:ind w:firstLine="1952"/>
        <w:spacing w:after="0" w:line="236" w:lineRule="auto"/>
        <w:tabs>
          <w:tab w:leader="none" w:pos="2755"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issuing, selling, redeeming or repurchasing any equity interests in the Company, other than as expressly provided for in this Agreement; </w:t>
      </w:r>
      <w:r>
        <w:rPr>
          <w:rFonts w:ascii="Times New Roman" w:cs="Times New Roman" w:eastAsia="Times New Roman" w:hAnsi="Times New Roman"/>
          <w:sz w:val="20"/>
          <w:szCs w:val="20"/>
          <w:b w:val="1"/>
          <w:bCs w:val="1"/>
          <w:color w:val="auto"/>
        </w:rPr>
        <w:t>[Fundamental Decision to the extent it would result in an adverse and disproportionate impact on a</w:t>
      </w:r>
    </w:p>
    <w:p>
      <w:pPr>
        <w:spacing w:after="0" w:line="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Member]</w:t>
      </w:r>
    </w:p>
    <w:p>
      <w:pPr>
        <w:spacing w:after="0" w:line="153" w:lineRule="exact"/>
        <w:rPr>
          <w:rFonts w:ascii="Times New Roman" w:cs="Times New Roman" w:eastAsia="Times New Roman" w:hAnsi="Times New Roman"/>
          <w:sz w:val="20"/>
          <w:szCs w:val="20"/>
          <w:color w:val="auto"/>
        </w:rPr>
      </w:pPr>
    </w:p>
    <w:p>
      <w:pPr>
        <w:ind w:left="2920" w:hanging="968"/>
        <w:spacing w:after="0"/>
        <w:tabs>
          <w:tab w:leader="none" w:pos="2920"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admitting any additional Members into the Company, other than pursuant to a Permitted Transfer;</w:t>
      </w:r>
    </w:p>
    <w:p>
      <w:pPr>
        <w:spacing w:after="0" w:line="8" w:lineRule="exact"/>
        <w:rPr>
          <w:rFonts w:ascii="Times New Roman" w:cs="Times New Roman" w:eastAsia="Times New Roman" w:hAnsi="Times New Roman"/>
          <w:sz w:val="20"/>
          <w:szCs w:val="20"/>
          <w:color w:val="auto"/>
        </w:rPr>
      </w:pPr>
    </w:p>
    <w:p>
      <w:pPr>
        <w:spacing w:after="0" w:line="23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[Fundamental Decision to the extent the prospective new Member is a Competitor or admitting any new Member that is not an Affiliate of an existing Member within 12- months following the date of this Agreement]</w:t>
      </w:r>
    </w:p>
    <w:p>
      <w:pPr>
        <w:spacing w:after="0" w:line="133" w:lineRule="exact"/>
        <w:rPr>
          <w:rFonts w:ascii="Times New Roman" w:cs="Times New Roman" w:eastAsia="Times New Roman" w:hAnsi="Times New Roman"/>
          <w:sz w:val="20"/>
          <w:szCs w:val="20"/>
          <w:color w:val="auto"/>
        </w:rPr>
      </w:pPr>
    </w:p>
    <w:p>
      <w:pPr>
        <w:jc w:val="both"/>
        <w:ind w:firstLine="1952"/>
        <w:spacing w:after="0" w:line="232" w:lineRule="auto"/>
        <w:tabs>
          <w:tab w:leader="none" w:pos="2830"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expressly set forth in this Agreement or any Basic Document, causing the Company or any Subsidiary to pay or compensate a Member or an Affiliate of a Member; or entering into, supplementing, modifying or terminating any transaction with a Member or an Affiliate of a Member;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in each of the foregoing cases, that such determination and exercise shall require the approval of, and only of, the Managers appointed by the non-Affiliate Member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the Basic Documents are hereby approved);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notwithstanding anything to the contrary set forth herein or in the Basic Documents, Affiliate Agreements with a Member may only be terminated in accordance with their respective terms (subject, however, to the terms of the Supplemental Side Letter), or upon the occurrence and during the continuance of a Bad Act Termination Event with respect to such Member in accordance with </w:t>
      </w:r>
      <w:r>
        <w:rPr>
          <w:rFonts w:ascii="Times New Roman" w:cs="Times New Roman" w:eastAsia="Times New Roman" w:hAnsi="Times New Roman"/>
          <w:sz w:val="20"/>
          <w:szCs w:val="20"/>
          <w:u w:val="single" w:color="auto"/>
          <w:color w:val="auto"/>
        </w:rPr>
        <w:t>Section 4.2(a)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[Fundamental Decision for non-Affiliate Members]</w:t>
      </w:r>
    </w:p>
    <w:p>
      <w:pPr>
        <w:spacing w:after="0" w:line="152" w:lineRule="exact"/>
        <w:rPr>
          <w:rFonts w:ascii="Times New Roman" w:cs="Times New Roman" w:eastAsia="Times New Roman" w:hAnsi="Times New Roman"/>
          <w:sz w:val="20"/>
          <w:szCs w:val="20"/>
          <w:color w:val="auto"/>
        </w:rPr>
      </w:pPr>
    </w:p>
    <w:p>
      <w:pPr>
        <w:jc w:val="both"/>
        <w:ind w:firstLine="1952"/>
        <w:spacing w:after="0" w:line="231" w:lineRule="auto"/>
        <w:tabs>
          <w:tab w:leader="none" w:pos="2761"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making a determination that any Affiliate Service Provider or other Affiliate of a Member is in default under, or that there is a claim against such Affiliate under, any Affiliate Agreement; and the exercise of any rights and remedies under any Affiliate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in each of the foregoing cases, that such determination and exercise shall require the approval of, and only of, the Managers appointed by the non-Affiliate Member;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notwithstanding anything to the contrary set forth herein or in the Basic Documents, Affiliate Agreements with a Member may only be terminated in accordance with their respective terms (subject, however, to the terms of the Supplemental Side Letter) or upon the occurrence and during the continuance of a Bad Act Termination Event with respect to such Member in accordance with </w:t>
      </w:r>
      <w:r>
        <w:rPr>
          <w:rFonts w:ascii="Times New Roman" w:cs="Times New Roman" w:eastAsia="Times New Roman" w:hAnsi="Times New Roman"/>
          <w:sz w:val="20"/>
          <w:szCs w:val="20"/>
          <w:u w:val="single" w:color="auto"/>
          <w:color w:val="auto"/>
        </w:rPr>
        <w:t>Section 4.2(a)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[Fundamental Decision for non-Affiliate Members]</w:t>
      </w:r>
    </w:p>
    <w:p>
      <w:pPr>
        <w:spacing w:after="0" w:line="151" w:lineRule="exact"/>
        <w:rPr>
          <w:rFonts w:ascii="Times New Roman" w:cs="Times New Roman" w:eastAsia="Times New Roman" w:hAnsi="Times New Roman"/>
          <w:sz w:val="20"/>
          <w:szCs w:val="20"/>
          <w:color w:val="auto"/>
        </w:rPr>
      </w:pPr>
    </w:p>
    <w:p>
      <w:pPr>
        <w:jc w:val="both"/>
        <w:ind w:firstLine="1952"/>
        <w:spacing w:after="0" w:line="231" w:lineRule="auto"/>
        <w:tabs>
          <w:tab w:leader="none" w:pos="2724"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amending or modifying this Agreement, the Certificate of Formation or the organizational document of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Board or the Members (if a Fundamental Decision), as applicable, is/are unable to agree upon a matter set forth in this </w:t>
      </w:r>
      <w:r>
        <w:rPr>
          <w:rFonts w:ascii="Times New Roman" w:cs="Times New Roman" w:eastAsia="Times New Roman" w:hAnsi="Times New Roman"/>
          <w:sz w:val="20"/>
          <w:szCs w:val="20"/>
          <w:u w:val="single" w:color="auto"/>
          <w:color w:val="auto"/>
        </w:rPr>
        <w:t>clause (xxxvi)</w:t>
      </w:r>
      <w:r>
        <w:rPr>
          <w:rFonts w:ascii="Times New Roman" w:cs="Times New Roman" w:eastAsia="Times New Roman" w:hAnsi="Times New Roman"/>
          <w:sz w:val="20"/>
          <w:szCs w:val="20"/>
          <w:color w:val="auto"/>
        </w:rPr>
        <w:t xml:space="preserve"> after Reasonable Efforts to Resolve, such matter shall be determined by the SSP Managers unless Figure reasonably determines that such change would have, or is reasonably likely to have (A) in the case of any such amendment or modification</w:t>
      </w:r>
    </w:p>
    <w:p>
      <w:pPr>
        <w:ind w:left="260" w:hanging="252"/>
        <w:spacing w:after="0"/>
        <w:tabs>
          <w:tab w:leader="none" w:pos="26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are reasonably necessary for the Company or any Subsidiary to comply with applicable regulatory or legal requirements, (ii) any</w:t>
      </w:r>
    </w:p>
    <w:p>
      <w:pPr>
        <w:jc w:val="both"/>
        <w:spacing w:after="0" w:line="239" w:lineRule="auto"/>
        <w:rPr>
          <w:sz w:val="20"/>
          <w:szCs w:val="20"/>
          <w:color w:val="auto"/>
        </w:rPr>
      </w:pPr>
      <w:r>
        <w:rPr>
          <w:rFonts w:ascii="Times New Roman" w:cs="Times New Roman" w:eastAsia="Times New Roman" w:hAnsi="Times New Roman"/>
          <w:sz w:val="19"/>
          <w:szCs w:val="19"/>
          <w:color w:val="auto"/>
        </w:rPr>
        <w:t xml:space="preserve">such amendment or modification required to satisfy lender requirements in connection with any hedging, securitization, financing, warehousing or sale transaction in respect of any Company Assets undertaken in accordance with this Agreement, or (iii) which are necessary to implement a Material Decision or Fundamental Decision determined in accordance with </w:t>
      </w:r>
      <w:r>
        <w:rPr>
          <w:rFonts w:ascii="Times New Roman" w:cs="Times New Roman" w:eastAsia="Times New Roman" w:hAnsi="Times New Roman"/>
          <w:sz w:val="19"/>
          <w:szCs w:val="19"/>
          <w:u w:val="single" w:color="auto"/>
          <w:color w:val="auto"/>
        </w:rPr>
        <w:t>Section 8.3(a)(i)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8.3(a)(xv)</w:t>
      </w:r>
      <w:r>
        <w:rPr>
          <w:rFonts w:ascii="Times New Roman" w:cs="Times New Roman" w:eastAsia="Times New Roman" w:hAnsi="Times New Roman"/>
          <w:sz w:val="19"/>
          <w:szCs w:val="19"/>
          <w:color w:val="auto"/>
        </w:rPr>
        <w:t xml:space="preserve">, in each case, only to the extent not already approved under </w:t>
      </w:r>
      <w:r>
        <w:rPr>
          <w:rFonts w:ascii="Times New Roman" w:cs="Times New Roman" w:eastAsia="Times New Roman" w:hAnsi="Times New Roman"/>
          <w:sz w:val="19"/>
          <w:szCs w:val="19"/>
          <w:u w:val="single" w:color="auto"/>
          <w:color w:val="auto"/>
        </w:rPr>
        <w:t>Section 8.3(a)(i)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8.3(a)(xv)</w:t>
      </w:r>
      <w:r>
        <w:rPr>
          <w:rFonts w:ascii="Times New Roman" w:cs="Times New Roman" w:eastAsia="Times New Roman" w:hAnsi="Times New Roman"/>
          <w:sz w:val="19"/>
          <w:szCs w:val="19"/>
          <w:color w:val="auto"/>
        </w:rPr>
        <w:t xml:space="preserve">, a disproportionate and adverse effect on Figure, or (B) in the case of any other amendment or modification, an adverse effect on Figure, in which event each such matter shall require the prior written consent of Figure;** </w:t>
      </w:r>
      <w:r>
        <w:rPr>
          <w:rFonts w:ascii="Times New Roman" w:cs="Times New Roman" w:eastAsia="Times New Roman" w:hAnsi="Times New Roman"/>
          <w:sz w:val="19"/>
          <w:szCs w:val="19"/>
          <w:b w:val="1"/>
          <w:bCs w:val="1"/>
          <w:color w:val="auto"/>
        </w:rPr>
        <w:t>[Fundamental Decision for a Member to the extent any amendment or modification would have, or is reasonably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likely to have, (A) in the case of any such amendment or modification (i) which are necessary to comply with regulatory or legal requirements, (ii) any such amendment or modification required to satisfy lender requirements in connection with any hedging,</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b w:val="1"/>
          <w:bCs w:val="1"/>
          <w:color w:val="auto"/>
        </w:rPr>
        <w:t xml:space="preserve">securitization, financing, warehousing or sale transaction in respect of any Company Assets approved as a Material Decision, or (iii) which are necessary to implement a Material Decision or Fundamental Decision determined in accordance with </w:t>
      </w:r>
      <w:r>
        <w:rPr>
          <w:rFonts w:ascii="Times New Roman" w:cs="Times New Roman" w:eastAsia="Times New Roman" w:hAnsi="Times New Roman"/>
          <w:sz w:val="20"/>
          <w:szCs w:val="20"/>
          <w:b w:val="1"/>
          <w:bCs w:val="1"/>
          <w:u w:val="single" w:color="auto"/>
          <w:color w:val="auto"/>
        </w:rPr>
        <w:t>Section 8.3(a)(i)</w:t>
      </w:r>
      <w:r>
        <w:rPr>
          <w:rFonts w:ascii="Times New Roman" w:cs="Times New Roman" w:eastAsia="Times New Roman" w:hAnsi="Times New Roman"/>
          <w:sz w:val="20"/>
          <w:szCs w:val="20"/>
          <w:b w:val="1"/>
          <w:bCs w:val="1"/>
          <w:color w:val="auto"/>
        </w:rPr>
        <w:t xml:space="preserve"> or </w:t>
      </w:r>
      <w:r>
        <w:rPr>
          <w:rFonts w:ascii="Times New Roman" w:cs="Times New Roman" w:eastAsia="Times New Roman" w:hAnsi="Times New Roman"/>
          <w:sz w:val="20"/>
          <w:szCs w:val="20"/>
          <w:b w:val="1"/>
          <w:bCs w:val="1"/>
          <w:u w:val="single" w:color="auto"/>
          <w:color w:val="auto"/>
        </w:rPr>
        <w:t>8.3(a)(xv)</w:t>
      </w:r>
      <w:r>
        <w:rPr>
          <w:rFonts w:ascii="Times New Roman" w:cs="Times New Roman" w:eastAsia="Times New Roman" w:hAnsi="Times New Roman"/>
          <w:sz w:val="20"/>
          <w:szCs w:val="20"/>
          <w:b w:val="1"/>
          <w:bCs w:val="1"/>
          <w:color w:val="auto"/>
        </w:rPr>
        <w:t>, in each case, only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13" w:right="339" w:bottom="1440" w:gutter="0" w:footer="0" w:header="0"/>
        </w:sectPr>
      </w:pPr>
    </w:p>
    <w:bookmarkStart w:id="414" w:name="page415"/>
    <w:bookmarkEnd w:id="414"/>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not already approved under </w:t>
      </w:r>
      <w:r>
        <w:rPr>
          <w:rFonts w:ascii="Times New Roman" w:cs="Times New Roman" w:eastAsia="Times New Roman" w:hAnsi="Times New Roman"/>
          <w:sz w:val="20"/>
          <w:szCs w:val="20"/>
          <w:b w:val="1"/>
          <w:bCs w:val="1"/>
          <w:u w:val="single" w:color="auto"/>
          <w:color w:val="auto"/>
        </w:rPr>
        <w:t>Section 8.3(a)(i)</w:t>
      </w:r>
      <w:r>
        <w:rPr>
          <w:rFonts w:ascii="Times New Roman" w:cs="Times New Roman" w:eastAsia="Times New Roman" w:hAnsi="Times New Roman"/>
          <w:sz w:val="20"/>
          <w:szCs w:val="20"/>
          <w:b w:val="1"/>
          <w:bCs w:val="1"/>
          <w:color w:val="auto"/>
        </w:rPr>
        <w:t xml:space="preserve"> or </w:t>
      </w:r>
      <w:r>
        <w:rPr>
          <w:rFonts w:ascii="Times New Roman" w:cs="Times New Roman" w:eastAsia="Times New Roman" w:hAnsi="Times New Roman"/>
          <w:sz w:val="20"/>
          <w:szCs w:val="20"/>
          <w:b w:val="1"/>
          <w:bCs w:val="1"/>
          <w:u w:val="single" w:color="auto"/>
          <w:color w:val="auto"/>
        </w:rPr>
        <w:t>8.3(a)(xv)</w:t>
      </w:r>
      <w:r>
        <w:rPr>
          <w:rFonts w:ascii="Times New Roman" w:cs="Times New Roman" w:eastAsia="Times New Roman" w:hAnsi="Times New Roman"/>
          <w:sz w:val="20"/>
          <w:szCs w:val="20"/>
          <w:b w:val="1"/>
          <w:bCs w:val="1"/>
          <w:color w:val="auto"/>
        </w:rPr>
        <w:t>, a disproportionate and adverse effect on such Member, or (B) in the case of any other amendment or modification, an adverse effect on such Member, in each case, as reasonably determined by such Member]</w:t>
      </w:r>
    </w:p>
    <w:p>
      <w:pPr>
        <w:spacing w:after="0" w:line="139"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20"/>
          <w:szCs w:val="20"/>
          <w:color w:val="auto"/>
        </w:rPr>
        <w:t>(xxxvii)(A) filing any voluntary petition in bankruptcy on behalf of the Company or any Subsidiary, (B) consenting to the filing of any involuntary petition in bankruptcy against the Company or any Subsidiary, (C) filing any petition seeking, or consenting to, the reorganization or relief under any applicable federal or state law relating to bankruptcy or insolvency, (D) consenting to the appointment of a receiver, liquidator, assignee, trustee, sequestrator the Company or any Subsidiary or a substantial part of the property of the Company or any Subsidiary, (E) making any general assignment for the benefit of creditors, (F) admitting in writing of its inability to pay its debts generally as they become due or (G) taking any action by the Company or any Subsidiary in furtherance of any such action;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[Fundamental Decision]</w:t>
      </w:r>
    </w:p>
    <w:p>
      <w:pPr>
        <w:spacing w:after="0" w:line="173" w:lineRule="exact"/>
        <w:rPr>
          <w:sz w:val="20"/>
          <w:szCs w:val="20"/>
          <w:color w:val="auto"/>
        </w:rPr>
      </w:pPr>
    </w:p>
    <w:p>
      <w:pPr>
        <w:ind w:firstLine="1952"/>
        <w:spacing w:after="0" w:line="269" w:lineRule="auto"/>
        <w:tabs>
          <w:tab w:leader="none" w:pos="3053"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causing the Company or any Subsidiary to undertake a merger, consolidation or other form of reorganization; </w:t>
      </w:r>
      <w:r>
        <w:rPr>
          <w:rFonts w:ascii="Times New Roman" w:cs="Times New Roman" w:eastAsia="Times New Roman" w:hAnsi="Times New Roman"/>
          <w:sz w:val="20"/>
          <w:szCs w:val="20"/>
          <w:b w:val="1"/>
          <w:bCs w:val="1"/>
          <w:color w:val="auto"/>
        </w:rPr>
        <w:t>[Fundamental Decision]</w:t>
      </w:r>
    </w:p>
    <w:p>
      <w:pPr>
        <w:spacing w:after="0" w:line="132" w:lineRule="exact"/>
        <w:rPr>
          <w:rFonts w:ascii="Times New Roman" w:cs="Times New Roman" w:eastAsia="Times New Roman" w:hAnsi="Times New Roman"/>
          <w:sz w:val="20"/>
          <w:szCs w:val="20"/>
          <w:color w:val="auto"/>
        </w:rPr>
      </w:pPr>
    </w:p>
    <w:p>
      <w:pPr>
        <w:jc w:val="both"/>
        <w:ind w:firstLine="1952"/>
        <w:spacing w:after="0" w:line="261" w:lineRule="auto"/>
        <w:tabs>
          <w:tab w:leader="none" w:pos="2587"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than in accordance with </w:t>
      </w:r>
      <w:r>
        <w:rPr>
          <w:rFonts w:ascii="Times New Roman" w:cs="Times New Roman" w:eastAsia="Times New Roman" w:hAnsi="Times New Roman"/>
          <w:sz w:val="20"/>
          <w:szCs w:val="20"/>
          <w:u w:val="single" w:color="auto"/>
          <w:color w:val="auto"/>
        </w:rPr>
        <w:t>Article XIII</w:t>
      </w:r>
      <w:r>
        <w:rPr>
          <w:rFonts w:ascii="Times New Roman" w:cs="Times New Roman" w:eastAsia="Times New Roman" w:hAnsi="Times New Roman"/>
          <w:sz w:val="20"/>
          <w:szCs w:val="20"/>
          <w:color w:val="auto"/>
        </w:rPr>
        <w:t xml:space="preserve">, dissolve, liquidate or terminate the Company or any Subsidiary, approve or modify any plan of liquidation or dissolution of the Company or any Subsidiary, or the process and terms of the liquidation of the assets of the Company or any of its Subsidiaries; </w:t>
      </w:r>
      <w:r>
        <w:rPr>
          <w:rFonts w:ascii="Times New Roman" w:cs="Times New Roman" w:eastAsia="Times New Roman" w:hAnsi="Times New Roman"/>
          <w:sz w:val="20"/>
          <w:szCs w:val="20"/>
          <w:b w:val="1"/>
          <w:bCs w:val="1"/>
          <w:color w:val="auto"/>
        </w:rPr>
        <w:t>[Fundamental Decision]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60" w:type="dxa"/>
            <w:vAlign w:val="bottom"/>
          </w:tcPr>
          <w:p>
            <w:pPr>
              <w:ind w:left="1960"/>
              <w:spacing w:after="0"/>
              <w:rPr>
                <w:sz w:val="20"/>
                <w:szCs w:val="20"/>
                <w:color w:val="auto"/>
              </w:rPr>
            </w:pPr>
            <w:r>
              <w:rPr>
                <w:rFonts w:ascii="Times New Roman" w:cs="Times New Roman" w:eastAsia="Times New Roman" w:hAnsi="Times New Roman"/>
                <w:sz w:val="20"/>
                <w:szCs w:val="20"/>
                <w:color w:val="auto"/>
              </w:rPr>
              <w:t>(xl)</w:t>
            </w:r>
          </w:p>
        </w:tc>
        <w:tc>
          <w:tcPr>
            <w:tcW w:w="87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changing the nature of the business conducted by the Company from that described in Section 2.1;</w:t>
            </w:r>
          </w:p>
        </w:tc>
      </w:tr>
      <w:tr>
        <w:trPr>
          <w:trHeight w:val="269"/>
        </w:trPr>
        <w:tc>
          <w:tcPr>
            <w:tcW w:w="2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[Fundamental Decision]</w:t>
            </w:r>
          </w:p>
        </w:tc>
        <w:tc>
          <w:tcPr>
            <w:tcW w:w="7780" w:type="dxa"/>
            <w:vAlign w:val="bottom"/>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r>
      <w:tr>
        <w:trPr>
          <w:trHeight w:val="412"/>
        </w:trPr>
        <w:tc>
          <w:tcPr>
            <w:tcW w:w="2460" w:type="dxa"/>
            <w:vAlign w:val="bottom"/>
          </w:tcPr>
          <w:p>
            <w:pPr>
              <w:ind w:left="1960"/>
              <w:spacing w:after="0"/>
              <w:rPr>
                <w:sz w:val="20"/>
                <w:szCs w:val="20"/>
                <w:color w:val="auto"/>
              </w:rPr>
            </w:pPr>
            <w:r>
              <w:rPr>
                <w:rFonts w:ascii="Times New Roman" w:cs="Times New Roman" w:eastAsia="Times New Roman" w:hAnsi="Times New Roman"/>
                <w:sz w:val="20"/>
                <w:szCs w:val="20"/>
                <w:color w:val="auto"/>
              </w:rPr>
              <w:t>(xli)</w:t>
            </w:r>
          </w:p>
        </w:tc>
        <w:tc>
          <w:tcPr>
            <w:tcW w:w="87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borrowing money under a loan or enter into any other transaction which will require a Member or its</w:t>
            </w:r>
          </w:p>
        </w:tc>
      </w:tr>
    </w:tbl>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Affiliates to provide a guarantee or indemnity; or if a Member or its Affiliate has provided any such guaranties or indemnities on behalf of the Company or any Subsidiary, modifying or amending the underlying obligations in a manner which materially increases the scope of such guarantor’s or indemnitor’s recourse obligations or taking any action or inaction that would trigger such guarantor’s or indemnitor’s recourse obligations; </w:t>
      </w:r>
      <w:r>
        <w:rPr>
          <w:rFonts w:ascii="Times New Roman" w:cs="Times New Roman" w:eastAsia="Times New Roman" w:hAnsi="Times New Roman"/>
          <w:sz w:val="20"/>
          <w:szCs w:val="20"/>
          <w:b w:val="1"/>
          <w:bCs w:val="1"/>
          <w:color w:val="auto"/>
        </w:rPr>
        <w:t>[Fundamental Decision]</w:t>
      </w:r>
    </w:p>
    <w:p>
      <w:pPr>
        <w:spacing w:after="0" w:line="150"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20"/>
          <w:szCs w:val="20"/>
          <w:color w:val="auto"/>
        </w:rPr>
        <w:t xml:space="preserve">(xlii) entering into, amending or terminating any contract or agreement pursuant to which a Member or its Affiliate would become personally liable for the performance of any obligations of the Company, any Subsidiary or another Member; </w:t>
      </w:r>
      <w:r>
        <w:rPr>
          <w:rFonts w:ascii="Times New Roman" w:cs="Times New Roman" w:eastAsia="Times New Roman" w:hAnsi="Times New Roman"/>
          <w:sz w:val="20"/>
          <w:szCs w:val="20"/>
          <w:b w:val="1"/>
          <w:bCs w:val="1"/>
          <w:color w:val="auto"/>
        </w:rPr>
        <w:t>[Fundamental</w:t>
      </w:r>
    </w:p>
    <w:p>
      <w:pPr>
        <w:spacing w:after="0"/>
        <w:rPr>
          <w:sz w:val="20"/>
          <w:szCs w:val="20"/>
          <w:color w:val="auto"/>
        </w:rPr>
      </w:pPr>
      <w:r>
        <w:rPr>
          <w:rFonts w:ascii="Times New Roman" w:cs="Times New Roman" w:eastAsia="Times New Roman" w:hAnsi="Times New Roman"/>
          <w:sz w:val="20"/>
          <w:szCs w:val="20"/>
          <w:b w:val="1"/>
          <w:bCs w:val="1"/>
          <w:color w:val="auto"/>
        </w:rPr>
        <w:t>Decision]</w:t>
      </w:r>
    </w:p>
    <w:p>
      <w:pPr>
        <w:sectPr>
          <w:pgSz w:w="11900" w:h="16838" w:orient="portrait"/>
          <w:cols w:equalWidth="0" w:num="1">
            <w:col w:w="11240"/>
          </w:cols>
          <w:pgMar w:left="320" w:top="1409" w:right="339" w:bottom="1440" w:gutter="0" w:footer="0" w:header="0"/>
        </w:sectPr>
      </w:pPr>
    </w:p>
    <w:p>
      <w:pPr>
        <w:spacing w:after="0" w:line="16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9"/>
          <w:szCs w:val="19"/>
          <w:color w:val="auto"/>
        </w:rPr>
        <w:t>(xliii)</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engaging any employees; </w:t>
      </w:r>
      <w:r>
        <w:rPr>
          <w:rFonts w:ascii="Times New Roman" w:cs="Times New Roman" w:eastAsia="Times New Roman" w:hAnsi="Times New Roman"/>
          <w:sz w:val="19"/>
          <w:szCs w:val="19"/>
          <w:b w:val="1"/>
          <w:bCs w:val="1"/>
          <w:color w:val="auto"/>
        </w:rPr>
        <w:t>[Fundamental Decision]</w:t>
      </w:r>
    </w:p>
    <w:p>
      <w:pPr>
        <w:spacing w:after="0" w:line="203" w:lineRule="exact"/>
        <w:rPr>
          <w:sz w:val="20"/>
          <w:szCs w:val="20"/>
          <w:color w:val="auto"/>
        </w:rPr>
      </w:pPr>
    </w:p>
    <w:p>
      <w:pPr>
        <w:sectPr>
          <w:pgSz w:w="11900" w:h="16838" w:orient="portrait"/>
          <w:cols w:equalWidth="0" w:num="2">
            <w:col w:w="2400" w:space="200"/>
            <w:col w:w="8640"/>
          </w:cols>
          <w:pgMar w:left="320" w:top="1409" w:right="339" w:bottom="1440" w:gutter="0" w:footer="0" w:header="0"/>
          <w:type w:val="continuous"/>
        </w:sectPr>
      </w:pPr>
    </w:p>
    <w:p>
      <w:pPr>
        <w:ind w:left="1960"/>
        <w:spacing w:after="0"/>
        <w:tabs>
          <w:tab w:leader="none" w:pos="2560" w:val="left"/>
        </w:tabs>
        <w:rPr>
          <w:sz w:val="20"/>
          <w:szCs w:val="20"/>
          <w:color w:val="auto"/>
        </w:rPr>
      </w:pPr>
      <w:r>
        <w:rPr>
          <w:rFonts w:ascii="Times New Roman" w:cs="Times New Roman" w:eastAsia="Times New Roman" w:hAnsi="Times New Roman"/>
          <w:sz w:val="20"/>
          <w:szCs w:val="20"/>
          <w:color w:val="auto"/>
        </w:rPr>
        <w:t>(xliv)</w:t>
      </w:r>
      <w:r>
        <w:rPr>
          <w:sz w:val="20"/>
          <w:szCs w:val="20"/>
          <w:color w:val="auto"/>
        </w:rPr>
        <w:tab/>
      </w:r>
      <w:r>
        <w:rPr>
          <w:rFonts w:ascii="Times New Roman" w:cs="Times New Roman" w:eastAsia="Times New Roman" w:hAnsi="Times New Roman"/>
          <w:sz w:val="19"/>
          <w:szCs w:val="19"/>
          <w:color w:val="auto"/>
        </w:rPr>
        <w:t>amending or terminating any Basic Document that is not an Affiliate Agreement (it being understood that the</w:t>
      </w:r>
    </w:p>
    <w:p>
      <w:pPr>
        <w:sectPr>
          <w:pgSz w:w="11900" w:h="16838" w:orient="portrait"/>
          <w:cols w:equalWidth="0" w:num="1">
            <w:col w:w="11240"/>
          </w:cols>
          <w:pgMar w:left="320" w:top="1409" w:right="339" w:bottom="1440" w:gutter="0" w:footer="0" w:header="0"/>
          <w:type w:val="continuous"/>
        </w:sectPr>
      </w:pPr>
    </w:p>
    <w:p>
      <w:pPr>
        <w:spacing w:after="0" w:line="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amendment or termination of any Affiliate Agreement is covered by </w:t>
      </w:r>
      <w:r>
        <w:rPr>
          <w:rFonts w:ascii="Times New Roman" w:cs="Times New Roman" w:eastAsia="Times New Roman" w:hAnsi="Times New Roman"/>
          <w:sz w:val="20"/>
          <w:szCs w:val="20"/>
          <w:u w:val="single" w:color="auto"/>
          <w:color w:val="auto"/>
        </w:rPr>
        <w:t>clause (xxxiv))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Board is unable to agree upon a Material Decision set forth in this </w:t>
      </w:r>
      <w:r>
        <w:rPr>
          <w:rFonts w:ascii="Times New Roman" w:cs="Times New Roman" w:eastAsia="Times New Roman" w:hAnsi="Times New Roman"/>
          <w:sz w:val="20"/>
          <w:szCs w:val="20"/>
          <w:u w:val="single" w:color="auto"/>
          <w:color w:val="auto"/>
        </w:rPr>
        <w:t>clause (xliv)</w:t>
      </w:r>
      <w:r>
        <w:rPr>
          <w:rFonts w:ascii="Times New Roman" w:cs="Times New Roman" w:eastAsia="Times New Roman" w:hAnsi="Times New Roman"/>
          <w:sz w:val="20"/>
          <w:szCs w:val="20"/>
          <w:color w:val="auto"/>
        </w:rPr>
        <w:t xml:space="preserve"> after Reasonable Efforts to Resolve, such matter shall be determined by the SSP Managers unless such change would have, or is reasonably likely to have, an adverse and disproportionate effect on Figure, as reasonably determined by Figure;**</w:t>
      </w:r>
    </w:p>
    <w:p>
      <w:pPr>
        <w:spacing w:after="0" w:line="155" w:lineRule="exact"/>
        <w:rPr>
          <w:sz w:val="20"/>
          <w:szCs w:val="20"/>
          <w:color w:val="auto"/>
        </w:rPr>
      </w:pPr>
    </w:p>
    <w:p>
      <w:pPr>
        <w:jc w:val="both"/>
        <w:ind w:firstLine="1944"/>
        <w:spacing w:after="0" w:line="268" w:lineRule="auto"/>
        <w:rPr>
          <w:sz w:val="20"/>
          <w:szCs w:val="20"/>
          <w:color w:val="auto"/>
        </w:rPr>
      </w:pPr>
      <w:r>
        <w:rPr>
          <w:rFonts w:ascii="Times New Roman" w:cs="Times New Roman" w:eastAsia="Times New Roman" w:hAnsi="Times New Roman"/>
          <w:sz w:val="20"/>
          <w:szCs w:val="20"/>
          <w:color w:val="auto"/>
        </w:rPr>
        <w:t xml:space="preserve">(xlv) any action by, or with respect to, a Subsidiary of the Company which, if taken by or with respect to the Company, would be a Material Decision or Fundamental Decision, as applicable, under any other provision </w:t>
      </w:r>
      <w:r>
        <w:rPr>
          <w:rFonts w:ascii="Times New Roman" w:cs="Times New Roman" w:eastAsia="Times New Roman" w:hAnsi="Times New Roman"/>
          <w:sz w:val="20"/>
          <w:szCs w:val="20"/>
          <w:b w:val="1"/>
          <w:bCs w:val="1"/>
          <w:color w:val="auto"/>
        </w:rPr>
        <w:t>[Fundamental Decision to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extent relating to a matter that would otherwise constitute a Fundamental Decision]</w:t>
      </w:r>
      <w:r>
        <w:rPr>
          <w:rFonts w:ascii="Times New Roman" w:cs="Times New Roman" w:eastAsia="Times New Roman" w:hAnsi="Times New Roman"/>
          <w:sz w:val="20"/>
          <w:szCs w:val="20"/>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409" w:right="339" w:bottom="1440" w:gutter="0" w:footer="0" w:header="0"/>
          <w:type w:val="continuous"/>
        </w:sectPr>
      </w:pPr>
    </w:p>
    <w:bookmarkStart w:id="415" w:name="page416"/>
    <w:bookmarkEnd w:id="415"/>
    <w:p>
      <w:pPr>
        <w:ind w:firstLine="1944"/>
        <w:spacing w:after="0" w:line="283" w:lineRule="auto"/>
        <w:rPr>
          <w:sz w:val="20"/>
          <w:szCs w:val="20"/>
          <w:color w:val="auto"/>
        </w:rPr>
      </w:pPr>
      <w:r>
        <w:rPr>
          <w:rFonts w:ascii="Times New Roman" w:cs="Times New Roman" w:eastAsia="Times New Roman" w:hAnsi="Times New Roman"/>
          <w:sz w:val="20"/>
          <w:szCs w:val="20"/>
          <w:color w:val="auto"/>
        </w:rPr>
        <w:t>(xlvi) the approval, determination or any other action expressly reserved to the Board under this Agreement, including, without limitation, any modification, amendment or renewal of any matter previously requiring the approval of the Board.</w:t>
      </w:r>
    </w:p>
    <w:p>
      <w:pPr>
        <w:spacing w:after="0" w:line="119" w:lineRule="exact"/>
        <w:rPr>
          <w:sz w:val="20"/>
          <w:szCs w:val="20"/>
          <w:color w:val="auto"/>
        </w:rPr>
      </w:pPr>
    </w:p>
    <w:p>
      <w:pPr>
        <w:jc w:val="both"/>
        <w:ind w:firstLine="1304"/>
        <w:spacing w:after="0" w:line="251" w:lineRule="auto"/>
        <w:tabs>
          <w:tab w:leader="none" w:pos="1751"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Fundamental Decisions</w:t>
      </w:r>
      <w:r>
        <w:rPr>
          <w:rFonts w:ascii="Times New Roman" w:cs="Times New Roman" w:eastAsia="Times New Roman" w:hAnsi="Times New Roman"/>
          <w:sz w:val="20"/>
          <w:szCs w:val="20"/>
          <w:color w:val="auto"/>
        </w:rPr>
        <w:t>. Anything in this Agreement to the contrary notwithstanding, none of the Members, the Board or Administrative Member shall, without the prior written consent of the specific act by all the Members (which shall be deemed given by a Member if all of the Managers appointed by such Member approve such act as a Material Decision) given in accordance with this Agreement or by other written instrument executed and delivered by all the Members subsequent to the date of this Agreement, in each case, regardless of whether a Member is a Defaulting Member, cause or permit the Company or any Subsidiary to take any actions or decisions constituting a Fundamental Decision.</w:t>
      </w:r>
    </w:p>
    <w:p>
      <w:pPr>
        <w:spacing w:after="0" w:line="149" w:lineRule="exact"/>
        <w:rPr>
          <w:rFonts w:ascii="Times New Roman" w:cs="Times New Roman" w:eastAsia="Times New Roman" w:hAnsi="Times New Roman"/>
          <w:sz w:val="20"/>
          <w:szCs w:val="20"/>
          <w:color w:val="auto"/>
        </w:rPr>
      </w:pPr>
    </w:p>
    <w:p>
      <w:pPr>
        <w:jc w:val="both"/>
        <w:ind w:firstLine="1304"/>
        <w:spacing w:after="0" w:line="250" w:lineRule="auto"/>
        <w:tabs>
          <w:tab w:leader="none" w:pos="1848"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REMIC Interests</w:t>
      </w:r>
      <w:r>
        <w:rPr>
          <w:rFonts w:ascii="Times New Roman" w:cs="Times New Roman" w:eastAsia="Times New Roman" w:hAnsi="Times New Roman"/>
          <w:sz w:val="20"/>
          <w:szCs w:val="20"/>
          <w:color w:val="auto"/>
        </w:rPr>
        <w:t xml:space="preserve">. Notwithstanding anything to the contrary, the Company shall not acquire any REMIC residual interests (as defined in Section 860G(a)(2) of the Code) except in accordance with this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Notwithstanding the foregoing, the Company may acquire one or more REMIC residual interests in connection with issuance of REMIC securities with respect to which it is treated as a sponsor for federal income tax purposes (or is an affiliate of a sponsor),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acquisition of any REMIC residual interest, the Company has entered into a contract to dispose of such REMIC residual interest, and pursuant to which the transferee is required to treat the transfer of ownership of the REMIC residual interest for federal income tax purposes as occurring simultaneously (or immediately after) its acquisition by the Company. In the event that no such transfer is affected, the Company and Figure shall be treated as holding the REMIC residual interest on behalf of Figure (or its designee) for federal income tax purposes. In the event the Company is treated as the owner of any residual interest for federal income tax purposes, notwithstanding anything herein to the contrary, all income (including excess inclusion income, as defined in Section 860E of the Code), gain, loss, deductions, and credits shall be allocated to Figure. Notwithstanding the foregoing, the Company may hold a REMIC residual interest (as defined in Section 860G(a)(2) of the Code) in a securitization with respect to which it is treated as a sponsor for federal income tax purposes (or is an affiliate of a sponsor) and such REMIC residual interest represents the obligation to make funding draws on HELOCs, so long as there is no expectation of a material amount of associated phantom income.</w:t>
      </w:r>
    </w:p>
    <w:p>
      <w:pPr>
        <w:spacing w:after="0" w:line="15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8.4</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18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8.5</w:t>
      </w:r>
      <w:r>
        <w:rPr>
          <w:sz w:val="20"/>
          <w:szCs w:val="20"/>
          <w:color w:val="auto"/>
        </w:rPr>
        <w:tab/>
      </w:r>
      <w:r>
        <w:rPr>
          <w:rFonts w:ascii="Times New Roman" w:cs="Times New Roman" w:eastAsia="Times New Roman" w:hAnsi="Times New Roman"/>
          <w:sz w:val="19"/>
          <w:szCs w:val="19"/>
          <w:b w:val="1"/>
          <w:bCs w:val="1"/>
          <w:color w:val="auto"/>
        </w:rPr>
        <w:t>Actions of Administrative Member.</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 Person dealing with the Company shall have any obligation to inquire into the power or authority of Administrative Member acting on behalf of the Company. Any person dealing with the Company may rely (without duty of further inquiry) upon a certificate issued by the Company that is signed by Administrative Member or any Manager as to any of the following: (a) the identity of any Member, Administrative Member or authorized signatory of the Company; or (b) the person or persons authorized to execute and deliver any instrument or document of the Company.</w:t>
      </w:r>
    </w:p>
    <w:p>
      <w:pPr>
        <w:spacing w:after="0" w:line="14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8.6</w:t>
      </w:r>
      <w:r>
        <w:rPr>
          <w:sz w:val="20"/>
          <w:szCs w:val="20"/>
          <w:color w:val="auto"/>
        </w:rPr>
        <w:tab/>
      </w:r>
      <w:r>
        <w:rPr>
          <w:rFonts w:ascii="Times New Roman" w:cs="Times New Roman" w:eastAsia="Times New Roman" w:hAnsi="Times New Roman"/>
          <w:sz w:val="19"/>
          <w:szCs w:val="19"/>
          <w:b w:val="1"/>
          <w:bCs w:val="1"/>
          <w:color w:val="auto"/>
        </w:rPr>
        <w:t>Limitation on Liability; Indemnification.</w:t>
      </w:r>
    </w:p>
    <w:p>
      <w:pPr>
        <w:spacing w:after="0" w:line="193" w:lineRule="exact"/>
        <w:rPr>
          <w:sz w:val="20"/>
          <w:szCs w:val="20"/>
          <w:color w:val="auto"/>
        </w:rPr>
      </w:pPr>
    </w:p>
    <w:p>
      <w:pPr>
        <w:jc w:val="both"/>
        <w:ind w:firstLine="1304"/>
        <w:spacing w:after="0" w:line="261" w:lineRule="auto"/>
        <w:tabs>
          <w:tab w:leader="none" w:pos="1744"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debts, obligations and liabilities of the Company, whether arising in contract, tort or otherwise, shall be solely the debts, obligations and liabilities of the Company, and no Member, Partnership Representative, or Manager shall be obligated personally for any such debt, obligation or liability of the Company solely by reason of being a Member, Partnership Representative, or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13" w:right="339" w:bottom="1440" w:gutter="0" w:footer="0" w:header="0"/>
        </w:sectPr>
      </w:pPr>
    </w:p>
    <w:bookmarkStart w:id="416" w:name="page417"/>
    <w:bookmarkEnd w:id="416"/>
    <w:p>
      <w:pPr>
        <w:jc w:val="both"/>
        <w:ind w:firstLine="1304"/>
        <w:spacing w:after="0" w:line="251" w:lineRule="auto"/>
        <w:tabs>
          <w:tab w:leader="none" w:pos="1931"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fullest extent permitted by applicable law, no Manager, Member, Administrative Member, Partnership Representative, or any of their respective Related Parties, agents or representatives (collectively, the “</w:t>
      </w:r>
      <w:r>
        <w:rPr>
          <w:rFonts w:ascii="Times New Roman" w:cs="Times New Roman" w:eastAsia="Times New Roman" w:hAnsi="Times New Roman"/>
          <w:sz w:val="20"/>
          <w:szCs w:val="20"/>
          <w:b w:val="1"/>
          <w:bCs w:val="1"/>
          <w:color w:val="auto"/>
        </w:rPr>
        <w:t>Covered Persons</w:t>
      </w:r>
      <w:r>
        <w:rPr>
          <w:rFonts w:ascii="Times New Roman" w:cs="Times New Roman" w:eastAsia="Times New Roman" w:hAnsi="Times New Roman"/>
          <w:sz w:val="20"/>
          <w:szCs w:val="20"/>
          <w:color w:val="auto"/>
        </w:rPr>
        <w:t>”) shall be liable to the Company or any Member for any loss, damage, expense, liability or claim (including judgments, fines, penalties, interest, amounts paid in settlement with the approval of the Board, and attorneys’ fees and disbursements) (collectively, “</w:t>
      </w:r>
      <w:r>
        <w:rPr>
          <w:rFonts w:ascii="Times New Roman" w:cs="Times New Roman" w:eastAsia="Times New Roman" w:hAnsi="Times New Roman"/>
          <w:sz w:val="20"/>
          <w:szCs w:val="20"/>
          <w:b w:val="1"/>
          <w:bCs w:val="1"/>
          <w:color w:val="auto"/>
        </w:rPr>
        <w:t>Indemnifiable Losses</w:t>
      </w:r>
      <w:r>
        <w:rPr>
          <w:rFonts w:ascii="Times New Roman" w:cs="Times New Roman" w:eastAsia="Times New Roman" w:hAnsi="Times New Roman"/>
          <w:sz w:val="20"/>
          <w:szCs w:val="20"/>
          <w:color w:val="auto"/>
        </w:rPr>
        <w:t>”) arising out of any act or omission by such Covered Person in its capacity as such in good faith arising out of or in connection with this Agreement or the business or affairs of the Company or the Subsidiaries in a manner reasonably believed to be within the scope of authority conferred on such Covered Person by this Agreement, except for any actual direct Indemnifiable Losses arising out of any Unindemnifiable Act of such Covered Person or any Affiliate thereof.</w:t>
      </w:r>
    </w:p>
    <w:p>
      <w:pPr>
        <w:spacing w:after="0" w:line="154" w:lineRule="exact"/>
        <w:rPr>
          <w:rFonts w:ascii="Times New Roman" w:cs="Times New Roman" w:eastAsia="Times New Roman" w:hAnsi="Times New Roman"/>
          <w:sz w:val="20"/>
          <w:szCs w:val="20"/>
          <w:color w:val="auto"/>
        </w:rPr>
      </w:pPr>
    </w:p>
    <w:p>
      <w:pPr>
        <w:jc w:val="both"/>
        <w:ind w:firstLine="1304"/>
        <w:spacing w:after="0" w:line="266" w:lineRule="auto"/>
        <w:tabs>
          <w:tab w:leader="none" w:pos="1834" w:val="left"/>
        </w:tabs>
        <w:numPr>
          <w:ilvl w:val="0"/>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indemnify each Covered Person, to the fullest extent permitted by applicable law, against all Indemnifiable Losses incurred by reason of any act or omission by such Covered Person related to, in connection with, or arising from the performance of any of his, her or its duties or obligations in connection with the Company, the business and operations of the Company, this Agreement, or any investment made by or on behalf of, or held by or on behalf of, the Company or its Subsidiaries, including in connection with any civil, criminal, administrative, investigative or other action, suit or proceeding to which any such Covered Person may hereafter be made party by reason of being or having been a Covered Person, except for any for any actual direct Indemnifiable Losses arising from any Unindemnifiable Act of such Covered Person or any Affiliate thereof. The provisions of this Agreement, to the extent they restrict, modify or eliminate any or all of the duties and liabilities of each Covered Person otherwise existing at law or in equity, are agreed and accepted by each Member to restrict, modify or eliminate such duties and liabilities of each Covered Person to the fullest extent permitted by law.</w:t>
      </w:r>
    </w:p>
    <w:p>
      <w:pPr>
        <w:spacing w:after="0" w:line="142" w:lineRule="exact"/>
        <w:rPr>
          <w:rFonts w:ascii="Times New Roman" w:cs="Times New Roman" w:eastAsia="Times New Roman" w:hAnsi="Times New Roman"/>
          <w:sz w:val="19"/>
          <w:szCs w:val="19"/>
          <w:color w:val="auto"/>
        </w:rPr>
      </w:pPr>
    </w:p>
    <w:p>
      <w:pPr>
        <w:jc w:val="both"/>
        <w:ind w:firstLine="1304"/>
        <w:spacing w:after="0" w:line="253" w:lineRule="auto"/>
        <w:tabs>
          <w:tab w:leader="none" w:pos="1756"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the approval of the Board, expenses (including attorneys’ fees and disbursements) incurred by a Covered Person in defending any civil, criminal, administrative or investigative action, suit or proceeding with respect to which such Covered Person is entitled to indemnification pursuant to this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may be paid by the Company in advance of the final disposition of such action, suit or proceeding upon receipt of a written undertaking by or on behalf of such Covered Person to repay such amount if it shall be finally determined by a court of competent jurisdiction that such Covered Person engaged in any Unindemnifiable Act.</w:t>
      </w:r>
    </w:p>
    <w:p>
      <w:pPr>
        <w:spacing w:after="0" w:line="151"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86"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fullest extent permitted by law, each Member shall indemnify and hold harmless the Company and the other Members and their respective Covered Persons from and against any and all actual direct Indemnifiable Losses incurred by such Person arising out of or attributable to such Member’s (or its Affiliate’s) Unindemnifiable Acts.</w:t>
      </w:r>
    </w:p>
    <w:p>
      <w:pPr>
        <w:spacing w:after="0" w:line="140" w:lineRule="exact"/>
        <w:rPr>
          <w:rFonts w:ascii="Times New Roman" w:cs="Times New Roman" w:eastAsia="Times New Roman" w:hAnsi="Times New Roman"/>
          <w:sz w:val="20"/>
          <w:szCs w:val="20"/>
          <w:color w:val="auto"/>
        </w:rPr>
      </w:pPr>
    </w:p>
    <w:p>
      <w:pPr>
        <w:jc w:val="both"/>
        <w:ind w:firstLine="1304"/>
        <w:spacing w:after="0" w:line="252" w:lineRule="auto"/>
        <w:tabs>
          <w:tab w:leader="none" w:pos="1701"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indemnification and advancement of expenses provided by or granted pursuant to this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are not exclusive and are in addition to any other rights to which those seeking indemnification or advancement of expenses may be entitled under this Agreement, or any other agreement or document, vote of the Board or the Members or otherwise, and shall continue as to a Covered Person who has ceased to serve in such capacity and shall inure to the benefit of the heirs, successors, assigns and administrators of the Covered Person unless otherwise provided in a written agreement with such Covered Person or in the writing pursuant to which such Covered Person is indemnified, it being agreed that indemnification and advancement of expenses of the Covered Persons as specified in this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shall be made to the fullest extent permitted by applicable law, except as otherwise provided herein. The provisions of this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shall not be deemed to preclude the indemnification of any Person who is not specified herein but whom the Company has the power or obligation to indemnify under the provisions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413" w:right="339" w:bottom="1440" w:gutter="0" w:footer="0" w:header="0"/>
        </w:sectPr>
      </w:pPr>
    </w:p>
    <w:bookmarkStart w:id="417" w:name="page418"/>
    <w:bookmarkEnd w:id="417"/>
    <w:p>
      <w:pPr>
        <w:jc w:val="both"/>
        <w:ind w:firstLine="1304"/>
        <w:spacing w:after="0" w:line="231" w:lineRule="auto"/>
        <w:tabs>
          <w:tab w:leader="none" w:pos="1766"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Covered Persons may, in the performance of such Covered Person’s duties arising under or in connection with this Agreement or the business and affairs of the Company or any of the Subsidiaries, consult with legal counsel and accountants, and any act or omission by such Covered Person on behalf of the Company in furtherance of the interests of the Company in good faith in reliance upon, and in accordance with, the advice of such legal counsel or accountants will be full justification for any such act or omission, and such Covered Person will be fully protected for such acts and omissions; provided that such legal counsel or accountants were selected with reasonable care by or on behalf of the Company. A Covered Person shall be fully protected in relying in good faith upon the records of the Company and on such information, opinions, reports or statements presented to the Company by any of the officers or employees of the Company or of any of its Subsidiaries or Affiliates, or by any other Person as to matters such Covered Person reasonably believes are within such other Person’s professional or expert competence.</w:t>
      </w:r>
    </w:p>
    <w:p>
      <w:pPr>
        <w:spacing w:after="0" w:line="140" w:lineRule="exact"/>
        <w:rPr>
          <w:rFonts w:ascii="Times New Roman" w:cs="Times New Roman" w:eastAsia="Times New Roman" w:hAnsi="Times New Roman"/>
          <w:sz w:val="20"/>
          <w:szCs w:val="20"/>
          <w:color w:val="auto"/>
        </w:rPr>
      </w:pPr>
    </w:p>
    <w:p>
      <w:pPr>
        <w:jc w:val="both"/>
        <w:ind w:firstLine="1304"/>
        <w:spacing w:after="0" w:line="230" w:lineRule="auto"/>
        <w:tabs>
          <w:tab w:leader="none" w:pos="1723"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amendment, modification or repeal of this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shall be prospective only and shall not in any way affect the limitations on the liability of any Covered Person under this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 and provided such Person became a Covered Person hereunder prior to such amendment, modification or repeal. If this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or any portion of this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shall be invalidated on any ground by a court of competent jurisdiction, the Company shall nevertheless indemnify each Covered Person as to actual direct Indemnifiable Losses to the full extent permitted by any applicable portion of this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that shall not have been invalidated. The obligations of the Company under this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shall survive any termination of this Agreement for a period of one (1) year from the date of dissolution of the Company, provided that (i) if at the end of such period there are any actions, proceedings or investigations then pending, any Covered Person may so notify the Company and the other Members at such time (which notice shall include a brief description of each such action, proceeding or investigation and the liabilities asserted therein) and the provisions of this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shall survive with respect to each such action, proceeding or investigation set forth in such notice (or any related action, proceeding or investigation based upon the same or similar claim) until such date that such action, proceeding or investigation is finally resolved and (ii) the obligations of the Company under this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shall be satisfied solely out of Company assets.</w:t>
      </w:r>
    </w:p>
    <w:p>
      <w:pPr>
        <w:spacing w:after="0" w:line="154" w:lineRule="exact"/>
        <w:rPr>
          <w:rFonts w:ascii="Times New Roman" w:cs="Times New Roman" w:eastAsia="Times New Roman" w:hAnsi="Times New Roman"/>
          <w:sz w:val="20"/>
          <w:szCs w:val="20"/>
          <w:color w:val="auto"/>
        </w:rPr>
      </w:pPr>
    </w:p>
    <w:p>
      <w:pPr>
        <w:jc w:val="both"/>
        <w:ind w:firstLine="1304"/>
        <w:spacing w:after="0" w:line="229" w:lineRule="auto"/>
        <w:tabs>
          <w:tab w:leader="none" w:pos="1675"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Covered Person seeking indemnification under this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will give prompt written notice to the Company or the other indemnifying Member, as applicable, of any third party claim that may give rise to indemnification under this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failure or delay in providing such notice shall not affect the rights of such Covered Person or obligations of the Company except to the extent that, as a result of such failure, the Company or the other indemnifying Member, as applicable, shall have been prejudiced by the Covered Person’s failure to give such notice, in which case the Company shall be relieved from its obligations under this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only to the extent of such prejudice, unless approved by the Board. If the Company or the other indemnifying Member, as applicable, elects to conduct the defense of the third party claim, the Covered Person will cooperate with and make available to the Company or the other indemnifying Member, as applicable, such assistance, personnel, witnesses and materials as the Company may reasonably request. The Company or the other indemnifying Member, as applicable, may elect at any time to settle or compromise any such action or claim or to defend such action or claim, in each case at its sole cost and expense and with its own counsel. If, within thirty (30) days of receipt from a Covered Person of the notice referred to above, the Company or the other indemnifying Member, as applicable, (i) advises the Covered Person in writing that it shall not elect to defend, settle or otherwise compromise or pay such action or claim or (ii) fails to make such an election in writing, the Covered Person may (subject to the Company’s or the other indemnifying Member, as applicable, continuing right of election in the preceding sentence), at such Covered Person’s option, defend, settle, compromise or pay such action or claim;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settlement or compromise by any Covered Person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413" w:right="339" w:bottom="1440" w:gutter="0" w:footer="0" w:header="0"/>
        </w:sectPr>
      </w:pPr>
    </w:p>
    <w:bookmarkStart w:id="418" w:name="page419"/>
    <w:bookmarkEnd w:id="418"/>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permitted hereunder only with the written consent of the Company or the other indemnifying Member, as applicable. The Company or the other indemnifying Member, as applicable, shall not settle any third party claim subject to indemnification under this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against a Covered Person where the Covered Person is not released from liability resulting from such third party claim without the Covered Person’s consent.</w:t>
      </w:r>
    </w:p>
    <w:p>
      <w:pPr>
        <w:spacing w:after="0" w:line="139" w:lineRule="exact"/>
        <w:rPr>
          <w:sz w:val="20"/>
          <w:szCs w:val="20"/>
          <w:color w:val="auto"/>
        </w:rPr>
      </w:pPr>
    </w:p>
    <w:p>
      <w:pPr>
        <w:jc w:val="both"/>
        <w:ind w:firstLine="1304"/>
        <w:spacing w:after="0" w:line="243" w:lineRule="auto"/>
        <w:tabs>
          <w:tab w:leader="none" w:pos="1713"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Covered Person is entitled under any provision of this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to indemnification by the Company or the other indemnifying Member, as applicable, for some or a portion of the expenses or Indemnifiable Losses incurred by such Covered Person in the preparation, investigation, defense, appeal or settlement of any action or claim, but not, however, for the total amount thereof, the Company or the other indemnifying Member, as applicable, shall indemnify the Covered Person for the portion of such expenses or Indemnifiable Losses to which the Covered Person is entitled.</w:t>
      </w:r>
    </w:p>
    <w:p>
      <w:pPr>
        <w:spacing w:after="0" w:line="145" w:lineRule="exact"/>
        <w:rPr>
          <w:rFonts w:ascii="Times New Roman" w:cs="Times New Roman" w:eastAsia="Times New Roman" w:hAnsi="Times New Roman"/>
          <w:sz w:val="20"/>
          <w:szCs w:val="20"/>
          <w:color w:val="auto"/>
        </w:rPr>
      </w:pPr>
    </w:p>
    <w:p>
      <w:pPr>
        <w:jc w:val="both"/>
        <w:ind w:firstLine="1304"/>
        <w:spacing w:after="0" w:line="241" w:lineRule="auto"/>
        <w:tabs>
          <w:tab w:leader="none" w:pos="1757"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parties hereto acknowledge and agree that the Persons who are Covered Persons hereunder may be involved with the Company and its Subsidiaries in other capacities in addition to being a Member, Administrative Member, Partnership Representative or Manager of the Company, or their respective Related Parties, agents or representatives. Notwithstanding anything contained herein to the contrary, the indemnification, exculpation, advancement of expenses and other rights and obligations set forth in this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shall not apply or be available to any Covered Person with respect to any actions or omissions of such Covered Person in any capacity other than as a Member, Administrative Member, Partnership Representative or Manager of the Company, or their respective Related Parties, agents or representatives, unless approved by the Board, or in the case of an Affiliated Party, by the Members. The amount of any recovery by a Covered Person pursuant to this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shall be reduced by any indemnification and similar payments actually recovered by any Covered Person or such Covered Person’s Affiliates under any Basic Document.</w:t>
      </w:r>
    </w:p>
    <w:p>
      <w:pPr>
        <w:spacing w:after="0" w:line="14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8.7</w:t>
      </w:r>
      <w:r>
        <w:rPr>
          <w:sz w:val="20"/>
          <w:szCs w:val="20"/>
          <w:color w:val="auto"/>
        </w:rPr>
        <w:tab/>
      </w:r>
      <w:r>
        <w:rPr>
          <w:rFonts w:ascii="Times New Roman" w:cs="Times New Roman" w:eastAsia="Times New Roman" w:hAnsi="Times New Roman"/>
          <w:sz w:val="19"/>
          <w:szCs w:val="19"/>
          <w:b w:val="1"/>
          <w:bCs w:val="1"/>
          <w:color w:val="auto"/>
        </w:rPr>
        <w:t>Manager’s Discharge of Duties.</w:t>
      </w:r>
    </w:p>
    <w:p>
      <w:pPr>
        <w:spacing w:after="0" w:line="19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In discharging its duties, Administrative Member and each Manager shall be fully protected in relying in good faith upon the records of the Company and upon such information, opinions, reports or statements by any Person as to matters Administrative Member or such Manager reasonably believes are within such other Person’s professional or expert competence and who has been selected with reasonable care by or on behalf of the Company, including information, opinions, reports or statements as to the value and amount of the assets, liabilities, Profits or Losses of the Company or any other facts pertinent to the existence and amount of assets from which Distributions to Members might properly be paid.</w:t>
      </w:r>
    </w:p>
    <w:p>
      <w:pPr>
        <w:spacing w:after="0" w:line="14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8.8</w:t>
      </w:r>
      <w:r>
        <w:rPr>
          <w:sz w:val="20"/>
          <w:szCs w:val="20"/>
          <w:color w:val="auto"/>
        </w:rPr>
        <w:tab/>
      </w:r>
      <w:r>
        <w:rPr>
          <w:rFonts w:ascii="Times New Roman" w:cs="Times New Roman" w:eastAsia="Times New Roman" w:hAnsi="Times New Roman"/>
          <w:sz w:val="19"/>
          <w:szCs w:val="19"/>
          <w:b w:val="1"/>
          <w:bCs w:val="1"/>
          <w:color w:val="auto"/>
        </w:rPr>
        <w:t>Resignation; Removal of Manager.</w:t>
      </w:r>
    </w:p>
    <w:p>
      <w:pPr>
        <w:spacing w:after="0" w:line="179" w:lineRule="exact"/>
        <w:rPr>
          <w:sz w:val="20"/>
          <w:szCs w:val="20"/>
          <w:color w:val="auto"/>
        </w:rPr>
      </w:pPr>
    </w:p>
    <w:p>
      <w:pPr>
        <w:jc w:val="both"/>
        <w:ind w:firstLine="1304"/>
        <w:spacing w:after="0" w:line="249" w:lineRule="auto"/>
        <w:tabs>
          <w:tab w:leader="none" w:pos="1713"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the vacancy on the Board, at any time by the death, disability, retirement, resignation or removal (with or without cause) of a Manager, then, subject to </w:t>
      </w:r>
      <w:r>
        <w:rPr>
          <w:rFonts w:ascii="Times New Roman" w:cs="Times New Roman" w:eastAsia="Times New Roman" w:hAnsi="Times New Roman"/>
          <w:sz w:val="20"/>
          <w:szCs w:val="20"/>
          <w:u w:val="single" w:color="auto"/>
          <w:color w:val="auto"/>
        </w:rPr>
        <w:t>Section 8.1(b)</w:t>
      </w:r>
      <w:r>
        <w:rPr>
          <w:rFonts w:ascii="Times New Roman" w:cs="Times New Roman" w:eastAsia="Times New Roman" w:hAnsi="Times New Roman"/>
          <w:sz w:val="20"/>
          <w:szCs w:val="20"/>
          <w:color w:val="auto"/>
        </w:rPr>
        <w:t xml:space="preserve">, and so long as such Member is not a Defaulting Member, the Member that appointed such Manager shall have the right to appoint a replacement Manager to fill such vacancy at any time and from time to time; provided, that any replacement shall satisfy the requirements of </w:t>
      </w:r>
      <w:r>
        <w:rPr>
          <w:rFonts w:ascii="Times New Roman" w:cs="Times New Roman" w:eastAsia="Times New Roman" w:hAnsi="Times New Roman"/>
          <w:sz w:val="20"/>
          <w:szCs w:val="20"/>
          <w:u w:val="single" w:color="auto"/>
          <w:color w:val="auto"/>
        </w:rPr>
        <w:t>Section 8.1(b)</w:t>
      </w:r>
      <w:r>
        <w:rPr>
          <w:rFonts w:ascii="Times New Roman" w:cs="Times New Roman" w:eastAsia="Times New Roman" w:hAnsi="Times New Roman"/>
          <w:sz w:val="20"/>
          <w:szCs w:val="20"/>
          <w:color w:val="auto"/>
        </w:rPr>
        <w:t>.</w:t>
      </w:r>
    </w:p>
    <w:p>
      <w:pPr>
        <w:spacing w:after="0" w:line="139" w:lineRule="exact"/>
        <w:rPr>
          <w:rFonts w:ascii="Times New Roman" w:cs="Times New Roman" w:eastAsia="Times New Roman" w:hAnsi="Times New Roman"/>
          <w:sz w:val="20"/>
          <w:szCs w:val="20"/>
          <w:color w:val="auto"/>
        </w:rPr>
      </w:pPr>
    </w:p>
    <w:p>
      <w:pPr>
        <w:ind w:right="20" w:firstLine="1304"/>
        <w:spacing w:after="0" w:line="269" w:lineRule="auto"/>
        <w:tabs>
          <w:tab w:leader="none" w:pos="1754"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Manager may resign at any time by giving written notice to the Company. Any such resignation shall take effect at the time specified in such notice or, if not so specified, immediately upon receipt of such notice by the Company.</w:t>
      </w:r>
    </w:p>
    <w:p>
      <w:pPr>
        <w:spacing w:after="0" w:line="118" w:lineRule="exact"/>
        <w:rPr>
          <w:rFonts w:ascii="Times New Roman" w:cs="Times New Roman" w:eastAsia="Times New Roman" w:hAnsi="Times New Roman"/>
          <w:sz w:val="20"/>
          <w:szCs w:val="20"/>
          <w:color w:val="auto"/>
        </w:rPr>
      </w:pPr>
    </w:p>
    <w:p>
      <w:pPr>
        <w:jc w:val="both"/>
        <w:ind w:firstLine="1304"/>
        <w:spacing w:after="0" w:line="254" w:lineRule="auto"/>
        <w:tabs>
          <w:tab w:leader="none" w:pos="1710"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Manager may be removed, with or without cause, only with the consent of the Member or Members that appointed such Manager. Notwithstanding the foregoing, the Members agree to take any action required to cause any Manager appointed by such Member to resign, or be removed, as needed, to effect the intent of </w:t>
      </w:r>
      <w:r>
        <w:rPr>
          <w:rFonts w:ascii="Times New Roman" w:cs="Times New Roman" w:eastAsia="Times New Roman" w:hAnsi="Times New Roman"/>
          <w:sz w:val="20"/>
          <w:szCs w:val="20"/>
          <w:u w:val="single" w:color="auto"/>
          <w:color w:val="auto"/>
        </w:rPr>
        <w:t>Section 8.1(b)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413" w:right="339" w:bottom="1440" w:gutter="0" w:footer="0" w:header="0"/>
        </w:sectPr>
      </w:pPr>
    </w:p>
    <w:bookmarkStart w:id="419" w:name="page420"/>
    <w:bookmarkEnd w:id="419"/>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8.9</w:t>
      </w:r>
      <w:r>
        <w:rPr>
          <w:sz w:val="20"/>
          <w:szCs w:val="20"/>
          <w:color w:val="auto"/>
        </w:rPr>
        <w:tab/>
      </w:r>
      <w:r>
        <w:rPr>
          <w:rFonts w:ascii="Times New Roman" w:cs="Times New Roman" w:eastAsia="Times New Roman" w:hAnsi="Times New Roman"/>
          <w:sz w:val="19"/>
          <w:szCs w:val="19"/>
          <w:b w:val="1"/>
          <w:bCs w:val="1"/>
          <w:color w:val="auto"/>
        </w:rPr>
        <w:t>Distributions.</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Each Member shall look solely to the assets of the Company for all Distributions and a share of any Profits or Losses and shall have no recourse therefor (upon dissolution or otherwise) against the Board, any Manager, or any Member. No Member shall have any right to demand or receive assets other than money upon dissolution and termination of the Company.</w:t>
      </w:r>
    </w:p>
    <w:p>
      <w:pPr>
        <w:spacing w:after="0" w:line="13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8.10</w:t>
      </w:r>
      <w:r>
        <w:rPr>
          <w:sz w:val="20"/>
          <w:szCs w:val="20"/>
          <w:color w:val="auto"/>
        </w:rPr>
        <w:tab/>
      </w:r>
      <w:r>
        <w:rPr>
          <w:rFonts w:ascii="Times New Roman" w:cs="Times New Roman" w:eastAsia="Times New Roman" w:hAnsi="Times New Roman"/>
          <w:sz w:val="19"/>
          <w:szCs w:val="19"/>
          <w:b w:val="1"/>
          <w:bCs w:val="1"/>
          <w:color w:val="auto"/>
        </w:rPr>
        <w:t>Reimbursable Expenses.</w:t>
      </w:r>
    </w:p>
    <w:p>
      <w:pPr>
        <w:spacing w:after="0" w:line="1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To the extent not paid directly by the Company, the Company shall reimburse Manager, Members, Administrative Member and their respective Affiliates for any Company Expenses or other out-of-pocket costs or expenses incurred by any Manager, Member, Administrative Member or their respective Affiliates on behalf of the Company or any Manager connection with the management the Company or the business and operations of the Company or its Subsidiaries (“</w:t>
      </w:r>
      <w:r>
        <w:rPr>
          <w:rFonts w:ascii="Times New Roman" w:cs="Times New Roman" w:eastAsia="Times New Roman" w:hAnsi="Times New Roman"/>
          <w:sz w:val="20"/>
          <w:szCs w:val="20"/>
          <w:b w:val="1"/>
          <w:bCs w:val="1"/>
          <w:color w:val="auto"/>
        </w:rPr>
        <w:t>Reimbursable Expenses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(i) no Manager shall be entitled to be paid any compensation, out of the assets of the Company, in respect of his or her service on the Board, and (ii) no Member shall be entitled to a reimbursement for any internal or overhead costs and (iii) Administrative Member shall not be entitled to reimbursement for any costs or expenses that are not expressly contemplated by the Company Budget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for the avoidance of doubt, in no event shall Administrative Member be required to pay for Company Expenses directly from its own account).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CONTRIBUTIONS AND CAPITAL ACCOUNTS</w:t>
      </w:r>
    </w:p>
    <w:p>
      <w:pPr>
        <w:spacing w:after="0" w:line="16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9.1</w:t>
      </w:r>
      <w:r>
        <w:rPr>
          <w:sz w:val="20"/>
          <w:szCs w:val="20"/>
          <w:color w:val="auto"/>
        </w:rPr>
        <w:tab/>
      </w:r>
      <w:r>
        <w:rPr>
          <w:rFonts w:ascii="Times New Roman" w:cs="Times New Roman" w:eastAsia="Times New Roman" w:hAnsi="Times New Roman"/>
          <w:sz w:val="19"/>
          <w:szCs w:val="19"/>
          <w:b w:val="1"/>
          <w:bCs w:val="1"/>
          <w:color w:val="auto"/>
        </w:rPr>
        <w:t>Capital Contributions.</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Except as set forth in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and as otherwise required by law, at no time shall any Member be required or permitted to make any Capital Contributions to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Member shall be permitted (but not required) to make Capital Contributions (but not Superpriority Contributions) from time to time if approved by the Board. The cumulative Capital Contributions made to the Company by each Member at any given point in time shall be set forth in the Company’s books and records.</w:t>
      </w:r>
    </w:p>
    <w:p>
      <w:pPr>
        <w:spacing w:after="0" w:line="14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9.2</w:t>
      </w:r>
      <w:r>
        <w:rPr>
          <w:sz w:val="20"/>
          <w:szCs w:val="20"/>
          <w:color w:val="auto"/>
        </w:rPr>
        <w:tab/>
      </w:r>
      <w:r>
        <w:rPr>
          <w:rFonts w:ascii="Times New Roman" w:cs="Times New Roman" w:eastAsia="Times New Roman" w:hAnsi="Times New Roman"/>
          <w:sz w:val="19"/>
          <w:szCs w:val="19"/>
          <w:b w:val="1"/>
          <w:bCs w:val="1"/>
          <w:color w:val="auto"/>
        </w:rPr>
        <w:t>Initial Capital Contributions.</w:t>
      </w:r>
    </w:p>
    <w:p>
      <w:pPr>
        <w:spacing w:after="0" w:line="19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Figure and Investor agree to make their respective Initial Capital Contributions in cash no later than immediately prior to such Member making its Additional Capital Contribution pursuant to the first Capital Call Notice issued by the Company.</w:t>
      </w:r>
    </w:p>
    <w:p>
      <w:pPr>
        <w:spacing w:after="0" w:line="11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9.3</w:t>
      </w:r>
      <w:r>
        <w:rPr>
          <w:sz w:val="20"/>
          <w:szCs w:val="20"/>
          <w:color w:val="auto"/>
        </w:rPr>
        <w:tab/>
      </w:r>
      <w:r>
        <w:rPr>
          <w:rFonts w:ascii="Times New Roman" w:cs="Times New Roman" w:eastAsia="Times New Roman" w:hAnsi="Times New Roman"/>
          <w:sz w:val="19"/>
          <w:szCs w:val="19"/>
          <w:b w:val="1"/>
          <w:bCs w:val="1"/>
          <w:color w:val="auto"/>
        </w:rPr>
        <w:t>Additional Capital Contributions.</w:t>
      </w:r>
    </w:p>
    <w:p>
      <w:pPr>
        <w:spacing w:after="0" w:line="193" w:lineRule="exact"/>
        <w:rPr>
          <w:sz w:val="20"/>
          <w:szCs w:val="20"/>
          <w:color w:val="auto"/>
        </w:rPr>
      </w:pPr>
    </w:p>
    <w:p>
      <w:pPr>
        <w:jc w:val="both"/>
        <w:ind w:firstLine="1304"/>
        <w:spacing w:after="0" w:line="251" w:lineRule="auto"/>
        <w:tabs>
          <w:tab w:leader="none" w:pos="1763"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no later than the tenth (10th) day (or if such date is not a Business Day, then the immediately preceding Business Day) of each calendar month, commencing with the first month after Side Letter Effective Date, the Board shall determine the amount of Additional Capital Contributions required to be made by each Member to fund Company expenses anticipated for such month (which shall in any event include funds necessary to make Call Option Payments and funds necessary for the Company and its Subsidiaries to perform obligations under matters approved as a Material Decision or Fundamental Decision as the case may be) and Administrative Member shall provide notice thereof in substantially the form attached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b w:val="1"/>
          <w:bCs w:val="1"/>
          <w:color w:val="auto"/>
        </w:rPr>
        <w:t>Capital Call Notice</w:t>
      </w:r>
      <w:r>
        <w:rPr>
          <w:rFonts w:ascii="Times New Roman" w:cs="Times New Roman" w:eastAsia="Times New Roman" w:hAnsi="Times New Roman"/>
          <w:sz w:val="20"/>
          <w:szCs w:val="20"/>
          <w:color w:val="auto"/>
        </w:rPr>
        <w:t>”) to each Member (each, a “</w:t>
      </w:r>
      <w:r>
        <w:rPr>
          <w:rFonts w:ascii="Times New Roman" w:cs="Times New Roman" w:eastAsia="Times New Roman" w:hAnsi="Times New Roman"/>
          <w:sz w:val="20"/>
          <w:szCs w:val="20"/>
          <w:b w:val="1"/>
          <w:bCs w:val="1"/>
          <w:color w:val="auto"/>
        </w:rPr>
        <w:t>Capital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Call</w:t>
      </w:r>
      <w:r>
        <w:rPr>
          <w:rFonts w:ascii="Times New Roman" w:cs="Times New Roman" w:eastAsia="Times New Roman" w:hAnsi="Times New Roman"/>
          <w:sz w:val="20"/>
          <w:szCs w:val="20"/>
          <w:color w:val="auto"/>
        </w:rPr>
        <w:t>”). The Capital Call Notice shall specify (i) (x) the minimum aggregate amount of the Additional Capital Contributions required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made by of all Members pursuant to such Capital Call, and (y) the maximum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409" w:right="339" w:bottom="1440" w:gutter="0" w:footer="0" w:header="0"/>
        </w:sectPr>
      </w:pPr>
    </w:p>
    <w:bookmarkStart w:id="420" w:name="page421"/>
    <w:bookmarkEnd w:id="420"/>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aggregate amount of the Additional Capital Contributions that may be required to be made by all of the Members pursuant to such Capital Call, which maximum aggregate amount shall not be greater than one hundred and ten percent (110%) of the minimum aggregate amount specified in such Capital Call Notice, and (z) and the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portion thereof required to be contributed by each Member in accordance with the respective Capital Contribution Percentage, (ii) the date on which such Additional Capital Contributions are to be made (which shall be the twenty-fifth (25th) day (or if such date is not a Business Day, then the immediately preceding Business Day) of such calendar month, and</w:t>
      </w:r>
    </w:p>
    <w:p>
      <w:pPr>
        <w:spacing w:after="0" w:line="2" w:lineRule="exact"/>
        <w:rPr>
          <w:sz w:val="20"/>
          <w:szCs w:val="20"/>
          <w:color w:val="auto"/>
        </w:rPr>
      </w:pPr>
    </w:p>
    <w:p>
      <w:pPr>
        <w:jc w:val="both"/>
        <w:ind w:firstLine="8"/>
        <w:spacing w:after="0" w:line="262" w:lineRule="auto"/>
        <w:tabs>
          <w:tab w:leader="none" w:pos="357" w:val="left"/>
        </w:tabs>
        <w:numPr>
          <w:ilvl w:val="0"/>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account details for the bank account to which such Additional Capital Contributions are to be paid. Not later than one (1) Business Day prior to the date on which such Additional Capital Contributions are to be made by the Members (as designated in the Capital Call Notice), the Board shall determine the exact aggregate amount of the Additional Capital Contributions to be made by of all Members pursuant to such Capital Call (which aggregate amount may not be less than the minimum amount or greater than the maximum amount set forth in the Capital Call Notice), and Administrative Member shall deliver written notice to each Member (each, a “</w:t>
      </w:r>
      <w:r>
        <w:rPr>
          <w:rFonts w:ascii="Times New Roman" w:cs="Times New Roman" w:eastAsia="Times New Roman" w:hAnsi="Times New Roman"/>
          <w:sz w:val="19"/>
          <w:szCs w:val="19"/>
          <w:b w:val="1"/>
          <w:bCs w:val="1"/>
          <w:color w:val="auto"/>
        </w:rPr>
        <w:t>Supplemental Capital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Call Notice</w:t>
      </w:r>
      <w:r>
        <w:rPr>
          <w:rFonts w:ascii="Times New Roman" w:cs="Times New Roman" w:eastAsia="Times New Roman" w:hAnsi="Times New Roman"/>
          <w:sz w:val="19"/>
          <w:szCs w:val="19"/>
          <w:color w:val="auto"/>
        </w:rPr>
        <w:t>”) specifying such exact aggregate amount of the Additional Capital Contributions to be made by of all Members pursuant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such Capital Call (which aggregate amount may not be less than the minimum amount or greater than the maximum amount set forth in the Capital Call Notice) and the pro rata portion thereof required to be contributed by each Member in accordance with their respective Capital Commitment Percentages, which shall be calculated as set forth below. In the event of a Capital Call, each Member shall be required to make, no later than the applicable date designated in the Capital Call Notice, an Additional Capital Contribution to the Company by wire transfer of funds to the specified account in an amount equal to the product of (A) such Member’s Capital Contribution Percentage </w:t>
      </w:r>
      <w:r>
        <w:rPr>
          <w:rFonts w:ascii="Times New Roman" w:cs="Times New Roman" w:eastAsia="Times New Roman" w:hAnsi="Times New Roman"/>
          <w:sz w:val="19"/>
          <w:szCs w:val="19"/>
          <w:i w:val="1"/>
          <w:iCs w:val="1"/>
          <w:color w:val="auto"/>
        </w:rPr>
        <w:t>multiplied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by </w:t>
      </w:r>
      <w:r>
        <w:rPr>
          <w:rFonts w:ascii="Times New Roman" w:cs="Times New Roman" w:eastAsia="Times New Roman" w:hAnsi="Times New Roman"/>
          <w:sz w:val="19"/>
          <w:szCs w:val="19"/>
          <w:color w:val="auto"/>
        </w:rPr>
        <w:t>(B) the aggregate amount of the Additional Capital Contributions to be made pursuant to such Capital Call as set forth in the Supplemental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Capital Call Notice;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anything to the contrary set forth herein, other than Additional Capital Contributions required to fund Call Option Payments approved as a Fundamental Decision pursuant to </w:t>
      </w:r>
      <w:r>
        <w:rPr>
          <w:rFonts w:ascii="Times New Roman" w:cs="Times New Roman" w:eastAsia="Times New Roman" w:hAnsi="Times New Roman"/>
          <w:sz w:val="19"/>
          <w:szCs w:val="19"/>
          <w:u w:val="single" w:color="auto"/>
          <w:color w:val="auto"/>
        </w:rPr>
        <w:t>Section 8.3(a)(vi)</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which the Members shall be obligated to fund even in excess of their respective Capital Contribution Caps, no Member shall be required to make any portion of (which may be all) of any Additional Capital Contribution pursuant to a Capital Call to the extent that it would result in the amount of Capital Contributions (excluding Superiority Contributions) made by such Member to exceed such Member’s Capital Contribution Cap.</w:t>
      </w:r>
    </w:p>
    <w:p>
      <w:pPr>
        <w:spacing w:after="0" w:line="142" w:lineRule="exact"/>
        <w:rPr>
          <w:rFonts w:ascii="Times New Roman" w:cs="Times New Roman" w:eastAsia="Times New Roman" w:hAnsi="Times New Roman"/>
          <w:sz w:val="19"/>
          <w:szCs w:val="19"/>
          <w:color w:val="auto"/>
        </w:rPr>
      </w:pPr>
    </w:p>
    <w:p>
      <w:pPr>
        <w:jc w:val="both"/>
        <w:ind w:firstLine="656"/>
        <w:spacing w:after="0" w:line="253" w:lineRule="auto"/>
        <w:tabs>
          <w:tab w:leader="none" w:pos="1075"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obligations of the Members to fund Additional Capital Contributions are several (and not joint), and (i) no Member shall be responsible for any other Member’s failure to fund any Additional Capital Contribution as so required and (ii) it shall be a condition precedent to the funding of an Additional Capital Contribution by a Member that each other Member funds its required portion of such Additional Capital Contributions. In the event any Member fails to fund an Additional Capital Contribution in accordance with </w:t>
      </w:r>
      <w:r>
        <w:rPr>
          <w:rFonts w:ascii="Times New Roman" w:cs="Times New Roman" w:eastAsia="Times New Roman" w:hAnsi="Times New Roman"/>
          <w:sz w:val="20"/>
          <w:szCs w:val="20"/>
          <w:u w:val="single" w:color="auto"/>
          <w:color w:val="auto"/>
        </w:rPr>
        <w:t>Section 9.3(a)</w:t>
      </w:r>
      <w:r>
        <w:rPr>
          <w:rFonts w:ascii="Times New Roman" w:cs="Times New Roman" w:eastAsia="Times New Roman" w:hAnsi="Times New Roman"/>
          <w:sz w:val="20"/>
          <w:szCs w:val="20"/>
          <w:color w:val="auto"/>
        </w:rPr>
        <w:t xml:space="preserve"> within the time period required therefor, and the other Members have funded their required Additional Capital Contribution, then each other Member may elect (by written notice to the Company) to require the Company to return the amount funded by such Member.</w:t>
      </w:r>
    </w:p>
    <w:p>
      <w:pPr>
        <w:spacing w:after="0" w:line="14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9.4</w:t>
      </w:r>
      <w:r>
        <w:rPr>
          <w:sz w:val="20"/>
          <w:szCs w:val="20"/>
          <w:color w:val="auto"/>
        </w:rPr>
        <w:tab/>
      </w:r>
      <w:r>
        <w:rPr>
          <w:rFonts w:ascii="Times New Roman" w:cs="Times New Roman" w:eastAsia="Times New Roman" w:hAnsi="Times New Roman"/>
          <w:sz w:val="19"/>
          <w:szCs w:val="19"/>
          <w:b w:val="1"/>
          <w:bCs w:val="1"/>
          <w:color w:val="auto"/>
        </w:rPr>
        <w:t>Failure to Contribute.</w:t>
      </w:r>
    </w:p>
    <w:p>
      <w:pPr>
        <w:spacing w:after="0" w:line="189" w:lineRule="exact"/>
        <w:rPr>
          <w:sz w:val="20"/>
          <w:szCs w:val="20"/>
          <w:color w:val="auto"/>
        </w:rPr>
      </w:pPr>
    </w:p>
    <w:p>
      <w:pPr>
        <w:jc w:val="both"/>
        <w:ind w:firstLine="1304"/>
        <w:spacing w:after="0" w:line="254" w:lineRule="auto"/>
        <w:tabs>
          <w:tab w:leader="none" w:pos="1767"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failure of any Member (a “</w:t>
      </w:r>
      <w:r>
        <w:rPr>
          <w:rFonts w:ascii="Times New Roman" w:cs="Times New Roman" w:eastAsia="Times New Roman" w:hAnsi="Times New Roman"/>
          <w:sz w:val="20"/>
          <w:szCs w:val="20"/>
          <w:b w:val="1"/>
          <w:bCs w:val="1"/>
          <w:color w:val="auto"/>
        </w:rPr>
        <w:t>Non-Contributing Member</w:t>
      </w:r>
      <w:r>
        <w:rPr>
          <w:rFonts w:ascii="Times New Roman" w:cs="Times New Roman" w:eastAsia="Times New Roman" w:hAnsi="Times New Roman"/>
          <w:sz w:val="20"/>
          <w:szCs w:val="20"/>
          <w:color w:val="auto"/>
        </w:rPr>
        <w:t xml:space="preserve">”) to pay in full all or any portion of an Additional Capital Contribution required under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by the date such Capital Contribution is due, if any such failure continues for five (5) Business Days after such due date then, in addition to its other rights and remedies set forth herein or otherwise provided by law, the other Member who has timely funded its Additional Capital Contribution in full (a “</w:t>
      </w:r>
      <w:r>
        <w:rPr>
          <w:rFonts w:ascii="Times New Roman" w:cs="Times New Roman" w:eastAsia="Times New Roman" w:hAnsi="Times New Roman"/>
          <w:sz w:val="20"/>
          <w:szCs w:val="20"/>
          <w:b w:val="1"/>
          <w:bCs w:val="1"/>
          <w:color w:val="auto"/>
        </w:rPr>
        <w:t>Contributing Member</w:t>
      </w:r>
      <w:r>
        <w:rPr>
          <w:rFonts w:ascii="Times New Roman" w:cs="Times New Roman" w:eastAsia="Times New Roman" w:hAnsi="Times New Roman"/>
          <w:sz w:val="20"/>
          <w:szCs w:val="20"/>
          <w:color w:val="auto"/>
        </w:rPr>
        <w:t xml:space="preserve">”) and has not required the Company to return its corresponding Additional Capital Contribution pursuant to </w:t>
      </w:r>
      <w:r>
        <w:rPr>
          <w:rFonts w:ascii="Times New Roman" w:cs="Times New Roman" w:eastAsia="Times New Roman" w:hAnsi="Times New Roman"/>
          <w:sz w:val="20"/>
          <w:szCs w:val="20"/>
          <w:u w:val="single" w:color="auto"/>
          <w:color w:val="auto"/>
        </w:rPr>
        <w:t>Section 9.3(b)</w:t>
      </w:r>
      <w:r>
        <w:rPr>
          <w:rFonts w:ascii="Times New Roman" w:cs="Times New Roman" w:eastAsia="Times New Roman" w:hAnsi="Times New Roman"/>
          <w:sz w:val="20"/>
          <w:szCs w:val="20"/>
          <w:color w:val="auto"/>
        </w:rPr>
        <w:t xml:space="preserve"> shall be permitted (but not obligated to) fund all or a portion of the Non-Contributing Member’s Additional Capital Contribution (the “</w:t>
      </w:r>
      <w:r>
        <w:rPr>
          <w:rFonts w:ascii="Times New Roman" w:cs="Times New Roman" w:eastAsia="Times New Roman" w:hAnsi="Times New Roman"/>
          <w:sz w:val="20"/>
          <w:szCs w:val="20"/>
          <w:b w:val="1"/>
          <w:bCs w:val="1"/>
          <w:color w:val="auto"/>
        </w:rPr>
        <w:t>Supplemental Funding</w:t>
      </w:r>
      <w:r>
        <w:rPr>
          <w:rFonts w:ascii="Times New Roman" w:cs="Times New Roman" w:eastAsia="Times New Roman" w:hAnsi="Times New Roman"/>
          <w:sz w:val="20"/>
          <w:szCs w:val="20"/>
          <w:color w:val="auto"/>
        </w:rPr>
        <w:t xml:space="preserve">”) as set forth in this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13" w:right="339" w:bottom="1440" w:gutter="0" w:footer="0" w:header="0"/>
        </w:sectPr>
      </w:pPr>
    </w:p>
    <w:bookmarkStart w:id="421" w:name="page422"/>
    <w:bookmarkEnd w:id="421"/>
    <w:p>
      <w:pPr>
        <w:jc w:val="both"/>
        <w:ind w:firstLine="1304"/>
        <w:spacing w:after="0" w:line="230" w:lineRule="auto"/>
        <w:tabs>
          <w:tab w:leader="none" w:pos="1758" w:val="left"/>
        </w:tabs>
        <w:numPr>
          <w:ilvl w:val="1"/>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both (x) Figure or Investor (but not any other Member) is the Non-Contributing Member, and (y) in respect of such failure to fund described in </w:t>
      </w:r>
      <w:r>
        <w:rPr>
          <w:rFonts w:ascii="Times New Roman" w:cs="Times New Roman" w:eastAsia="Times New Roman" w:hAnsi="Times New Roman"/>
          <w:sz w:val="20"/>
          <w:szCs w:val="20"/>
          <w:u w:val="single" w:color="auto"/>
          <w:color w:val="auto"/>
        </w:rPr>
        <w:t>clause (x)</w:t>
      </w:r>
      <w:r>
        <w:rPr>
          <w:rFonts w:ascii="Times New Roman" w:cs="Times New Roman" w:eastAsia="Times New Roman" w:hAnsi="Times New Roman"/>
          <w:sz w:val="20"/>
          <w:szCs w:val="20"/>
          <w:color w:val="auto"/>
        </w:rPr>
        <w:t>, Figure or Investor (but not any other Member) is the Contributing Member, then the Contributing Member shall have the right to elect (by written notice to the Company) to treat the Supplemental Funding that it makes as a contribution of capital to the Company (a “</w:t>
      </w:r>
      <w:r>
        <w:rPr>
          <w:rFonts w:ascii="Times New Roman" w:cs="Times New Roman" w:eastAsia="Times New Roman" w:hAnsi="Times New Roman"/>
          <w:sz w:val="20"/>
          <w:szCs w:val="20"/>
          <w:b w:val="1"/>
          <w:bCs w:val="1"/>
          <w:color w:val="auto"/>
        </w:rPr>
        <w:t>Superpriority Contribution</w:t>
      </w:r>
      <w:r>
        <w:rPr>
          <w:rFonts w:ascii="Times New Roman" w:cs="Times New Roman" w:eastAsia="Times New Roman" w:hAnsi="Times New Roman"/>
          <w:sz w:val="20"/>
          <w:szCs w:val="20"/>
          <w:color w:val="auto"/>
        </w:rPr>
        <w:t xml:space="preserve">”). Any Superpriority Contribution shall earn and accrue the Superpriority Return and shall be payable from any distributions made by the Company pursuant to </w:t>
      </w:r>
      <w:r>
        <w:rPr>
          <w:rFonts w:ascii="Times New Roman" w:cs="Times New Roman" w:eastAsia="Times New Roman" w:hAnsi="Times New Roman"/>
          <w:sz w:val="20"/>
          <w:szCs w:val="20"/>
          <w:u w:val="single" w:color="auto"/>
          <w:color w:val="auto"/>
        </w:rPr>
        <w:t>Section 10.6(a)</w:t>
      </w:r>
      <w:r>
        <w:rPr>
          <w:rFonts w:ascii="Times New Roman" w:cs="Times New Roman" w:eastAsia="Times New Roman" w:hAnsi="Times New Roman"/>
          <w:sz w:val="20"/>
          <w:szCs w:val="20"/>
          <w:color w:val="auto"/>
        </w:rPr>
        <w:t>. No Member shall be personally obligated to repay a Superpriority Contribution, and a Superpriority Contribution shall be payable or collectible only out of the assets of the Company. If multiple Superpriority Contributions are outstanding at any time, all payments in respect of such Superpriority Contributions and the accrued and unpaid Superpriority Return thereon shall be made in reverse order based on the date when each such Superpriority Contribution was made so that the most recent Superpriority Contribution that was made as of the date that a distribution is made by the Company (together with all accrued and unpaid Superpriority Return thereon) shall be paid first and then the next most recent Superpriority Contribution (together with all accrued and unpaid Superpriority Return thereon) shall be paid and so forth. All distributions to a Contributing Member hereunder in respect of any Superpriority Contributions shall be applied first to payment of any accrued and unpaid Superpriority Return on such Superpriority Contribution and then to return such Superpriority Contribution until all amounts due thereunder or in respect thereof are paid in full.</w:t>
      </w:r>
    </w:p>
    <w:p>
      <w:pPr>
        <w:spacing w:after="0" w:line="136" w:lineRule="exact"/>
        <w:rPr>
          <w:rFonts w:ascii="Times New Roman" w:cs="Times New Roman" w:eastAsia="Times New Roman" w:hAnsi="Times New Roman"/>
          <w:sz w:val="20"/>
          <w:szCs w:val="20"/>
          <w:color w:val="auto"/>
        </w:rPr>
      </w:pPr>
    </w:p>
    <w:p>
      <w:pPr>
        <w:jc w:val="both"/>
        <w:ind w:firstLine="1304"/>
        <w:spacing w:after="0" w:line="242" w:lineRule="auto"/>
        <w:tabs>
          <w:tab w:leader="none" w:pos="1739" w:val="left"/>
        </w:tabs>
        <w:numPr>
          <w:ilvl w:val="1"/>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Contributing Member shall have the right to treat the Supplemental Funding as a loan (a “</w:t>
      </w:r>
      <w:r>
        <w:rPr>
          <w:rFonts w:ascii="Times New Roman" w:cs="Times New Roman" w:eastAsia="Times New Roman" w:hAnsi="Times New Roman"/>
          <w:sz w:val="19"/>
          <w:szCs w:val="19"/>
          <w:b w:val="1"/>
          <w:bCs w:val="1"/>
          <w:color w:val="auto"/>
        </w:rPr>
        <w:t>Member Default Loan</w:t>
      </w:r>
      <w:r>
        <w:rPr>
          <w:rFonts w:ascii="Times New Roman" w:cs="Times New Roman" w:eastAsia="Times New Roman" w:hAnsi="Times New Roman"/>
          <w:sz w:val="19"/>
          <w:szCs w:val="19"/>
          <w:color w:val="auto"/>
        </w:rPr>
        <w:t>”) to the Non-Contributing Member. Except as otherwise provided by the next sentence below, the Capital Account and Capital Contributions balance of the Non-Contributing Member shall be credited with the Defaulted Amount funded as a Member Default Loan, and such Member Default Loan shall constitute a debt owed by the Non-Contributing Member to the Contributing Member. Any Default Loan shall (i) bear interest at the Default Rate, (ii) be due on the one year anniversary of the date on which such Member Default Loan is advanced (the “</w:t>
      </w:r>
      <w:r>
        <w:rPr>
          <w:rFonts w:ascii="Times New Roman" w:cs="Times New Roman" w:eastAsia="Times New Roman" w:hAnsi="Times New Roman"/>
          <w:sz w:val="19"/>
          <w:szCs w:val="19"/>
          <w:b w:val="1"/>
          <w:bCs w:val="1"/>
          <w:color w:val="auto"/>
        </w:rPr>
        <w:t>Maturity Date</w:t>
      </w:r>
      <w:r>
        <w:rPr>
          <w:rFonts w:ascii="Times New Roman" w:cs="Times New Roman" w:eastAsia="Times New Roman" w:hAnsi="Times New Roman"/>
          <w:sz w:val="19"/>
          <w:szCs w:val="19"/>
          <w:color w:val="auto"/>
        </w:rPr>
        <w:t xml:space="preserve">”), (iii) be prepayable, in whole or in part, at any time or from time to time without penalty, (iv) be a personal obligation of Non-Contributing Member, and (v) be payable from any distributions otherwise payable to Non-Contributing Member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10.6(a)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13.3(c)</w:t>
      </w:r>
      <w:r>
        <w:rPr>
          <w:rFonts w:ascii="Times New Roman" w:cs="Times New Roman" w:eastAsia="Times New Roman" w:hAnsi="Times New Roman"/>
          <w:sz w:val="19"/>
          <w:szCs w:val="19"/>
          <w:color w:val="auto"/>
        </w:rPr>
        <w:t xml:space="preserve"> before any distributions are made to such Non-Contributing Member pursuant to </w:t>
      </w:r>
      <w:r>
        <w:rPr>
          <w:rFonts w:ascii="Times New Roman" w:cs="Times New Roman" w:eastAsia="Times New Roman" w:hAnsi="Times New Roman"/>
          <w:sz w:val="19"/>
          <w:szCs w:val="19"/>
          <w:u w:val="single" w:color="auto"/>
          <w:color w:val="auto"/>
        </w:rPr>
        <w:t>Section 10.6(a)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w:t>
      </w:r>
    </w:p>
    <w:p>
      <w:pPr>
        <w:spacing w:after="0" w:line="5" w:lineRule="exact"/>
        <w:rPr>
          <w:rFonts w:ascii="Times New Roman" w:cs="Times New Roman" w:eastAsia="Times New Roman" w:hAnsi="Times New Roman"/>
          <w:sz w:val="19"/>
          <w:szCs w:val="19"/>
          <w:color w:val="auto"/>
        </w:rPr>
      </w:pPr>
    </w:p>
    <w:p>
      <w:pPr>
        <w:jc w:val="both"/>
        <w:spacing w:after="0" w:line="22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13.3(c)</w:t>
      </w:r>
      <w:r>
        <w:rPr>
          <w:rFonts w:ascii="Times New Roman" w:cs="Times New Roman" w:eastAsia="Times New Roman" w:hAnsi="Times New Roman"/>
          <w:sz w:val="20"/>
          <w:szCs w:val="20"/>
          <w:color w:val="auto"/>
        </w:rPr>
        <w:t xml:space="preserve">. Interest on a Member Default Loan to the extent unpaid shall accrue and compound quarterly. All payments or distributions to a Contributing Member hereunder in respect of any such Member Default Loan shall be applied first to payment of any interest due under any such Member Default Loan and then to principal until all amounts due thereunder are paid in full. If a Member Default Loan remains unpaid after its maturity date set forth above, the Contributing Member who made such loan shall have the right, exercisable by providing written notice thereof to the Non-Contributing Member to convert the outstanding principal amount of such Member Default Loan, together with all accrued and unpaid interest thereon as a Superpriority Contribution (and in such case, (A) such Member Default Loan shall be deemed repaid on the date of such conversion and (B) the Capital Account and Capital Contributions balance of the Non-Contributing Member shall be debited with such converted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whether or not the Contributing Member exercises such right, the Non-Contributing Member shall not be deemed to be a Defaulting Member hereunder or to have otherwise default under the Member Default Loan as a result of any failure repay a Member Default Loan in full by the initial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the Contributing Member does not elect such right, the Maturity Date shall be deemed extended by an additional one (1) year period, it being understood that any time during such one (1) year extension period, the Non-Contributing Member shall have the right to convert the outstanding principal amount of such Member Default Loan, together with all accrued and unpaid interest thereon as a Superpriority Contribution, in accordance with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9.4(c)</w:t>
      </w:r>
      <w:r>
        <w:rPr>
          <w:rFonts w:ascii="Times New Roman" w:cs="Times New Roman" w:eastAsia="Times New Roman" w:hAnsi="Times New Roman"/>
          <w:sz w:val="20"/>
          <w:szCs w:val="20"/>
          <w:color w:val="auto"/>
        </w:rPr>
        <w:t>.</w:t>
      </w:r>
    </w:p>
    <w:p>
      <w:pPr>
        <w:spacing w:after="0" w:line="145" w:lineRule="exact"/>
        <w:rPr>
          <w:rFonts w:ascii="Times New Roman" w:cs="Times New Roman" w:eastAsia="Times New Roman" w:hAnsi="Times New Roman"/>
          <w:sz w:val="19"/>
          <w:szCs w:val="19"/>
          <w:color w:val="auto"/>
        </w:rPr>
      </w:pPr>
    </w:p>
    <w:p>
      <w:pPr>
        <w:ind w:left="1740" w:hanging="436"/>
        <w:spacing w:after="0"/>
        <w:tabs>
          <w:tab w:leader="none" w:pos="1740" w:val="left"/>
        </w:tabs>
        <w:numPr>
          <w:ilvl w:val="1"/>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Non-Contributing Member shall be entitled to receive any distributions pursuant to this Agreement unless and until</w:t>
      </w:r>
    </w:p>
    <w:p>
      <w:pPr>
        <w:spacing w:after="0" w:line="19" w:lineRule="exact"/>
        <w:rPr>
          <w:rFonts w:ascii="Times New Roman" w:cs="Times New Roman" w:eastAsia="Times New Roman" w:hAnsi="Times New Roman"/>
          <w:sz w:val="19"/>
          <w:szCs w:val="19"/>
          <w:color w:val="auto"/>
        </w:rPr>
      </w:pPr>
    </w:p>
    <w:p>
      <w:pPr>
        <w:ind w:firstLine="8"/>
        <w:spacing w:after="0" w:line="236" w:lineRule="auto"/>
        <w:tabs>
          <w:tab w:leader="none" w:pos="298"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Member Default Loan made to such Non-Contributing Member has been paid in full (including accrued interest thereon) and (y) each Contributing Member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413" w:right="339" w:bottom="1440" w:gutter="0" w:footer="0" w:header="0"/>
        </w:sectPr>
      </w:pPr>
    </w:p>
    <w:bookmarkStart w:id="422" w:name="page423"/>
    <w:bookmarkEnd w:id="422"/>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has made a Superpriority Contribution in respect to amounts which such Non-Contributing Member failed to fund has received the full amount of such Unreturned Superpriority Contribution and the related Superpriority Return. Distributions that otherwise would be payable to the applicable Non-Contributing Member under this Agreement shall instead be paid to the applicable Member who made a Member Default Loan to such Non-Contribution Member for application towards the repayment of any outstanding Member Default Loan (first to interest, then to principal);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such amounts repaid to the Contributing Member shall be deemed distributed to such Non-Contributing Member for all purposes under this Agreement (including, without limitation, for purposes of reducing such Non-Contributing Member’s Capital Account, Unreturned Preferred Return, Unreturned Capital Contributions, Unreturned Superpriority Return and Unreturned Superpriority Contributions, as applicable).</w:t>
      </w:r>
    </w:p>
    <w:p>
      <w:pPr>
        <w:spacing w:after="0" w:line="14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9.5</w:t>
      </w:r>
      <w:r>
        <w:rPr>
          <w:sz w:val="20"/>
          <w:szCs w:val="20"/>
          <w:color w:val="auto"/>
        </w:rPr>
        <w:tab/>
      </w:r>
      <w:r>
        <w:rPr>
          <w:rFonts w:ascii="Times New Roman" w:cs="Times New Roman" w:eastAsia="Times New Roman" w:hAnsi="Times New Roman"/>
          <w:sz w:val="19"/>
          <w:szCs w:val="19"/>
          <w:b w:val="1"/>
          <w:bCs w:val="1"/>
          <w:color w:val="auto"/>
        </w:rPr>
        <w:t>Capital Account.</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 separate capital account shall be maintained for each Member throughout the term of the Company in accordance with the rules of section 1.704-1(b)(2)(iv) of the Regulations (“</w:t>
      </w:r>
      <w:r>
        <w:rPr>
          <w:rFonts w:ascii="Times New Roman" w:cs="Times New Roman" w:eastAsia="Times New Roman" w:hAnsi="Times New Roman"/>
          <w:sz w:val="20"/>
          <w:szCs w:val="20"/>
          <w:b w:val="1"/>
          <w:bCs w:val="1"/>
          <w:color w:val="auto"/>
        </w:rPr>
        <w:t>Capital Account</w:t>
      </w:r>
      <w:r>
        <w:rPr>
          <w:rFonts w:ascii="Times New Roman" w:cs="Times New Roman" w:eastAsia="Times New Roman" w:hAnsi="Times New Roman"/>
          <w:sz w:val="20"/>
          <w:szCs w:val="20"/>
          <w:color w:val="auto"/>
        </w:rPr>
        <w:t>”) as in effect from time to time, and, to the extent not inconsistent therewith, to which the following provisions apply:</w:t>
      </w:r>
    </w:p>
    <w:p>
      <w:pPr>
        <w:spacing w:after="0" w:line="134" w:lineRule="exact"/>
        <w:rPr>
          <w:sz w:val="20"/>
          <w:szCs w:val="20"/>
          <w:color w:val="auto"/>
        </w:rPr>
      </w:pPr>
    </w:p>
    <w:p>
      <w:pPr>
        <w:jc w:val="both"/>
        <w:ind w:firstLine="1304"/>
        <w:spacing w:after="0" w:line="246" w:lineRule="auto"/>
        <w:tabs>
          <w:tab w:leader="none" w:pos="1746"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Member’s Capital Account shall be credited with (i) such Member’s Capital Contributions (including Additional Capital Contributions and Superpriority Contributions, if any); (ii) such Member’s share of Profits and items of income and gain as determined under the definition of “</w:t>
      </w:r>
      <w:r>
        <w:rPr>
          <w:rFonts w:ascii="Times New Roman" w:cs="Times New Roman" w:eastAsia="Times New Roman" w:hAnsi="Times New Roman"/>
          <w:sz w:val="20"/>
          <w:szCs w:val="20"/>
          <w:b w:val="1"/>
          <w:bCs w:val="1"/>
          <w:color w:val="auto"/>
        </w:rPr>
        <w:t>Profits</w:t>
      </w:r>
      <w:r>
        <w:rPr>
          <w:rFonts w:ascii="Times New Roman" w:cs="Times New Roman" w:eastAsia="Times New Roman" w:hAnsi="Times New Roman"/>
          <w:sz w:val="20"/>
          <w:szCs w:val="20"/>
          <w:color w:val="auto"/>
        </w:rPr>
        <w:t xml:space="preserve">” that are specially allocated to such Member pursuant to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and (iii) to the extent not taken into account in determining the amount of such Member’s Capital Contributions under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the amount of any Company liabilities assumed by such Member (other than liabilities described in </w:t>
      </w:r>
      <w:r>
        <w:rPr>
          <w:rFonts w:ascii="Times New Roman" w:cs="Times New Roman" w:eastAsia="Times New Roman" w:hAnsi="Times New Roman"/>
          <w:sz w:val="20"/>
          <w:szCs w:val="20"/>
          <w:u w:val="single" w:color="auto"/>
          <w:color w:val="auto"/>
        </w:rPr>
        <w:t>Section 9.5(b)(ii)</w:t>
      </w:r>
      <w:r>
        <w:rPr>
          <w:rFonts w:ascii="Times New Roman" w:cs="Times New Roman" w:eastAsia="Times New Roman" w:hAnsi="Times New Roman"/>
          <w:sz w:val="20"/>
          <w:szCs w:val="20"/>
          <w:color w:val="auto"/>
        </w:rPr>
        <w:t xml:space="preserve"> below that are assumed by such Member).</w:t>
      </w:r>
    </w:p>
    <w:p>
      <w:pPr>
        <w:spacing w:after="0" w:line="144" w:lineRule="exact"/>
        <w:rPr>
          <w:rFonts w:ascii="Times New Roman" w:cs="Times New Roman" w:eastAsia="Times New Roman" w:hAnsi="Times New Roman"/>
          <w:sz w:val="20"/>
          <w:szCs w:val="20"/>
          <w:color w:val="auto"/>
        </w:rPr>
      </w:pPr>
    </w:p>
    <w:p>
      <w:pPr>
        <w:jc w:val="both"/>
        <w:ind w:firstLine="1304"/>
        <w:spacing w:after="0" w:line="242" w:lineRule="auto"/>
        <w:tabs>
          <w:tab w:leader="none" w:pos="1801"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Member’s Capital Account shall be debited with: (i) the amount of money distributed to such Member by the Company (including liabilities of such Member assumed by the Company as provided in section 1.704-1(b)(2)(iv)(c) of the Regulations) other than amounts which are in repayment of debt obligations of the Company to such Member; (ii) the Gross Asset Value of property distributed to such Member (net of liabilities secured by such distributed property that such Member is considered to assume or take subject to under section 752 of the Code); and (iii) such Member’s share of Losses and items of loss and deduction as determined under the definition of “</w:t>
      </w:r>
      <w:r>
        <w:rPr>
          <w:rFonts w:ascii="Times New Roman" w:cs="Times New Roman" w:eastAsia="Times New Roman" w:hAnsi="Times New Roman"/>
          <w:sz w:val="20"/>
          <w:szCs w:val="20"/>
          <w:b w:val="1"/>
          <w:bCs w:val="1"/>
          <w:color w:val="auto"/>
        </w:rPr>
        <w:t>Losses</w:t>
      </w:r>
      <w:r>
        <w:rPr>
          <w:rFonts w:ascii="Times New Roman" w:cs="Times New Roman" w:eastAsia="Times New Roman" w:hAnsi="Times New Roman"/>
          <w:sz w:val="20"/>
          <w:szCs w:val="20"/>
          <w:color w:val="auto"/>
        </w:rPr>
        <w:t xml:space="preserve">” that are specially allocated to such Member pursuant to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ind w:firstLine="1304"/>
        <w:spacing w:after="0" w:line="295" w:lineRule="auto"/>
        <w:tabs>
          <w:tab w:leader="none" w:pos="1720"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such contributions, allocations and Distributions shall be credited or charged, as the case may be, to the appropriate Capital Accounts of the respective Members to whom they apply, as of the time the contributions, allocations or Distributions are made.</w:t>
      </w:r>
    </w:p>
    <w:p>
      <w:pPr>
        <w:spacing w:after="0" w:line="97" w:lineRule="exact"/>
        <w:rPr>
          <w:rFonts w:ascii="Times New Roman" w:cs="Times New Roman" w:eastAsia="Times New Roman" w:hAnsi="Times New Roman"/>
          <w:sz w:val="19"/>
          <w:szCs w:val="19"/>
          <w:color w:val="auto"/>
        </w:rPr>
      </w:pPr>
    </w:p>
    <w:p>
      <w:pPr>
        <w:ind w:firstLine="1304"/>
        <w:spacing w:after="0" w:line="269" w:lineRule="auto"/>
        <w:tabs>
          <w:tab w:leader="none" w:pos="1852"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Capital Account of a transferee Member shall include the appropriate portion of the Capital Account of the Member from whom the transferee Member’s interest was obtained.</w:t>
      </w:r>
    </w:p>
    <w:p>
      <w:pPr>
        <w:spacing w:after="0" w:line="132" w:lineRule="exact"/>
        <w:rPr>
          <w:rFonts w:ascii="Times New Roman" w:cs="Times New Roman" w:eastAsia="Times New Roman" w:hAnsi="Times New Roman"/>
          <w:sz w:val="20"/>
          <w:szCs w:val="20"/>
          <w:color w:val="auto"/>
        </w:rPr>
      </w:pPr>
    </w:p>
    <w:p>
      <w:pPr>
        <w:ind w:firstLine="1304"/>
        <w:spacing w:after="0" w:line="255" w:lineRule="auto"/>
        <w:tabs>
          <w:tab w:leader="none" w:pos="1761"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determining the amount of any liability, there shall be taken into account section 752(c) of the Code and any other applicable provisions of the Code and Regulations.</w:t>
      </w:r>
    </w:p>
    <w:p>
      <w:pPr>
        <w:spacing w:after="0" w:line="14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foregoing provisions and the other provisions of this Agreement relating to the maintenance of Capital Accounts are intended to comply with section 1.704-1(b) of the Regulations, and shall be interpreted and applied in a manner consistent with such Regulations. Consistent with such intention, the value of any property (other than cash) (i) contributed to the Company by a Member, (ii) distributed to a Member from the Company or (iii) owned by the Company and subject to a revaluation upon the occurrence of certain events shall be the Fair Market Value of such property (net of liabilities secured by such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413" w:right="339" w:bottom="1440" w:gutter="0" w:footer="0" w:header="0"/>
        </w:sectPr>
      </w:pPr>
    </w:p>
    <w:bookmarkStart w:id="423" w:name="page424"/>
    <w:bookmarkEnd w:id="423"/>
    <w:p>
      <w:pPr>
        <w:spacing w:after="0" w:line="283" w:lineRule="auto"/>
        <w:rPr>
          <w:sz w:val="20"/>
          <w:szCs w:val="20"/>
          <w:color w:val="auto"/>
        </w:rPr>
      </w:pPr>
      <w:r>
        <w:rPr>
          <w:rFonts w:ascii="Times New Roman" w:cs="Times New Roman" w:eastAsia="Times New Roman" w:hAnsi="Times New Roman"/>
          <w:sz w:val="20"/>
          <w:szCs w:val="20"/>
          <w:color w:val="auto"/>
        </w:rPr>
        <w:t>that the Company or such Member, as the case may be, is considered to assume or take subject to under section 752 of the Code) on the date of contribution, Distribution or revaluation, as applicable.</w:t>
      </w:r>
    </w:p>
    <w:p>
      <w:pPr>
        <w:spacing w:after="0" w:line="11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9.6</w:t>
      </w:r>
      <w:r>
        <w:rPr>
          <w:sz w:val="20"/>
          <w:szCs w:val="20"/>
          <w:color w:val="auto"/>
        </w:rPr>
        <w:tab/>
      </w:r>
      <w:r>
        <w:rPr>
          <w:rFonts w:ascii="Times New Roman" w:cs="Times New Roman" w:eastAsia="Times New Roman" w:hAnsi="Times New Roman"/>
          <w:sz w:val="19"/>
          <w:szCs w:val="19"/>
          <w:b w:val="1"/>
          <w:bCs w:val="1"/>
          <w:color w:val="auto"/>
        </w:rPr>
        <w:t>No Obligation to Restore Deficit Balance.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 Member shall be required to restore any deficit balance in its Capital Account.</w:t>
      </w:r>
    </w:p>
    <w:p>
      <w:pPr>
        <w:spacing w:after="0" w:line="18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9.7</w:t>
      </w:r>
      <w:r>
        <w:rPr>
          <w:sz w:val="20"/>
          <w:szCs w:val="20"/>
          <w:color w:val="auto"/>
        </w:rPr>
        <w:tab/>
      </w:r>
      <w:r>
        <w:rPr>
          <w:rFonts w:ascii="Times New Roman" w:cs="Times New Roman" w:eastAsia="Times New Roman" w:hAnsi="Times New Roman"/>
          <w:sz w:val="19"/>
          <w:szCs w:val="19"/>
          <w:b w:val="1"/>
          <w:bCs w:val="1"/>
          <w:color w:val="auto"/>
        </w:rPr>
        <w:t>Interest.</w:t>
      </w:r>
    </w:p>
    <w:p>
      <w:pPr>
        <w:spacing w:after="0" w:line="193"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Except as otherwise provided in this Agreement, no Member shall be entitled to interest or other return on such Member’s Capital Contribution or on any Profits retained by the Company.</w:t>
      </w:r>
    </w:p>
    <w:p>
      <w:pPr>
        <w:spacing w:after="0" w:line="11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9.8</w:t>
      </w:r>
      <w:r>
        <w:rPr>
          <w:sz w:val="20"/>
          <w:szCs w:val="20"/>
          <w:color w:val="auto"/>
        </w:rPr>
        <w:tab/>
      </w:r>
      <w:r>
        <w:rPr>
          <w:rFonts w:ascii="Times New Roman" w:cs="Times New Roman" w:eastAsia="Times New Roman" w:hAnsi="Times New Roman"/>
          <w:sz w:val="19"/>
          <w:szCs w:val="19"/>
          <w:b w:val="1"/>
          <w:bCs w:val="1"/>
          <w:color w:val="auto"/>
        </w:rPr>
        <w:t>Repayment of Capital Contribution.</w:t>
      </w:r>
    </w:p>
    <w:p>
      <w:pPr>
        <w:spacing w:after="0" w:line="193" w:lineRule="exact"/>
        <w:rPr>
          <w:sz w:val="20"/>
          <w:szCs w:val="20"/>
          <w:color w:val="auto"/>
        </w:rPr>
      </w:pPr>
    </w:p>
    <w:p>
      <w:pPr>
        <w:jc w:val="both"/>
        <w:ind w:firstLine="1304"/>
        <w:spacing w:after="0" w:line="258" w:lineRule="auto"/>
        <w:tabs>
          <w:tab w:leader="none" w:pos="1722"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and the Company shall have no liability for the repayment of any Capital Contributions of any Member, and no Member or any of its Affiliates (or their respective Related Parties) shall have liability for the repayment of any Capital Contributions of any other Member. The repayment of any Capital Contribution shall be made only to the extent of available Company assets in accordance with the terms of this Agreement.</w:t>
      </w:r>
    </w:p>
    <w:p>
      <w:pPr>
        <w:spacing w:after="0" w:line="131" w:lineRule="exact"/>
        <w:rPr>
          <w:rFonts w:ascii="Times New Roman" w:cs="Times New Roman" w:eastAsia="Times New Roman" w:hAnsi="Times New Roman"/>
          <w:sz w:val="20"/>
          <w:szCs w:val="20"/>
          <w:color w:val="auto"/>
        </w:rPr>
      </w:pPr>
    </w:p>
    <w:p>
      <w:pPr>
        <w:ind w:firstLine="1304"/>
        <w:spacing w:after="0" w:line="283" w:lineRule="auto"/>
        <w:tabs>
          <w:tab w:leader="none" w:pos="1734"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in this Agreement, no Member shall have priority over any other Member as to the return of its Capital Contribution or as to Distributions of cash made by the Company.</w:t>
      </w:r>
    </w:p>
    <w:p>
      <w:pPr>
        <w:spacing w:after="0" w:line="119" w:lineRule="exact"/>
        <w:rPr>
          <w:rFonts w:ascii="Times New Roman" w:cs="Times New Roman" w:eastAsia="Times New Roman" w:hAnsi="Times New Roman"/>
          <w:sz w:val="20"/>
          <w:szCs w:val="20"/>
          <w:color w:val="auto"/>
        </w:rPr>
      </w:pPr>
    </w:p>
    <w:p>
      <w:pPr>
        <w:jc w:val="both"/>
        <w:ind w:firstLine="1304"/>
        <w:spacing w:after="0" w:line="261" w:lineRule="auto"/>
        <w:tabs>
          <w:tab w:leader="none" w:pos="1878"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Member shall have the right to withdraw or be repaid any Capital Contribution except as provided in this Agreement. Except as otherwise provided in this Agreement, a Member shall not be entitled to (i) demand or receive assets other than cash in return for its Capital Contribution or (ii) receive any funds or assets of the Company.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ALLOCATIONS AND DISTRIBUTIONS</w:t>
      </w:r>
    </w:p>
    <w:p>
      <w:pPr>
        <w:spacing w:after="0" w:line="169"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10.1</w:t>
      </w:r>
      <w:r>
        <w:rPr>
          <w:sz w:val="20"/>
          <w:szCs w:val="20"/>
          <w:color w:val="auto"/>
        </w:rPr>
        <w:tab/>
      </w:r>
      <w:r>
        <w:rPr>
          <w:rFonts w:ascii="Times New Roman" w:cs="Times New Roman" w:eastAsia="Times New Roman" w:hAnsi="Times New Roman"/>
          <w:sz w:val="19"/>
          <w:szCs w:val="19"/>
          <w:b w:val="1"/>
          <w:bCs w:val="1"/>
          <w:color w:val="auto"/>
        </w:rPr>
        <w:t>Allocations of Profits and Losses.</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Except as otherwise provided in this Agreement, Profits and Losses and, to the extent necessary, individual items of income, gain, loss or deduction, of the Company shall be allocated among the Members in a manner such that, after giving effect to the special allocations set forth in </w:t>
      </w:r>
      <w:r>
        <w:rPr>
          <w:rFonts w:ascii="Times New Roman" w:cs="Times New Roman" w:eastAsia="Times New Roman" w:hAnsi="Times New Roman"/>
          <w:sz w:val="20"/>
          <w:szCs w:val="20"/>
          <w:u w:val="single" w:color="auto"/>
          <w:color w:val="auto"/>
        </w:rPr>
        <w:t>Sections 10.2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10.3</w:t>
      </w:r>
      <w:r>
        <w:rPr>
          <w:rFonts w:ascii="Times New Roman" w:cs="Times New Roman" w:eastAsia="Times New Roman" w:hAnsi="Times New Roman"/>
          <w:sz w:val="20"/>
          <w:szCs w:val="20"/>
          <w:color w:val="auto"/>
        </w:rPr>
        <w:t xml:space="preserve">, the Capital Account of each Member, immediately after making such allocation, is, as nearly as possible, equal proportionally to the following net amount (positive or negative): (i) the Distributions that would be made to such Member pursuant to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or the amount for which such Member would be liable to the Company under this Agreement, if the Company were dissolved, its affairs wound up and all of the assets owned by the Company were sold for cash equal to their Gross Asset Value, all Company liabilities were satisfied (limited with respect to each nonrecourse liability to the Gross Asset Value of the assets securing such liability), and the net assets of the Company were distributed in accordance with </w:t>
      </w:r>
      <w:r>
        <w:rPr>
          <w:rFonts w:ascii="Times New Roman" w:cs="Times New Roman" w:eastAsia="Times New Roman" w:hAnsi="Times New Roman"/>
          <w:sz w:val="20"/>
          <w:szCs w:val="20"/>
          <w:u w:val="single" w:color="auto"/>
          <w:color w:val="auto"/>
        </w:rPr>
        <w:t>Section 13.3(c)</w:t>
      </w:r>
      <w:r>
        <w:rPr>
          <w:rFonts w:ascii="Times New Roman" w:cs="Times New Roman" w:eastAsia="Times New Roman" w:hAnsi="Times New Roman"/>
          <w:sz w:val="20"/>
          <w:szCs w:val="20"/>
          <w:color w:val="auto"/>
        </w:rPr>
        <w:t xml:space="preserve"> to the Members immediately thereafter, minus (ii) such Member’s share of Partnership Minimum Gain and Partner Nonrecourse Debt Minimum Gain, computed immediately prior to the hypothetical sale of assets. Notwithstanding the provisions of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either Member may propose an alternative allocation of items of income, gain, loss or deduction of the Company to give economic effect to the provisions of this Agreement, taking into account the Regulations promulgated Section 704(b) of the Code, and if agreed to by the Members, such items of income, gain, loss or deduction of the Company shall be allocated in accordance with such alternative 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413" w:right="339" w:bottom="1440" w:gutter="0" w:footer="0" w:header="0"/>
        </w:sectPr>
      </w:pPr>
    </w:p>
    <w:bookmarkStart w:id="424" w:name="page425"/>
    <w:bookmarkEnd w:id="424"/>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10.2</w:t>
      </w:r>
      <w:r>
        <w:rPr>
          <w:sz w:val="20"/>
          <w:szCs w:val="20"/>
          <w:color w:val="auto"/>
        </w:rPr>
        <w:tab/>
      </w:r>
      <w:r>
        <w:rPr>
          <w:rFonts w:ascii="Times New Roman" w:cs="Times New Roman" w:eastAsia="Times New Roman" w:hAnsi="Times New Roman"/>
          <w:sz w:val="19"/>
          <w:szCs w:val="19"/>
          <w:b w:val="1"/>
          <w:bCs w:val="1"/>
          <w:color w:val="auto"/>
        </w:rPr>
        <w:t>Special Allocations.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special allocations shall be made:</w:t>
      </w:r>
    </w:p>
    <w:p>
      <w:pPr>
        <w:spacing w:after="0" w:line="175" w:lineRule="exact"/>
        <w:rPr>
          <w:sz w:val="20"/>
          <w:szCs w:val="20"/>
          <w:color w:val="auto"/>
        </w:rPr>
      </w:pPr>
    </w:p>
    <w:p>
      <w:pPr>
        <w:jc w:val="both"/>
        <w:ind w:firstLine="1304"/>
        <w:spacing w:after="0" w:line="241" w:lineRule="auto"/>
        <w:tabs>
          <w:tab w:leader="none" w:pos="1781"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Gain Chargeback</w:t>
      </w:r>
      <w:r>
        <w:rPr>
          <w:rFonts w:ascii="Times New Roman" w:cs="Times New Roman" w:eastAsia="Times New Roman" w:hAnsi="Times New Roman"/>
          <w:sz w:val="20"/>
          <w:szCs w:val="20"/>
          <w:color w:val="auto"/>
        </w:rPr>
        <w:t xml:space="preserve">. Except as otherwise provided in section 1.704-2(f) of the Regulations, notwithstanding any other provision of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if there is a net decrease in Partnership Minimum Gain during any Fiscal Year, each Member shall be specially allocated items of Company income and gain for such Fiscal Year (and, if necessary, subsequent Fiscal Years) in an amount equal to such Member’s share of the net decrease in Partnership Minimum Gain, determined in accordance with section 1.704-2(g) of the Regulations. Allocations pursuant to the previous sentence shall be made in proportion to the respective amounts required to be allocated to each Member pursuant thereto. The items to be so allocated shall be determined in accordance with sections 1.704-2(f)(6) and 1.704-2(j)(2) of the Regulations. This </w:t>
      </w:r>
      <w:r>
        <w:rPr>
          <w:rFonts w:ascii="Times New Roman" w:cs="Times New Roman" w:eastAsia="Times New Roman" w:hAnsi="Times New Roman"/>
          <w:sz w:val="20"/>
          <w:szCs w:val="20"/>
          <w:u w:val="single" w:color="auto"/>
          <w:color w:val="auto"/>
        </w:rPr>
        <w:t>Section 10.2(a)</w:t>
      </w:r>
      <w:r>
        <w:rPr>
          <w:rFonts w:ascii="Times New Roman" w:cs="Times New Roman" w:eastAsia="Times New Roman" w:hAnsi="Times New Roman"/>
          <w:sz w:val="20"/>
          <w:szCs w:val="20"/>
          <w:color w:val="auto"/>
        </w:rPr>
        <w:t xml:space="preserve"> is intended to comply with the minimum gain chargeback requirement in section 1.704-2(f) of the Regulations and shall be interpreted consistently therewith.</w:t>
      </w:r>
    </w:p>
    <w:p>
      <w:pPr>
        <w:spacing w:after="0" w:line="164" w:lineRule="exact"/>
        <w:rPr>
          <w:rFonts w:ascii="Times New Roman" w:cs="Times New Roman" w:eastAsia="Times New Roman" w:hAnsi="Times New Roman"/>
          <w:sz w:val="20"/>
          <w:szCs w:val="20"/>
          <w:color w:val="auto"/>
        </w:rPr>
      </w:pPr>
    </w:p>
    <w:p>
      <w:pPr>
        <w:jc w:val="both"/>
        <w:ind w:firstLine="1304"/>
        <w:spacing w:after="0" w:line="239" w:lineRule="auto"/>
        <w:tabs>
          <w:tab w:leader="none" w:pos="1900"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Partner Minimum Gain Chargeback</w:t>
      </w:r>
      <w:r>
        <w:rPr>
          <w:rFonts w:ascii="Times New Roman" w:cs="Times New Roman" w:eastAsia="Times New Roman" w:hAnsi="Times New Roman"/>
          <w:sz w:val="20"/>
          <w:szCs w:val="20"/>
          <w:color w:val="auto"/>
        </w:rPr>
        <w:t xml:space="preserve">. Except as otherwise provided in section 1.704-2(i)(4) of the Regulations, notwithstanding any other provision of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if there is a net decrease in Partner Nonrecourse Debt Minimum Gain attributable to a Partner Nonrecourse Debt during any Fiscal Year, each Member who has a share of the Partner Nonrecourse Debt Minimum Gain as of the beginning of the Fiscal Year attributable to such Partner Nonrecourse Debt, determined in accordance with section 1.704-2(i)(5) of the Regulations, shall be specially allocated items of Company income and gain for such Fiscal Year (and, if necessary, subsequent Fiscal Years) in an amount equal to such Member’s share of the net decrease in Partner Nonrecourse Debt Minimum Gain attributable to such Partner Nonrecourse Debt, determined in accordance with section 1.704-2(i)(4) of the Regulations. Allocations pursuant to the previous sentence shall be made in proportion to the respective amounts required to be allocated to each Member pursuant thereto. The items to be so allocated shall be determined in accordance with sections 1.704-2(i)(4) and 1.704-2(j)(2) of the Regulations. This </w:t>
      </w:r>
      <w:r>
        <w:rPr>
          <w:rFonts w:ascii="Times New Roman" w:cs="Times New Roman" w:eastAsia="Times New Roman" w:hAnsi="Times New Roman"/>
          <w:sz w:val="20"/>
          <w:szCs w:val="20"/>
          <w:u w:val="single" w:color="auto"/>
          <w:color w:val="auto"/>
        </w:rPr>
        <w:t>Section 10.2(b)</w:t>
      </w:r>
      <w:r>
        <w:rPr>
          <w:rFonts w:ascii="Times New Roman" w:cs="Times New Roman" w:eastAsia="Times New Roman" w:hAnsi="Times New Roman"/>
          <w:sz w:val="20"/>
          <w:szCs w:val="20"/>
          <w:color w:val="auto"/>
        </w:rPr>
        <w:t xml:space="preserve"> is intended to comply with the minimum gain chargeback requirement in section 1.704-2(i)(4) of the Regulations and shall be interpreted consistently therewith.</w:t>
      </w:r>
    </w:p>
    <w:p>
      <w:pPr>
        <w:spacing w:after="0" w:line="153" w:lineRule="exact"/>
        <w:rPr>
          <w:rFonts w:ascii="Times New Roman" w:cs="Times New Roman" w:eastAsia="Times New Roman" w:hAnsi="Times New Roman"/>
          <w:sz w:val="20"/>
          <w:szCs w:val="20"/>
          <w:color w:val="auto"/>
        </w:rPr>
      </w:pPr>
    </w:p>
    <w:p>
      <w:pPr>
        <w:jc w:val="both"/>
        <w:ind w:firstLine="1304"/>
        <w:spacing w:after="0" w:line="244" w:lineRule="auto"/>
        <w:tabs>
          <w:tab w:leader="none" w:pos="1727"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Qualified Income Offset</w:t>
      </w:r>
      <w:r>
        <w:rPr>
          <w:rFonts w:ascii="Times New Roman" w:cs="Times New Roman" w:eastAsia="Times New Roman" w:hAnsi="Times New Roman"/>
          <w:sz w:val="20"/>
          <w:szCs w:val="20"/>
          <w:color w:val="auto"/>
        </w:rPr>
        <w:t xml:space="preserve">. In the event any Member unexpectedly receives any adjustments, allocations or Distributions described in section 1.704-1(b)(2)(ii)(d)(4), section 1.704- 1(b)(2)(ii)(d)(5) or section 1.704-1(b)(2)(ii)(d)(6) of the Regulations that increase a Member’s Adjusted Capital Account Deficit, items of Company income and gain shall be specially allocated to the Member in an amount and manner sufficient to eliminate, to the extent required by the Regulations, the Adjusted Capital Account Deficit of the Member as quickly as possible;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 allocation pursuant to this </w:t>
      </w:r>
      <w:r>
        <w:rPr>
          <w:rFonts w:ascii="Times New Roman" w:cs="Times New Roman" w:eastAsia="Times New Roman" w:hAnsi="Times New Roman"/>
          <w:sz w:val="20"/>
          <w:szCs w:val="20"/>
          <w:u w:val="single" w:color="auto"/>
          <w:color w:val="auto"/>
        </w:rPr>
        <w:t>Section 10.2(c)</w:t>
      </w:r>
      <w:r>
        <w:rPr>
          <w:rFonts w:ascii="Times New Roman" w:cs="Times New Roman" w:eastAsia="Times New Roman" w:hAnsi="Times New Roman"/>
          <w:sz w:val="20"/>
          <w:szCs w:val="20"/>
          <w:color w:val="auto"/>
        </w:rPr>
        <w:t xml:space="preserve"> shall be made only if and to the extent that the Member would have an Adjusted Capital Account Deficit after all other allocations provided for in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have been tentatively made as if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10.2(c)</w:t>
      </w:r>
      <w:r>
        <w:rPr>
          <w:rFonts w:ascii="Times New Roman" w:cs="Times New Roman" w:eastAsia="Times New Roman" w:hAnsi="Times New Roman"/>
          <w:sz w:val="20"/>
          <w:szCs w:val="20"/>
          <w:color w:val="auto"/>
        </w:rPr>
        <w:t xml:space="preserve"> were not in this Agreement.</w:t>
      </w:r>
    </w:p>
    <w:p>
      <w:pPr>
        <w:spacing w:after="0" w:line="145" w:lineRule="exact"/>
        <w:rPr>
          <w:rFonts w:ascii="Times New Roman" w:cs="Times New Roman" w:eastAsia="Times New Roman" w:hAnsi="Times New Roman"/>
          <w:sz w:val="20"/>
          <w:szCs w:val="20"/>
          <w:color w:val="auto"/>
        </w:rPr>
      </w:pPr>
    </w:p>
    <w:p>
      <w:pPr>
        <w:jc w:val="both"/>
        <w:ind w:firstLine="1304"/>
        <w:spacing w:after="0" w:line="243" w:lineRule="auto"/>
        <w:tabs>
          <w:tab w:leader="none" w:pos="1778"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Gross Income Allocation</w:t>
      </w:r>
      <w:r>
        <w:rPr>
          <w:rFonts w:ascii="Times New Roman" w:cs="Times New Roman" w:eastAsia="Times New Roman" w:hAnsi="Times New Roman"/>
          <w:sz w:val="20"/>
          <w:szCs w:val="20"/>
          <w:color w:val="auto"/>
        </w:rPr>
        <w:t xml:space="preserve">. In the event any Member has an Adjusted Capital Account Deficit, such Member shall be specially allocated items of Company income and gain in the amount of such excess as quickly as possible;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 allocation pursuant to this </w:t>
      </w:r>
      <w:r>
        <w:rPr>
          <w:rFonts w:ascii="Times New Roman" w:cs="Times New Roman" w:eastAsia="Times New Roman" w:hAnsi="Times New Roman"/>
          <w:sz w:val="20"/>
          <w:szCs w:val="20"/>
          <w:u w:val="single" w:color="auto"/>
          <w:color w:val="auto"/>
        </w:rPr>
        <w:t>Section 10.2(d)</w:t>
      </w:r>
      <w:r>
        <w:rPr>
          <w:rFonts w:ascii="Times New Roman" w:cs="Times New Roman" w:eastAsia="Times New Roman" w:hAnsi="Times New Roman"/>
          <w:sz w:val="20"/>
          <w:szCs w:val="20"/>
          <w:color w:val="auto"/>
        </w:rPr>
        <w:t xml:space="preserve"> shall be made only if and to the extent that such Member would have an Adjusted Capital Account Deficit after all other allocations provided for in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have been made as if </w:t>
      </w:r>
      <w:r>
        <w:rPr>
          <w:rFonts w:ascii="Times New Roman" w:cs="Times New Roman" w:eastAsia="Times New Roman" w:hAnsi="Times New Roman"/>
          <w:sz w:val="20"/>
          <w:szCs w:val="20"/>
          <w:u w:val="single" w:color="auto"/>
          <w:color w:val="auto"/>
        </w:rPr>
        <w:t>Section 10.2(c)</w:t>
      </w:r>
      <w:r>
        <w:rPr>
          <w:rFonts w:ascii="Times New Roman" w:cs="Times New Roman" w:eastAsia="Times New Roman" w:hAnsi="Times New Roman"/>
          <w:sz w:val="20"/>
          <w:szCs w:val="20"/>
          <w:color w:val="auto"/>
        </w:rPr>
        <w:t xml:space="preserve"> and this </w:t>
      </w:r>
      <w:r>
        <w:rPr>
          <w:rFonts w:ascii="Times New Roman" w:cs="Times New Roman" w:eastAsia="Times New Roman" w:hAnsi="Times New Roman"/>
          <w:sz w:val="20"/>
          <w:szCs w:val="20"/>
          <w:u w:val="single" w:color="auto"/>
          <w:color w:val="auto"/>
        </w:rPr>
        <w:t>Section 10.2(d)</w:t>
      </w:r>
      <w:r>
        <w:rPr>
          <w:rFonts w:ascii="Times New Roman" w:cs="Times New Roman" w:eastAsia="Times New Roman" w:hAnsi="Times New Roman"/>
          <w:sz w:val="20"/>
          <w:szCs w:val="20"/>
          <w:color w:val="auto"/>
        </w:rPr>
        <w:t xml:space="preserve"> were not in this Agreement.</w:t>
      </w:r>
    </w:p>
    <w:p>
      <w:pPr>
        <w:spacing w:after="0" w:line="145" w:lineRule="exact"/>
        <w:rPr>
          <w:rFonts w:ascii="Times New Roman" w:cs="Times New Roman" w:eastAsia="Times New Roman" w:hAnsi="Times New Roman"/>
          <w:sz w:val="20"/>
          <w:szCs w:val="20"/>
          <w:color w:val="auto"/>
        </w:rPr>
      </w:pPr>
    </w:p>
    <w:p>
      <w:pPr>
        <w:ind w:right="20" w:firstLine="1304"/>
        <w:spacing w:after="0" w:line="269" w:lineRule="auto"/>
        <w:tabs>
          <w:tab w:leader="none" w:pos="1727"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Nonrecourse Deductions</w:t>
      </w:r>
      <w:r>
        <w:rPr>
          <w:rFonts w:ascii="Times New Roman" w:cs="Times New Roman" w:eastAsia="Times New Roman" w:hAnsi="Times New Roman"/>
          <w:sz w:val="20"/>
          <w:szCs w:val="20"/>
          <w:color w:val="auto"/>
        </w:rPr>
        <w:t>. Nonrecourse Deductions for any Fiscal Year shall be specially allocated among the Members in proportion to their respective outstanding unreturned Capital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409" w:right="339" w:bottom="1440" w:gutter="0" w:footer="0" w:header="0"/>
        </w:sectPr>
      </w:pPr>
    </w:p>
    <w:bookmarkStart w:id="425" w:name="page426"/>
    <w:bookmarkEnd w:id="425"/>
    <w:p>
      <w:pPr>
        <w:jc w:val="both"/>
        <w:ind w:firstLine="1304"/>
        <w:spacing w:after="0" w:line="261" w:lineRule="auto"/>
        <w:tabs>
          <w:tab w:leader="none" w:pos="1719"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Partner Nonrecourse Deductions</w:t>
      </w:r>
      <w:r>
        <w:rPr>
          <w:rFonts w:ascii="Times New Roman" w:cs="Times New Roman" w:eastAsia="Times New Roman" w:hAnsi="Times New Roman"/>
          <w:sz w:val="20"/>
          <w:szCs w:val="20"/>
          <w:color w:val="auto"/>
        </w:rPr>
        <w:t>. Any Partner Nonrecourse Deductions for any Fiscal Year shall be specially allocated to the Member who bears the economic risk of loss with respect to the Partner Nonrecourse Debt to which such Partner Nonrecourse Deductions are attributable in accordance with section 1.704-2(i)(1) of the Regulations.</w:t>
      </w:r>
    </w:p>
    <w:p>
      <w:pPr>
        <w:spacing w:after="0" w:line="140"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Book-ups</w:t>
      </w:r>
      <w:r>
        <w:rPr>
          <w:rFonts w:ascii="Times New Roman" w:cs="Times New Roman" w:eastAsia="Times New Roman" w:hAnsi="Times New Roman"/>
          <w:sz w:val="20"/>
          <w:szCs w:val="20"/>
          <w:color w:val="auto"/>
        </w:rPr>
        <w:t>. To the extent an adjustment to (i) the adjusted tax basis of any Company asset pursuant to section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734(b) or 743(b) of the Code is required to be taken into account in determining Capital Accounts or (ii) pursuant to section 1.704-1(b)(2)(iv)</w:t>
      </w:r>
    </w:p>
    <w:p>
      <w:pPr>
        <w:spacing w:after="0" w:line="18" w:lineRule="exact"/>
        <w:rPr>
          <w:sz w:val="20"/>
          <w:szCs w:val="20"/>
          <w:color w:val="auto"/>
        </w:rPr>
      </w:pPr>
    </w:p>
    <w:p>
      <w:pPr>
        <w:jc w:val="both"/>
        <w:ind w:firstLine="8"/>
        <w:spacing w:after="0" w:line="251" w:lineRule="auto"/>
        <w:tabs>
          <w:tab w:leader="none" w:pos="260"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Regulations, the Gross Asset Value of any Company asset is permitted to be taken into account in determining Capital Accounts, the amount of such adjustment to the Capital Accounts shall be treated, as provided in section 1.704- 1(b)(2)(iv)(m) or 1.704-1(b)(2)(iv)(g) of the Regulations, respectively, as an item of Profit (if the adjustment increases such basis or Gross Asset Value of the asset) or Loss (if the adjustment decreases such basis or Gross Asset Value), and such Profit or Loss shall be specially allocated to the Members in a manner consistent with the manner in which their Capital Accounts are required to be adjusted pursuant to such section of the Regulations.</w:t>
      </w:r>
    </w:p>
    <w:p>
      <w:pPr>
        <w:spacing w:after="0" w:line="15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Allocations under Section 704(c) of the Code</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1952"/>
        <w:spacing w:after="0" w:line="251" w:lineRule="auto"/>
        <w:tabs>
          <w:tab w:leader="none" w:pos="2393" w:val="left"/>
        </w:tabs>
        <w:numPr>
          <w:ilvl w:val="2"/>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item of Company income, gain, loss and deduction as determined for U.S. federal income tax purposes with respect to any property (other than cash) that has been contributed by a Member to the capital of the Company and which is required or permitted to be allocated to such Member for income tax purposes under section 704(c) of the Code so as to take into account the variation between the tax basis of such property and its Fair Market Value at the time of its contribution shall be allocated solely for income tax purposes in the manner so required or permitted under section 704(c) of the Code using the “traditional method” described in section 1.704-3(b) of the Regulations;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other method allowable under applicable Regulations may be used for any contribution of property as to which there is agreement between the contributing Member and the Board.</w:t>
      </w:r>
    </w:p>
    <w:p>
      <w:pPr>
        <w:spacing w:after="0" w:line="152" w:lineRule="exact"/>
        <w:rPr>
          <w:rFonts w:ascii="Times New Roman" w:cs="Times New Roman" w:eastAsia="Times New Roman" w:hAnsi="Times New Roman"/>
          <w:sz w:val="20"/>
          <w:szCs w:val="20"/>
          <w:color w:val="auto"/>
        </w:rPr>
      </w:pPr>
    </w:p>
    <w:p>
      <w:pPr>
        <w:jc w:val="both"/>
        <w:ind w:firstLine="1952"/>
        <w:spacing w:after="0" w:line="258" w:lineRule="auto"/>
        <w:tabs>
          <w:tab w:leader="none" w:pos="2398" w:val="left"/>
        </w:tabs>
        <w:numPr>
          <w:ilvl w:val="2"/>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the Gross Asset Value of any Company asset is adjusted pursuant to </w:t>
      </w:r>
      <w:r>
        <w:rPr>
          <w:rFonts w:ascii="Times New Roman" w:cs="Times New Roman" w:eastAsia="Times New Roman" w:hAnsi="Times New Roman"/>
          <w:sz w:val="20"/>
          <w:szCs w:val="20"/>
          <w:u w:val="single" w:color="auto"/>
          <w:color w:val="auto"/>
        </w:rPr>
        <w:t>Section 10.2(g)</w:t>
      </w:r>
      <w:r>
        <w:rPr>
          <w:rFonts w:ascii="Times New Roman" w:cs="Times New Roman" w:eastAsia="Times New Roman" w:hAnsi="Times New Roman"/>
          <w:sz w:val="20"/>
          <w:szCs w:val="20"/>
          <w:color w:val="auto"/>
        </w:rPr>
        <w:t xml:space="preserve"> in accordance with section 1.704-1(b)(2)(iv)(f) of the Regulations, subsequent allocations of income, gain, loss and deduction as determined for U.S. federal income tax purposes with respect to such asset shall take account of any variation between the adjusted basis of such asset for federal income tax purposes and its Gross Asset Value in a manner consistent with </w:t>
      </w:r>
      <w:r>
        <w:rPr>
          <w:rFonts w:ascii="Times New Roman" w:cs="Times New Roman" w:eastAsia="Times New Roman" w:hAnsi="Times New Roman"/>
          <w:sz w:val="20"/>
          <w:szCs w:val="20"/>
          <w:u w:val="single" w:color="auto"/>
          <w:color w:val="auto"/>
        </w:rPr>
        <w:t>Section 10.2(h)(i)</w:t>
      </w:r>
      <w:r>
        <w:rPr>
          <w:rFonts w:ascii="Times New Roman" w:cs="Times New Roman" w:eastAsia="Times New Roman" w:hAnsi="Times New Roman"/>
          <w:sz w:val="20"/>
          <w:szCs w:val="20"/>
          <w:color w:val="auto"/>
        </w:rPr>
        <w:t>.</w:t>
      </w:r>
    </w:p>
    <w:p>
      <w:pPr>
        <w:spacing w:after="0" w:line="145" w:lineRule="exact"/>
        <w:rPr>
          <w:rFonts w:ascii="Times New Roman" w:cs="Times New Roman" w:eastAsia="Times New Roman" w:hAnsi="Times New Roman"/>
          <w:sz w:val="20"/>
          <w:szCs w:val="20"/>
          <w:color w:val="auto"/>
        </w:rPr>
      </w:pPr>
    </w:p>
    <w:p>
      <w:pPr>
        <w:jc w:val="both"/>
        <w:ind w:firstLine="1952"/>
        <w:spacing w:after="0" w:line="261" w:lineRule="auto"/>
        <w:tabs>
          <w:tab w:leader="none" w:pos="2466" w:val="left"/>
        </w:tabs>
        <w:numPr>
          <w:ilvl w:val="2"/>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in </w:t>
      </w:r>
      <w:r>
        <w:rPr>
          <w:rFonts w:ascii="Times New Roman" w:cs="Times New Roman" w:eastAsia="Times New Roman" w:hAnsi="Times New Roman"/>
          <w:sz w:val="20"/>
          <w:szCs w:val="20"/>
          <w:u w:val="single" w:color="auto"/>
          <w:color w:val="auto"/>
        </w:rPr>
        <w:t>Sections 10.2(h)(i)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10.2(h)(ii)</w:t>
      </w:r>
      <w:r>
        <w:rPr>
          <w:rFonts w:ascii="Times New Roman" w:cs="Times New Roman" w:eastAsia="Times New Roman" w:hAnsi="Times New Roman"/>
          <w:sz w:val="20"/>
          <w:szCs w:val="20"/>
          <w:color w:val="auto"/>
        </w:rPr>
        <w:t>, for United States federal, state and local income tax purposes, the income, gains, losses and deductions of the Company shall, for each taxable period, be allocated among the Members in the same manner and in the same proportion that such items have been allocated among the Members’ respective Capital Accounts.</w:t>
      </w:r>
    </w:p>
    <w:p>
      <w:pPr>
        <w:spacing w:after="0" w:line="13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10.3</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18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10.4</w:t>
      </w:r>
      <w:r>
        <w:rPr>
          <w:sz w:val="20"/>
          <w:szCs w:val="20"/>
          <w:color w:val="auto"/>
        </w:rPr>
        <w:tab/>
      </w:r>
      <w:r>
        <w:rPr>
          <w:rFonts w:ascii="Times New Roman" w:cs="Times New Roman" w:eastAsia="Times New Roman" w:hAnsi="Times New Roman"/>
          <w:sz w:val="19"/>
          <w:szCs w:val="19"/>
          <w:b w:val="1"/>
          <w:bCs w:val="1"/>
          <w:color w:val="auto"/>
        </w:rPr>
        <w:t>Section 754 Election.</w:t>
      </w:r>
    </w:p>
    <w:p>
      <w:pPr>
        <w:spacing w:after="0" w:line="19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cost of preparing any election described under Section 754 of the Code and any additional accounting expenses of the Company occasioned by such election, shall be borne by such transferees or distributees.</w:t>
      </w:r>
    </w:p>
    <w:p>
      <w:pPr>
        <w:spacing w:after="0" w:line="12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10.5</w:t>
      </w:r>
      <w:r>
        <w:rPr>
          <w:sz w:val="20"/>
          <w:szCs w:val="20"/>
          <w:color w:val="auto"/>
        </w:rPr>
        <w:tab/>
      </w:r>
      <w:r>
        <w:rPr>
          <w:rFonts w:ascii="Times New Roman" w:cs="Times New Roman" w:eastAsia="Times New Roman" w:hAnsi="Times New Roman"/>
          <w:sz w:val="19"/>
          <w:szCs w:val="19"/>
          <w:b w:val="1"/>
          <w:bCs w:val="1"/>
          <w:color w:val="auto"/>
        </w:rPr>
        <w:t>Other Allocation Rules.</w:t>
      </w:r>
    </w:p>
    <w:p>
      <w:pPr>
        <w:spacing w:after="0" w:line="193" w:lineRule="exact"/>
        <w:rPr>
          <w:sz w:val="20"/>
          <w:szCs w:val="20"/>
          <w:color w:val="auto"/>
        </w:rPr>
      </w:pPr>
    </w:p>
    <w:p>
      <w:pPr>
        <w:ind w:firstLine="1304"/>
        <w:spacing w:after="0" w:line="283" w:lineRule="auto"/>
        <w:tabs>
          <w:tab w:leader="none" w:pos="1740"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determining the Profits, Losses or any other item allocable to any period (including allocations to take into account any transfer of any interest in the Company),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413" w:right="339" w:bottom="1440" w:gutter="0" w:footer="0" w:header="0"/>
        </w:sectPr>
      </w:pPr>
    </w:p>
    <w:bookmarkStart w:id="426" w:name="page427"/>
    <w:bookmarkEnd w:id="426"/>
    <w:p>
      <w:pPr>
        <w:spacing w:after="0" w:line="283" w:lineRule="auto"/>
        <w:rPr>
          <w:sz w:val="20"/>
          <w:szCs w:val="20"/>
          <w:color w:val="auto"/>
        </w:rPr>
      </w:pPr>
      <w:r>
        <w:rPr>
          <w:rFonts w:ascii="Times New Roman" w:cs="Times New Roman" w:eastAsia="Times New Roman" w:hAnsi="Times New Roman"/>
          <w:sz w:val="20"/>
          <w:szCs w:val="20"/>
          <w:color w:val="auto"/>
        </w:rPr>
        <w:t>Losses and any such other item shall be determined on a daily, monthly or other basis, as determined by the Board using any permissible method under section 706 of the Code and the Regulations thereunder.</w:t>
      </w:r>
    </w:p>
    <w:p>
      <w:pPr>
        <w:spacing w:after="0" w:line="119" w:lineRule="exact"/>
        <w:rPr>
          <w:sz w:val="20"/>
          <w:szCs w:val="20"/>
          <w:color w:val="auto"/>
        </w:rPr>
      </w:pPr>
    </w:p>
    <w:p>
      <w:pPr>
        <w:ind w:right="20" w:firstLine="1304"/>
        <w:spacing w:after="0" w:line="269" w:lineRule="auto"/>
        <w:tabs>
          <w:tab w:leader="none" w:pos="1747"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Members are aware of the income tax consequences of the allocations made by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and hereby agree to be bound by the provisions of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in reporting their shares of Company income and loss for income tax purposes.</w:t>
      </w:r>
    </w:p>
    <w:p>
      <w:pPr>
        <w:spacing w:after="0" w:line="13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844"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Solely for purposes of determining a Member’s proportionate share of the “excess nonrecourse liabilities” of the Company within the meaning of section 1.752-3(a)(3) of the Regulations, the Members’ interests in Company Profits are in proportion to their respective outstanding unreturned Capital Contributions.</w:t>
      </w:r>
    </w:p>
    <w:p>
      <w:pPr>
        <w:spacing w:after="0" w:line="140"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62"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section 1.704-2(h)(3) of the Regulations, the Board shall endeavor to treat Distributions as having been made from the proceeds of a Nonrecourse Liability or a Partner Nonrecourse Debt only to the extent that such Distributions would not cause or increase an Adjusted Capital Account Deficit for any Member.</w:t>
      </w:r>
    </w:p>
    <w:p>
      <w:pPr>
        <w:spacing w:after="0" w:line="140"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13"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provided in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an allocation of Company Profits or Losses to a Member shall be treated as an allocation to such Member of the same share of each item of income, gain, loss and deduction taken into account in computing such Profits or Losses.</w:t>
      </w:r>
    </w:p>
    <w:p>
      <w:pPr>
        <w:spacing w:after="0" w:line="140" w:lineRule="exact"/>
        <w:rPr>
          <w:rFonts w:ascii="Times New Roman" w:cs="Times New Roman" w:eastAsia="Times New Roman" w:hAnsi="Times New Roman"/>
          <w:sz w:val="20"/>
          <w:szCs w:val="20"/>
          <w:color w:val="auto"/>
        </w:rPr>
      </w:pPr>
    </w:p>
    <w:p>
      <w:pPr>
        <w:jc w:val="both"/>
        <w:ind w:firstLine="1304"/>
        <w:spacing w:after="0" w:line="257" w:lineRule="auto"/>
        <w:tabs>
          <w:tab w:leader="none" w:pos="1721"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determining the character (as ordinary income or capital gain) of any Profits allocated to the Members pursuant to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such portion of Profits that is treated as ordinary income attributable to the recapture of depreciation shall, to the extent possible, be allocated among the Members in the proportion which (i) the amount of depreciation previously allocated to each Member bears to (ii) the total of such depreciation allocated to all Members. This </w:t>
      </w:r>
      <w:r>
        <w:rPr>
          <w:rFonts w:ascii="Times New Roman" w:cs="Times New Roman" w:eastAsia="Times New Roman" w:hAnsi="Times New Roman"/>
          <w:sz w:val="20"/>
          <w:szCs w:val="20"/>
          <w:u w:val="single" w:color="auto"/>
          <w:color w:val="auto"/>
        </w:rPr>
        <w:t>Section 10.5(f)</w:t>
      </w:r>
      <w:r>
        <w:rPr>
          <w:rFonts w:ascii="Times New Roman" w:cs="Times New Roman" w:eastAsia="Times New Roman" w:hAnsi="Times New Roman"/>
          <w:sz w:val="20"/>
          <w:szCs w:val="20"/>
          <w:color w:val="auto"/>
        </w:rPr>
        <w:t xml:space="preserve"> shall not alter the amount of allocations among the Members pursuant to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but merely the character of income so allocated.</w:t>
      </w:r>
    </w:p>
    <w:p>
      <w:pPr>
        <w:spacing w:after="0" w:line="145" w:lineRule="exact"/>
        <w:rPr>
          <w:rFonts w:ascii="Times New Roman" w:cs="Times New Roman" w:eastAsia="Times New Roman" w:hAnsi="Times New Roman"/>
          <w:sz w:val="20"/>
          <w:szCs w:val="20"/>
          <w:color w:val="auto"/>
        </w:rPr>
      </w:pPr>
    </w:p>
    <w:p>
      <w:pPr>
        <w:jc w:val="both"/>
        <w:ind w:firstLine="1304"/>
        <w:spacing w:after="0" w:line="251" w:lineRule="auto"/>
        <w:tabs>
          <w:tab w:leader="none" w:pos="1941"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arrangements expressly described in this Agreement or authorized under any Basic Securitization Document, no Member shall enter into (or permit any Affiliate of that Member to enter into) any arrangement with respect to any liability of the Company that would result in such Member (or a person related to such Member under section 1.752-4(b) of the Regulations) bearing the economic risk of loss (within the meaning of section 1.752-2 of the Regulations) with respect to such liability unless such arrangement has been approved by the Board. To the extent a Member is permitted to guarantee the repayment of any Company indebtedness under this Agreement, each of the other Members shall be afforded the opportunity to guarantee such Member’s pro rata share of such indebtedness, determined in accordance with the Members’ respective outstanding unreturned Capital Contributions.</w:t>
      </w:r>
    </w:p>
    <w:p>
      <w:pPr>
        <w:spacing w:after="0" w:line="14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10.6</w:t>
      </w:r>
      <w:r>
        <w:rPr>
          <w:sz w:val="20"/>
          <w:szCs w:val="20"/>
          <w:color w:val="auto"/>
        </w:rPr>
        <w:tab/>
      </w:r>
      <w:r>
        <w:rPr>
          <w:rFonts w:ascii="Times New Roman" w:cs="Times New Roman" w:eastAsia="Times New Roman" w:hAnsi="Times New Roman"/>
          <w:sz w:val="19"/>
          <w:szCs w:val="19"/>
          <w:b w:val="1"/>
          <w:bCs w:val="1"/>
          <w:color w:val="auto"/>
        </w:rPr>
        <w:t>Distributions.</w:t>
      </w:r>
    </w:p>
    <w:p>
      <w:pPr>
        <w:spacing w:after="0" w:line="193" w:lineRule="exact"/>
        <w:rPr>
          <w:sz w:val="20"/>
          <w:szCs w:val="20"/>
          <w:color w:val="auto"/>
        </w:rPr>
      </w:pPr>
    </w:p>
    <w:p>
      <w:pPr>
        <w:ind w:right="20" w:firstLine="1304"/>
        <w:spacing w:after="0" w:line="283" w:lineRule="auto"/>
        <w:tabs>
          <w:tab w:leader="none" w:pos="1749"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13.3</w:t>
      </w:r>
      <w:r>
        <w:rPr>
          <w:rFonts w:ascii="Times New Roman" w:cs="Times New Roman" w:eastAsia="Times New Roman" w:hAnsi="Times New Roman"/>
          <w:sz w:val="20"/>
          <w:szCs w:val="20"/>
          <w:color w:val="auto"/>
        </w:rPr>
        <w:t xml:space="preserve"> and the other provisions of this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the Company shall make distributions of all Net Cash Flow on a monthly basis in accordance with the order of priority set forth in this </w:t>
      </w:r>
      <w:r>
        <w:rPr>
          <w:rFonts w:ascii="Times New Roman" w:cs="Times New Roman" w:eastAsia="Times New Roman" w:hAnsi="Times New Roman"/>
          <w:sz w:val="20"/>
          <w:szCs w:val="20"/>
          <w:u w:val="single" w:color="auto"/>
          <w:color w:val="auto"/>
        </w:rPr>
        <w:t>Section 10.6(a)</w:t>
      </w:r>
      <w:r>
        <w:rPr>
          <w:rFonts w:ascii="Times New Roman" w:cs="Times New Roman" w:eastAsia="Times New Roman" w:hAnsi="Times New Roman"/>
          <w:sz w:val="20"/>
          <w:szCs w:val="20"/>
          <w:color w:val="auto"/>
        </w:rPr>
        <w:t>.</w:t>
      </w:r>
    </w:p>
    <w:p>
      <w:pPr>
        <w:spacing w:after="0" w:line="115" w:lineRule="exact"/>
        <w:rPr>
          <w:rFonts w:ascii="Times New Roman" w:cs="Times New Roman" w:eastAsia="Times New Roman" w:hAnsi="Times New Roman"/>
          <w:sz w:val="20"/>
          <w:szCs w:val="20"/>
          <w:color w:val="auto"/>
        </w:rPr>
      </w:pPr>
    </w:p>
    <w:p>
      <w:pPr>
        <w:ind w:firstLine="1952"/>
        <w:spacing w:after="0" w:line="273" w:lineRule="auto"/>
        <w:tabs>
          <w:tab w:leader="none" w:pos="2410" w:val="left"/>
        </w:tabs>
        <w:numPr>
          <w:ilvl w:val="1"/>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to each Member, pro rata, in respect of and in proportion to their respective Unreturned Superpriority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Return, until each Member’s Unreturned Superpriority Return has been reduced to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13" w:right="339" w:bottom="1440" w:gutter="0" w:footer="0" w:header="0"/>
        </w:sectPr>
      </w:pPr>
    </w:p>
    <w:bookmarkStart w:id="427" w:name="page428"/>
    <w:bookmarkEnd w:id="427"/>
    <w:p>
      <w:pPr>
        <w:ind w:firstLine="1952"/>
        <w:spacing w:after="0" w:line="259" w:lineRule="auto"/>
        <w:tabs>
          <w:tab w:leader="none" w:pos="2410" w:val="left"/>
        </w:tabs>
        <w:numPr>
          <w:ilvl w:val="1"/>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to each Member, pro rata, in respect of and in proportion to their respective Unreturned Superpriority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Contributions, until each Member’s Unreturned Superpriority Contributions has been reduced to zero;</w:t>
      </w:r>
    </w:p>
    <w:p>
      <w:pPr>
        <w:spacing w:after="0" w:line="124" w:lineRule="exact"/>
        <w:rPr>
          <w:rFonts w:ascii="Times New Roman" w:cs="Times New Roman" w:eastAsia="Times New Roman" w:hAnsi="Times New Roman"/>
          <w:sz w:val="20"/>
          <w:szCs w:val="20"/>
          <w:color w:val="auto"/>
        </w:rPr>
      </w:pPr>
    </w:p>
    <w:p>
      <w:pPr>
        <w:ind w:firstLine="1952"/>
        <w:spacing w:after="0" w:line="259" w:lineRule="auto"/>
        <w:tabs>
          <w:tab w:leader="none" w:pos="2546" w:val="left"/>
        </w:tabs>
        <w:numPr>
          <w:ilvl w:val="1"/>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to each Member, pro rata, in respect of and in proportion to their respective Unreturned Preferred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Return, until each Member’s Unreturned Preferred Return has been reduced to zero;</w:t>
      </w:r>
    </w:p>
    <w:p>
      <w:pPr>
        <w:spacing w:after="0" w:line="111" w:lineRule="exact"/>
        <w:rPr>
          <w:rFonts w:ascii="Times New Roman" w:cs="Times New Roman" w:eastAsia="Times New Roman" w:hAnsi="Times New Roman"/>
          <w:sz w:val="20"/>
          <w:szCs w:val="20"/>
          <w:color w:val="auto"/>
        </w:rPr>
      </w:pPr>
    </w:p>
    <w:p>
      <w:pPr>
        <w:jc w:val="both"/>
        <w:ind w:firstLine="1952"/>
        <w:spacing w:after="0" w:line="241" w:lineRule="auto"/>
        <w:tabs>
          <w:tab w:leader="none" w:pos="2508" w:val="left"/>
        </w:tabs>
        <w:numPr>
          <w:ilvl w:val="1"/>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(A) from and after a Run-Off Commencement Date, or (B) following the sale of all or any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Company Assets pursuant to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or (C) in connection with the liquidation, dissolution or winding up of the Company, to each Member, pro rata, in respect of and in proportion to their respective Unreturned Capital Contributions, until each Member’s Unreturned Capital Contributions has been reduced to zero; and</w:t>
      </w:r>
    </w:p>
    <w:p>
      <w:pPr>
        <w:spacing w:after="0" w:line="129" w:lineRule="exact"/>
        <w:rPr>
          <w:rFonts w:ascii="Times New Roman" w:cs="Times New Roman" w:eastAsia="Times New Roman" w:hAnsi="Times New Roman"/>
          <w:sz w:val="20"/>
          <w:szCs w:val="20"/>
          <w:color w:val="auto"/>
        </w:rPr>
      </w:pPr>
    </w:p>
    <w:p>
      <w:pPr>
        <w:jc w:val="both"/>
        <w:ind w:firstLine="1952"/>
        <w:spacing w:after="0" w:line="242" w:lineRule="auto"/>
        <w:tabs>
          <w:tab w:leader="none" w:pos="2494" w:val="left"/>
        </w:tabs>
        <w:numPr>
          <w:ilvl w:val="1"/>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(A) from and after a Run-Off Commencement Date, or (B) following the sale of all or any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Company Assets pursuant to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or (C), in connection with the liquidation, dissolution or winding up of the Company, to each Member, (x) [***] to Investor and (y) [***] to Figure.</w:t>
      </w:r>
    </w:p>
    <w:p>
      <w:pPr>
        <w:spacing w:after="0" w:line="145" w:lineRule="exact"/>
        <w:rPr>
          <w:rFonts w:ascii="Times New Roman" w:cs="Times New Roman" w:eastAsia="Times New Roman" w:hAnsi="Times New Roman"/>
          <w:sz w:val="20"/>
          <w:szCs w:val="20"/>
          <w:color w:val="auto"/>
        </w:rPr>
      </w:pPr>
    </w:p>
    <w:p>
      <w:pPr>
        <w:jc w:val="both"/>
        <w:ind w:firstLine="1304"/>
        <w:spacing w:after="0" w:line="231" w:lineRule="auto"/>
        <w:tabs>
          <w:tab w:leader="none" w:pos="1752"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provisions of </w:t>
      </w:r>
      <w:r>
        <w:rPr>
          <w:rFonts w:ascii="Times New Roman" w:cs="Times New Roman" w:eastAsia="Times New Roman" w:hAnsi="Times New Roman"/>
          <w:sz w:val="20"/>
          <w:szCs w:val="20"/>
          <w:u w:val="single" w:color="auto"/>
          <w:color w:val="auto"/>
        </w:rPr>
        <w:t>Section 10.6(a)</w:t>
      </w:r>
      <w:r>
        <w:rPr>
          <w:rFonts w:ascii="Times New Roman" w:cs="Times New Roman" w:eastAsia="Times New Roman" w:hAnsi="Times New Roman"/>
          <w:sz w:val="20"/>
          <w:szCs w:val="20"/>
          <w:color w:val="auto"/>
        </w:rPr>
        <w:t xml:space="preserve">, upon the dissolution and winding-up of the Company, the proceeds of sale and other assets of the Company distributable to the Members under </w:t>
      </w:r>
      <w:r>
        <w:rPr>
          <w:rFonts w:ascii="Times New Roman" w:cs="Times New Roman" w:eastAsia="Times New Roman" w:hAnsi="Times New Roman"/>
          <w:sz w:val="20"/>
          <w:szCs w:val="20"/>
          <w:u w:val="single" w:color="auto"/>
          <w:color w:val="auto"/>
        </w:rPr>
        <w:t>Section 13.3</w:t>
      </w:r>
      <w:r>
        <w:rPr>
          <w:rFonts w:ascii="Times New Roman" w:cs="Times New Roman" w:eastAsia="Times New Roman" w:hAnsi="Times New Roman"/>
          <w:sz w:val="20"/>
          <w:szCs w:val="20"/>
          <w:color w:val="auto"/>
        </w:rPr>
        <w:t xml:space="preserve"> shall be distributed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10.6(a)</w:t>
      </w:r>
      <w:r>
        <w:rPr>
          <w:rFonts w:ascii="Times New Roman" w:cs="Times New Roman" w:eastAsia="Times New Roman" w:hAnsi="Times New Roman"/>
          <w:sz w:val="20"/>
          <w:szCs w:val="20"/>
          <w:color w:val="auto"/>
        </w:rPr>
        <w:t xml:space="preserve">. With the approval of the Members, a pro rata portion of the distributions that would otherwise be made to the Members (pro rata in proportion to the amounts otherwise distributed to the Members) under the preceding sentence may be distributed to a trust reasonably established, for a reasonable period of time, for the benefit of the Members for the purposes of liquidating Company Property, collecting amounts owed to the Company, and paying any contingent or unforeseen liabilities or obligations of the Company arising out of or in connection with the Company. The assets of any trust established under this </w:t>
      </w:r>
      <w:r>
        <w:rPr>
          <w:rFonts w:ascii="Times New Roman" w:cs="Times New Roman" w:eastAsia="Times New Roman" w:hAnsi="Times New Roman"/>
          <w:sz w:val="20"/>
          <w:szCs w:val="20"/>
          <w:u w:val="single" w:color="auto"/>
          <w:color w:val="auto"/>
        </w:rPr>
        <w:t>Section 10.6(b)</w:t>
      </w:r>
      <w:r>
        <w:rPr>
          <w:rFonts w:ascii="Times New Roman" w:cs="Times New Roman" w:eastAsia="Times New Roman" w:hAnsi="Times New Roman"/>
          <w:sz w:val="20"/>
          <w:szCs w:val="20"/>
          <w:color w:val="auto"/>
        </w:rPr>
        <w:t xml:space="preserve"> will be distributed to the Members from time to time by the trustee of the trust, upon approval of the Board in the same proportions as the amount distributed to the trust by the Company would otherwise have been distributed to the Members under this Agreement.</w:t>
      </w:r>
    </w:p>
    <w:p>
      <w:pPr>
        <w:spacing w:after="0" w:line="140" w:lineRule="exact"/>
        <w:rPr>
          <w:rFonts w:ascii="Times New Roman" w:cs="Times New Roman" w:eastAsia="Times New Roman" w:hAnsi="Times New Roman"/>
          <w:sz w:val="20"/>
          <w:szCs w:val="20"/>
          <w:color w:val="auto"/>
        </w:rPr>
      </w:pPr>
    </w:p>
    <w:p>
      <w:pPr>
        <w:jc w:val="both"/>
        <w:ind w:firstLine="1304"/>
        <w:spacing w:after="0" w:line="233" w:lineRule="auto"/>
        <w:tabs>
          <w:tab w:leader="none" w:pos="1773"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this Agreement, the Company shall not be required to make a Distribution (i) to any Member if such distribution would violate the Act or any other law, rule, regulation, order or directive of any Governmental Entity then applicable to the Company, (ii) to any Member if such distribution would violate any contract or agreement to which the Company is then a party, (iii) to any Member to the extent that the Board, in its reasonable discretion, determines that any amount otherwise distributable should be retained by the Company to pay, or to establish a reserve for the payment of, any liability or obligation of the Company, whether liquidated, fixed, contingent or otherwise, or (iv) to any Member to the extent that the Board, in its reasonable discretion, determines that the cash available to the Company is insufficient to permit such distribution.</w:t>
      </w:r>
    </w:p>
    <w:p>
      <w:pPr>
        <w:spacing w:after="0" w:line="138" w:lineRule="exact"/>
        <w:rPr>
          <w:rFonts w:ascii="Times New Roman" w:cs="Times New Roman" w:eastAsia="Times New Roman" w:hAnsi="Times New Roman"/>
          <w:sz w:val="20"/>
          <w:szCs w:val="20"/>
          <w:color w:val="auto"/>
        </w:rPr>
      </w:pPr>
    </w:p>
    <w:p>
      <w:pPr>
        <w:jc w:val="both"/>
        <w:ind w:firstLine="1304"/>
        <w:spacing w:after="0" w:line="233" w:lineRule="auto"/>
        <w:tabs>
          <w:tab w:leader="none" w:pos="177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distribute to each Member, out of available Net Cash Flow of the Company, with respect to each fiscal quarter of the Company, an amount equal to such Member’s Tax Distribution for such fiscal quarter. A Member’s Tax Distribution with respect to any Fiscal Year is equal to (i) the excess of (A) the taxable income allocated to the Member for such Fiscal Year over (B) any taxable losses allocated to the Member in prior Fiscal Years that have not previously been taken into account in computing a Member’s Tax Distribution, multiplied by (ii) the Assumed Tax Rate thereafter (the “</w:t>
      </w:r>
      <w:r>
        <w:rPr>
          <w:rFonts w:ascii="Times New Roman" w:cs="Times New Roman" w:eastAsia="Times New Roman" w:hAnsi="Times New Roman"/>
          <w:sz w:val="20"/>
          <w:szCs w:val="20"/>
          <w:b w:val="1"/>
          <w:bCs w:val="1"/>
          <w:color w:val="auto"/>
        </w:rPr>
        <w:t>Member’s Tax Distribution</w:t>
      </w:r>
      <w:r>
        <w:rPr>
          <w:rFonts w:ascii="Times New Roman" w:cs="Times New Roman" w:eastAsia="Times New Roman" w:hAnsi="Times New Roman"/>
          <w:sz w:val="20"/>
          <w:szCs w:val="20"/>
          <w:color w:val="auto"/>
        </w:rPr>
        <w:t>”). Notwithstanding the provisions of this Section 10.6(d), if a Member has not received cumulative distributions as of the end of any Fiscal Year pursuant to this Section 10.6(d) of an amount at least equal to the Member’s Tax Distribution for such Fiscal Year, the Member shall receive,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409" w:right="339" w:bottom="1440" w:gutter="0" w:footer="0" w:header="0"/>
        </w:sectPr>
      </w:pPr>
    </w:p>
    <w:bookmarkStart w:id="428" w:name="page429"/>
    <w:bookmarkEnd w:id="428"/>
    <w:p>
      <w:pPr>
        <w:jc w:val="both"/>
        <w:spacing w:after="0" w:line="235" w:lineRule="auto"/>
        <w:rPr>
          <w:sz w:val="20"/>
          <w:szCs w:val="20"/>
          <w:color w:val="auto"/>
        </w:rPr>
      </w:pPr>
      <w:r>
        <w:rPr>
          <w:rFonts w:ascii="Times New Roman" w:cs="Times New Roman" w:eastAsia="Times New Roman" w:hAnsi="Times New Roman"/>
          <w:sz w:val="20"/>
          <w:szCs w:val="20"/>
          <w:color w:val="auto"/>
        </w:rPr>
        <w:t>soon as practicable after the end of such Fiscal Year out of available Net Cash Flow of the Company, as determined by the Board, in priority to distributions to any other Member, the amount of such shortfall. The amount of a Member’s Tax Distribution distributed pursuant to this Section 10.6(d) shall serve as an advance against future distributions to the Member pursuant to Section 10.6. If more than one Member is entitled to a Member’s Tax Distribution, and available Net Cash Flow of the Company is insufficient to pay each Member its Member’s Tax Distribution, the Members shall share the amount available for Member’s Tax Distributions pro rata in proportion to the aggregate Member’s Tax Distributions to which they are otherwise entitled.</w:t>
      </w:r>
    </w:p>
    <w:p>
      <w:pPr>
        <w:spacing w:after="0" w:line="130"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10.7</w:t>
      </w:r>
      <w:r>
        <w:rPr>
          <w:sz w:val="20"/>
          <w:szCs w:val="20"/>
          <w:color w:val="auto"/>
        </w:rPr>
        <w:tab/>
      </w:r>
      <w:r>
        <w:rPr>
          <w:rFonts w:ascii="Times New Roman" w:cs="Times New Roman" w:eastAsia="Times New Roman" w:hAnsi="Times New Roman"/>
          <w:sz w:val="19"/>
          <w:szCs w:val="19"/>
          <w:b w:val="1"/>
          <w:bCs w:val="1"/>
          <w:color w:val="auto"/>
        </w:rPr>
        <w:t>Amounts Withheld.</w:t>
      </w:r>
    </w:p>
    <w:p>
      <w:pPr>
        <w:spacing w:after="0" w:line="17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All amounts required to be withheld or tax payments required to be made by the Company pursuant to the Code or any provision of any state or local tax law with respect to any payment, distribution or allocation to the Company or the Members (including, but not limited to, any “imputed underpayment” within the meaning of the Partnership Tax Audit Rules that the Board determines is attributable to a Member and any amounts paid by the Company pursuant to section 1446(f) of the Code that the Board determines is attributable to a Member) shall be treated as amounts distributed to the Members pursuant to this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for all purposes under this Agreement. The Board is authorized to withhold from Distributions (or otherwise, including pursuant to section 1446(f)(4) of the Code), or with respect to allocations, to the Members and to pay over to any federal, state or local government any amounts required to be so withheld pursuant to the Code or any provisions of any other federal, state or local law, and shall allocate any such amounts to the Members with respect to which such amount was withheld. To the extent that the aggregate amount required to be withheld with respect to a Member for any period exceeds the Distributions that such Member would have received for such period but for such withholding, the Partnership Representative shall notify such Member as to the amount of such excess and such Member shall make a prompt payment to the Company of such amount, which payment shall be not be treated as a Capital Contribution.</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TAXES</w:t>
      </w:r>
    </w:p>
    <w:p>
      <w:pPr>
        <w:spacing w:after="0" w:line="149"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11.1</w:t>
      </w:r>
      <w:r>
        <w:rPr>
          <w:sz w:val="20"/>
          <w:szCs w:val="20"/>
          <w:color w:val="auto"/>
        </w:rPr>
        <w:tab/>
      </w:r>
      <w:r>
        <w:rPr>
          <w:rFonts w:ascii="Times New Roman" w:cs="Times New Roman" w:eastAsia="Times New Roman" w:hAnsi="Times New Roman"/>
          <w:sz w:val="19"/>
          <w:szCs w:val="19"/>
          <w:b w:val="1"/>
          <w:bCs w:val="1"/>
          <w:color w:val="auto"/>
        </w:rPr>
        <w:t>Tax Characterization.</w:t>
      </w:r>
    </w:p>
    <w:p>
      <w:pPr>
        <w:spacing w:after="0" w:line="16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It is intended that the Company be characterized and treated as a partnership for, and solely for, federal, state and local income tax purposes. For such purpose, the Company shall be subject to all of the provisions of subchapter K of chapter 1 of subtitle A of the Code, all references to a “</w:t>
      </w:r>
      <w:r>
        <w:rPr>
          <w:rFonts w:ascii="Times New Roman" w:cs="Times New Roman" w:eastAsia="Times New Roman" w:hAnsi="Times New Roman"/>
          <w:sz w:val="20"/>
          <w:szCs w:val="20"/>
          <w:b w:val="1"/>
          <w:bCs w:val="1"/>
          <w:color w:val="auto"/>
        </w:rPr>
        <w:t>Partner</w:t>
      </w:r>
      <w:r>
        <w:rPr>
          <w:rFonts w:ascii="Times New Roman" w:cs="Times New Roman" w:eastAsia="Times New Roman" w:hAnsi="Times New Roman"/>
          <w:sz w:val="20"/>
          <w:szCs w:val="20"/>
          <w:color w:val="auto"/>
        </w:rPr>
        <w:t>,” to “</w:t>
      </w:r>
      <w:r>
        <w:rPr>
          <w:rFonts w:ascii="Times New Roman" w:cs="Times New Roman" w:eastAsia="Times New Roman" w:hAnsi="Times New Roman"/>
          <w:sz w:val="20"/>
          <w:szCs w:val="20"/>
          <w:b w:val="1"/>
          <w:bCs w:val="1"/>
          <w:color w:val="auto"/>
        </w:rPr>
        <w:t>Partners</w:t>
      </w:r>
      <w:r>
        <w:rPr>
          <w:rFonts w:ascii="Times New Roman" w:cs="Times New Roman" w:eastAsia="Times New Roman" w:hAnsi="Times New Roman"/>
          <w:sz w:val="20"/>
          <w:szCs w:val="20"/>
          <w:color w:val="auto"/>
        </w:rPr>
        <w:t>” and to the “</w:t>
      </w:r>
      <w:r>
        <w:rPr>
          <w:rFonts w:ascii="Times New Roman" w:cs="Times New Roman" w:eastAsia="Times New Roman" w:hAnsi="Times New Roman"/>
          <w:sz w:val="20"/>
          <w:szCs w:val="20"/>
          <w:b w:val="1"/>
          <w:bCs w:val="1"/>
          <w:color w:val="auto"/>
        </w:rPr>
        <w:t>Partnership</w:t>
      </w:r>
      <w:r>
        <w:rPr>
          <w:rFonts w:ascii="Times New Roman" w:cs="Times New Roman" w:eastAsia="Times New Roman" w:hAnsi="Times New Roman"/>
          <w:sz w:val="20"/>
          <w:szCs w:val="20"/>
          <w:color w:val="auto"/>
        </w:rPr>
        <w:t xml:space="preserve">” in this Agreement (including the provisions of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and in the provisions of the Code and Regulations cited in this Agreement shall be deemed to refer to a Member, the Members and the Company, respectively.</w:t>
      </w:r>
    </w:p>
    <w:p>
      <w:pPr>
        <w:spacing w:after="0" w:line="129"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11.2</w:t>
      </w:r>
      <w:r>
        <w:rPr>
          <w:sz w:val="20"/>
          <w:szCs w:val="20"/>
          <w:color w:val="auto"/>
        </w:rPr>
        <w:tab/>
      </w:r>
      <w:r>
        <w:rPr>
          <w:rFonts w:ascii="Times New Roman" w:cs="Times New Roman" w:eastAsia="Times New Roman" w:hAnsi="Times New Roman"/>
          <w:sz w:val="19"/>
          <w:szCs w:val="19"/>
          <w:b w:val="1"/>
          <w:bCs w:val="1"/>
          <w:color w:val="auto"/>
        </w:rPr>
        <w:t>Partnership Representative.</w:t>
      </w:r>
    </w:p>
    <w:p>
      <w:pPr>
        <w:spacing w:after="0" w:line="179" w:lineRule="exact"/>
        <w:rPr>
          <w:sz w:val="20"/>
          <w:szCs w:val="20"/>
          <w:color w:val="auto"/>
        </w:rPr>
      </w:pPr>
    </w:p>
    <w:p>
      <w:pPr>
        <w:jc w:val="both"/>
        <w:ind w:firstLine="1304"/>
        <w:spacing w:after="0" w:line="232" w:lineRule="auto"/>
        <w:tabs>
          <w:tab w:leader="none" w:pos="1743"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Investor Member shall be the “partnership representative” of the Company within the meaning of section 6223 of the Code (the “</w:t>
      </w:r>
      <w:r>
        <w:rPr>
          <w:rFonts w:ascii="Times New Roman" w:cs="Times New Roman" w:eastAsia="Times New Roman" w:hAnsi="Times New Roman"/>
          <w:sz w:val="20"/>
          <w:szCs w:val="20"/>
          <w:b w:val="1"/>
          <w:bCs w:val="1"/>
          <w:color w:val="auto"/>
        </w:rPr>
        <w:t>Partnership Representative</w:t>
      </w:r>
      <w:r>
        <w:rPr>
          <w:rFonts w:ascii="Times New Roman" w:cs="Times New Roman" w:eastAsia="Times New Roman" w:hAnsi="Times New Roman"/>
          <w:sz w:val="20"/>
          <w:szCs w:val="20"/>
          <w:color w:val="auto"/>
        </w:rPr>
        <w:t>”), and it shall serve as such at the expense of the Company with all powers granted to a partnership representative under the Code, but subject to the limitations set forth herein. The Partnership Representative shall appoint a natural person to serve as the “designated individual” within the meaning of section 301.6223-1(b)(3) of the Regulations to act on behalf of the Partnership Representative (the “</w:t>
      </w:r>
      <w:r>
        <w:rPr>
          <w:rFonts w:ascii="Times New Roman" w:cs="Times New Roman" w:eastAsia="Times New Roman" w:hAnsi="Times New Roman"/>
          <w:sz w:val="20"/>
          <w:szCs w:val="20"/>
          <w:b w:val="1"/>
          <w:bCs w:val="1"/>
          <w:color w:val="auto"/>
        </w:rPr>
        <w:t>Designated Individual</w:t>
      </w:r>
      <w:r>
        <w:rPr>
          <w:rFonts w:ascii="Times New Roman" w:cs="Times New Roman" w:eastAsia="Times New Roman" w:hAnsi="Times New Roman"/>
          <w:sz w:val="20"/>
          <w:szCs w:val="20"/>
          <w:color w:val="auto"/>
        </w:rPr>
        <w:t>”). The Partnership Representative shall receive no additional compensation from the Company for its services in that capacity, but all reasonable expenses incurred by the Partnership Representative in such capacity shall be borne by the Company and shall be Reimbursable Expenses to the extent incurred or paid by the Partnership Representative or its Affiliates on behalf of the Company. The Partnership Representative is authorized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413" w:right="339" w:bottom="1440" w:gutter="0" w:footer="0" w:header="0"/>
        </w:sectPr>
      </w:pPr>
    </w:p>
    <w:bookmarkStart w:id="429" w:name="page430"/>
    <w:bookmarkEnd w:id="429"/>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employ such accountants, attorneys and agents as it, in its reasonable discretion, determines are necessary to or useful in the performance of its duties. Subject to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the Partnership Representative is authorized to represent the Company before the United States Internal Revenue Service and any other Governmental Entity with jurisdiction, and to sign such consents and to enter into settlements and other agreements with such agencies as the Partnership Representative or its duly authorized officer deems necessary or advisable. Each Member shall give prompt notice to the Partnership Representative and to each other Member of any and all notices it receives from the United States Internal Revenue Service concerning the Company, including any notice of a thirty (30) day appeal letter and any notice of deficiency in tax concerning the Company’s federal income tax returns. The Partnership Representative shall serve in a similar capacity (or in a capacity similar to being the tax matters partner) with respect to any similar tax related or other election provided by state or local laws. The Partnership Representative shall not cause the Company to make an election under section 6221 of the Code if the Company is then eligible to make such election.</w:t>
      </w:r>
    </w:p>
    <w:p>
      <w:pPr>
        <w:spacing w:after="0" w:line="156" w:lineRule="exact"/>
        <w:rPr>
          <w:sz w:val="20"/>
          <w:szCs w:val="20"/>
          <w:color w:val="auto"/>
        </w:rPr>
      </w:pPr>
    </w:p>
    <w:p>
      <w:pPr>
        <w:jc w:val="both"/>
        <w:ind w:firstLine="1304"/>
        <w:spacing w:after="0" w:line="251" w:lineRule="auto"/>
        <w:tabs>
          <w:tab w:leader="none" w:pos="1834"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Members agree to take all actions and provide any information reasonably requested by the Company or the Partnership Representative to comply with the Partnership Tax Audit Rules. Notwithstanding anything to the contrary herein, no Member shall be required to (A) file amended tax returns in accordance with section 6225(c)(2) of the Code (or any similar provisions under state or local law), or (B) take any action in accordance with the “alternative procedure” pursuant to section 6225(c)(2)(B) of the Code (or any similar provisions under state or local law). For purposes of this Agreement, “</w:t>
      </w:r>
      <w:r>
        <w:rPr>
          <w:rFonts w:ascii="Times New Roman" w:cs="Times New Roman" w:eastAsia="Times New Roman" w:hAnsi="Times New Roman"/>
          <w:sz w:val="20"/>
          <w:szCs w:val="20"/>
          <w:b w:val="1"/>
          <w:bCs w:val="1"/>
          <w:color w:val="auto"/>
        </w:rPr>
        <w:t>Partnership Tax Audit Rules</w:t>
      </w:r>
      <w:r>
        <w:rPr>
          <w:rFonts w:ascii="Times New Roman" w:cs="Times New Roman" w:eastAsia="Times New Roman" w:hAnsi="Times New Roman"/>
          <w:sz w:val="20"/>
          <w:szCs w:val="20"/>
          <w:color w:val="auto"/>
        </w:rPr>
        <w:t>” shall mean (i) sections 6221-6241 of the Code (as enacted pursuant to the Bipartisan Budget Act of 2015, Pub. L. No. 114-74), as amended from time to time, (ii) any Regulations or other official guidance promulgated under or relating to such Code sections, and (iii) any corresponding provisions of state or local income tax law.</w:t>
      </w:r>
    </w:p>
    <w:p>
      <w:pPr>
        <w:spacing w:after="0" w:line="154"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27"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Partnership Representative shall promptly give notice to the Members of the commencement of any administrative or judicial proceeding involving the tax treatment or amount of any item of income, gain, loss, deduction or credit of the Company and will use commercially reasonably efforts to keep the Members fully informed of all material developments in such proceedings. The Partnership shall not settle any administrative or judicial proceeding involving the tax treatment or amount of any item of income, gain, loss, deduction or credit of the Company if such settlement would result in a materially and disproportionately adverse effect on Figure, in which event such matter shall require Figure’s prior written consent.</w:t>
      </w:r>
    </w:p>
    <w:p>
      <w:pPr>
        <w:spacing w:after="0" w:line="151" w:lineRule="exact"/>
        <w:rPr>
          <w:rFonts w:ascii="Times New Roman" w:cs="Times New Roman" w:eastAsia="Times New Roman" w:hAnsi="Times New Roman"/>
          <w:sz w:val="20"/>
          <w:szCs w:val="20"/>
          <w:color w:val="auto"/>
        </w:rPr>
      </w:pPr>
    </w:p>
    <w:p>
      <w:pPr>
        <w:ind w:firstLine="1304"/>
        <w:spacing w:after="0" w:line="283" w:lineRule="auto"/>
        <w:tabs>
          <w:tab w:leader="none" w:pos="1797"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shall survive the dissolution or termination of the Company and the withdrawal or other transfer of interests of or by any Member.</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TRANSFER OF MEMBERSHIP INTEREST</w:t>
      </w:r>
    </w:p>
    <w:p>
      <w:pPr>
        <w:spacing w:after="0" w:line="16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12.1</w:t>
      </w:r>
      <w:r>
        <w:rPr>
          <w:sz w:val="20"/>
          <w:szCs w:val="20"/>
          <w:color w:val="auto"/>
        </w:rPr>
        <w:tab/>
      </w:r>
      <w:r>
        <w:rPr>
          <w:rFonts w:ascii="Times New Roman" w:cs="Times New Roman" w:eastAsia="Times New Roman" w:hAnsi="Times New Roman"/>
          <w:sz w:val="19"/>
          <w:szCs w:val="19"/>
          <w:b w:val="1"/>
          <w:bCs w:val="1"/>
          <w:color w:val="auto"/>
        </w:rPr>
        <w:t>Compliance with Securities Laws.</w:t>
      </w:r>
    </w:p>
    <w:p>
      <w:pPr>
        <w:spacing w:after="0" w:line="1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No Membership Interest has been registered under the Securities Act or under any applicable state or other jurisdiction’s securities laws. A Member may not transfer all or any part of such Member’s Membership Interest, except upon compliance with the applicable federal and state or other jurisdiction’s securities laws. The Board shall have no obligation to register any Member’s Membership Interest under the Securities Act or under any applicable state or other jurisdiction’s securities laws, or to make any exemption therefrom available to any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413" w:right="339" w:bottom="1440" w:gutter="0" w:footer="0" w:header="0"/>
        </w:sectPr>
      </w:pPr>
    </w:p>
    <w:bookmarkStart w:id="430" w:name="page431"/>
    <w:bookmarkEnd w:id="430"/>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12.2</w:t>
      </w:r>
      <w:r>
        <w:rPr>
          <w:sz w:val="20"/>
          <w:szCs w:val="20"/>
          <w:color w:val="auto"/>
        </w:rPr>
        <w:tab/>
      </w:r>
      <w:r>
        <w:rPr>
          <w:rFonts w:ascii="Times New Roman" w:cs="Times New Roman" w:eastAsia="Times New Roman" w:hAnsi="Times New Roman"/>
          <w:sz w:val="19"/>
          <w:szCs w:val="19"/>
          <w:b w:val="1"/>
          <w:bCs w:val="1"/>
          <w:color w:val="auto"/>
        </w:rPr>
        <w:t>Transfer of Membership Interest.</w:t>
      </w:r>
    </w:p>
    <w:p>
      <w:pPr>
        <w:spacing w:after="0" w:line="166" w:lineRule="exact"/>
        <w:rPr>
          <w:sz w:val="20"/>
          <w:szCs w:val="20"/>
          <w:color w:val="auto"/>
        </w:rPr>
      </w:pPr>
    </w:p>
    <w:p>
      <w:pPr>
        <w:jc w:val="both"/>
        <w:ind w:firstLine="1304"/>
        <w:spacing w:after="0" w:line="229" w:lineRule="auto"/>
        <w:tabs>
          <w:tab w:leader="none" w:pos="1739"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provided herein and subject to compliance with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a Member (and for the avoidance of doubt, its direct and indirect equity owners) shall not, directly or indirectly, sell, assign, transfer, mortgage, hypothecate or otherwise encumber (a “</w:t>
      </w:r>
      <w:r>
        <w:rPr>
          <w:rFonts w:ascii="Times New Roman" w:cs="Times New Roman" w:eastAsia="Times New Roman" w:hAnsi="Times New Roman"/>
          <w:sz w:val="20"/>
          <w:szCs w:val="20"/>
          <w:b w:val="1"/>
          <w:bCs w:val="1"/>
          <w:color w:val="auto"/>
        </w:rPr>
        <w:t>Transfer</w:t>
      </w:r>
      <w:r>
        <w:rPr>
          <w:rFonts w:ascii="Times New Roman" w:cs="Times New Roman" w:eastAsia="Times New Roman" w:hAnsi="Times New Roman"/>
          <w:sz w:val="20"/>
          <w:szCs w:val="20"/>
          <w:color w:val="auto"/>
        </w:rPr>
        <w:t xml:space="preserve">”) all or any part of its Membership Interest (or for the avoidance of doubt, any direct or indirect interest therein) other than (i) with the prior written consent of the other Member in its sole discretion and approval of the Board, (ii) direct or indirect Transfer of all or any part of its Membership Interest to an Affiliate of such Member (other than, in the case of Investor, Affiliates pursuant to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of the definition of Sixth Street Persons), (iii) any indirect Transfer of all or any part of its Membership Interest to any Person that is not a Competitor or a Sixth Street Competitor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indirect Transfers of all or any part of Investor’s Membership Interests to a Sixth Street Person or any limited partner or other investor in a Sixth Street Person shall not be subject to the requirement that such Transfer only be to a Person that is not a Competitor or a Sixth Street Competitor), (iv) following the one-year anniversary of the Effective Date, any direct Transfer of all or any part of its Membership Interest to any Person that is not a Competitor or a Sixth Street Competitor, or (v) pursuant to Transfers of Membership Interests permitted under </w:t>
      </w:r>
      <w:r>
        <w:rPr>
          <w:rFonts w:ascii="Times New Roman" w:cs="Times New Roman" w:eastAsia="Times New Roman" w:hAnsi="Times New Roman"/>
          <w:sz w:val="20"/>
          <w:szCs w:val="20"/>
          <w:u w:val="single" w:color="auto"/>
          <w:color w:val="auto"/>
        </w:rPr>
        <w:t>Sections 4.2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8.3(a)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of the foregoing cases other than a Transfer described in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xml:space="preserve">, immediately following such Transfer: (A) in the case of a direct or indirect Transfer by Investor (or its direct or indirect equity owners), one or more Sixth Street Persons collectively (other than those described in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of the definition thereof) continues to directly or indirectly own [***] of the Membership Interests owned on the Effective Date by the Investor Member </w:t>
      </w:r>
      <w:r>
        <w:rPr>
          <w:rFonts w:ascii="Times New Roman" w:cs="Times New Roman" w:eastAsia="Times New Roman" w:hAnsi="Times New Roman"/>
          <w:sz w:val="20"/>
          <w:szCs w:val="20"/>
          <w:u w:val="single" w:color="auto"/>
          <w:color w:val="auto"/>
        </w:rPr>
        <w:t>and</w:t>
      </w:r>
      <w:r>
        <w:rPr>
          <w:rFonts w:ascii="Times New Roman" w:cs="Times New Roman" w:eastAsia="Times New Roman" w:hAnsi="Times New Roman"/>
          <w:sz w:val="20"/>
          <w:szCs w:val="20"/>
          <w:color w:val="auto"/>
        </w:rPr>
        <w:t xml:space="preserve"> SSP continues to be under common Control with the owner of [***] of the Membership Interests owned on the Effective Date by the Investor Member, (B) in the case of a direct or indirect Transfer by Figure (or its direct or indirect equity owners), one or more Figure Persons and Affiliates of Figure Persons collectively continues to own [***] of the Membership Interests owned on the Effective Date by the Figure Member </w:t>
      </w:r>
      <w:r>
        <w:rPr>
          <w:rFonts w:ascii="Times New Roman" w:cs="Times New Roman" w:eastAsia="Times New Roman" w:hAnsi="Times New Roman"/>
          <w:sz w:val="20"/>
          <w:szCs w:val="20"/>
          <w:u w:val="single" w:color="auto"/>
          <w:color w:val="auto"/>
        </w:rPr>
        <w:t>and</w:t>
      </w:r>
      <w:r>
        <w:rPr>
          <w:rFonts w:ascii="Times New Roman" w:cs="Times New Roman" w:eastAsia="Times New Roman" w:hAnsi="Times New Roman"/>
          <w:sz w:val="20"/>
          <w:szCs w:val="20"/>
          <w:color w:val="auto"/>
        </w:rPr>
        <w:t xml:space="preserve"> Figure Corp. continues to Control [***] of the Membership Interests owned on the Effective Date by Figure Member, and (C) the representations, warranties and covenants set forth in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given by the Transferring Member continue to be true and correct in all material respects following such Transfer with respect to the Transferee Member and any remaining Transferring Member;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in each of the foregoing Transfers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above, to the extent applicable, the requirements of the remainder of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xml:space="preserve"> shall be satisfied with respect to such Transfer (any Transfer permitted pursuant to the foregoing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each, a “</w:t>
      </w:r>
      <w:r>
        <w:rPr>
          <w:rFonts w:ascii="Times New Roman" w:cs="Times New Roman" w:eastAsia="Times New Roman" w:hAnsi="Times New Roman"/>
          <w:sz w:val="20"/>
          <w:szCs w:val="20"/>
          <w:b w:val="1"/>
          <w:bCs w:val="1"/>
          <w:color w:val="auto"/>
        </w:rPr>
        <w:t>Permitted Transfer</w:t>
      </w:r>
      <w:r>
        <w:rPr>
          <w:rFonts w:ascii="Times New Roman" w:cs="Times New Roman" w:eastAsia="Times New Roman" w:hAnsi="Times New Roman"/>
          <w:sz w:val="20"/>
          <w:szCs w:val="20"/>
          <w:color w:val="auto"/>
        </w:rPr>
        <w:t xml:space="preserve">”). Any Transfer or attempted Transfer in violation of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xml:space="preserve"> shall be null and void and the Company shall not in any way give effect to any such Transfer.</w:t>
      </w:r>
    </w:p>
    <w:p>
      <w:pPr>
        <w:spacing w:after="0" w:line="147" w:lineRule="exact"/>
        <w:rPr>
          <w:rFonts w:ascii="Times New Roman" w:cs="Times New Roman" w:eastAsia="Times New Roman" w:hAnsi="Times New Roman"/>
          <w:sz w:val="20"/>
          <w:szCs w:val="20"/>
          <w:color w:val="auto"/>
        </w:rPr>
      </w:pPr>
    </w:p>
    <w:p>
      <w:pPr>
        <w:jc w:val="both"/>
        <w:ind w:firstLine="1304"/>
        <w:spacing w:after="0" w:line="236" w:lineRule="auto"/>
        <w:tabs>
          <w:tab w:leader="none" w:pos="1749"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direct or, to the extent applicable, indirect Transfer of any Membership Interest by a Member (and for the avoidance of doubt, to the extent applicable, its direct and indirect equity owners) (a “</w:t>
      </w:r>
      <w:r>
        <w:rPr>
          <w:rFonts w:ascii="Times New Roman" w:cs="Times New Roman" w:eastAsia="Times New Roman" w:hAnsi="Times New Roman"/>
          <w:sz w:val="20"/>
          <w:szCs w:val="20"/>
          <w:b w:val="1"/>
          <w:bCs w:val="1"/>
          <w:color w:val="auto"/>
        </w:rPr>
        <w:t>Transferor</w:t>
      </w:r>
      <w:r>
        <w:rPr>
          <w:rFonts w:ascii="Times New Roman" w:cs="Times New Roman" w:eastAsia="Times New Roman" w:hAnsi="Times New Roman"/>
          <w:sz w:val="20"/>
          <w:szCs w:val="20"/>
          <w:color w:val="auto"/>
        </w:rPr>
        <w:t>”) to another Person (a “</w:t>
      </w:r>
      <w:r>
        <w:rPr>
          <w:rFonts w:ascii="Times New Roman" w:cs="Times New Roman" w:eastAsia="Times New Roman" w:hAnsi="Times New Roman"/>
          <w:sz w:val="20"/>
          <w:szCs w:val="20"/>
          <w:b w:val="1"/>
          <w:bCs w:val="1"/>
          <w:color w:val="auto"/>
        </w:rPr>
        <w:t>Transferee</w:t>
      </w:r>
      <w:r>
        <w:rPr>
          <w:rFonts w:ascii="Times New Roman" w:cs="Times New Roman" w:eastAsia="Times New Roman" w:hAnsi="Times New Roman"/>
          <w:sz w:val="20"/>
          <w:szCs w:val="20"/>
          <w:color w:val="auto"/>
        </w:rPr>
        <w:t xml:space="preserve">”) that is permitted pursuant to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xml:space="preserve"> or elsewhere in this Agreement, such Transfer may not occur in whole or in part unless the following terms and conditions have been satisfied:</w:t>
      </w:r>
    </w:p>
    <w:p>
      <w:pPr>
        <w:spacing w:after="0" w:line="148" w:lineRule="exact"/>
        <w:rPr>
          <w:rFonts w:ascii="Times New Roman" w:cs="Times New Roman" w:eastAsia="Times New Roman" w:hAnsi="Times New Roman"/>
          <w:sz w:val="20"/>
          <w:szCs w:val="20"/>
          <w:color w:val="auto"/>
        </w:rPr>
      </w:pPr>
    </w:p>
    <w:p>
      <w:pPr>
        <w:jc w:val="both"/>
        <w:ind w:firstLine="1952"/>
        <w:spacing w:after="0" w:line="230" w:lineRule="auto"/>
        <w:tabs>
          <w:tab w:leader="none" w:pos="2343" w:val="left"/>
        </w:tabs>
        <w:numPr>
          <w:ilvl w:val="1"/>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Transferor shall have: (A) paid or otherwise satisfied all costs (including attorneys’ fees and disbursements) incurred by the Company in connection with the Transfer, (B) if requested by the Board or the Member entitled to consent to such Transfer, furnished the Company with a written opinion of counsel, reasonably satisfactory in form and substance to counsel for the Company, that such Transfer complies with applicable federal and state securities laws and this Agreement, (C) if requested by the Board or the Member entitled to consent to such Transfer, furnished the Company with a written advice of Morgan Lewis, Goodwin or Chapman and Cutler LLP or a written opinion of counsel, reasonably satisfactory in form and substance to counsel for the Company, that (x) such Transferee has the legal right, power and capacity to own the Membership Interest proposed to be transferred and (y) such Transfer will not result in the Company being treated as a publicly traded partnership for purposes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409" w:right="339" w:bottom="1440" w:gutter="0" w:footer="0" w:header="0"/>
        </w:sectPr>
      </w:pPr>
    </w:p>
    <w:bookmarkStart w:id="431" w:name="page432"/>
    <w:bookmarkEnd w:id="431"/>
    <w:p>
      <w:pPr>
        <w:spacing w:after="0"/>
        <w:rPr>
          <w:sz w:val="20"/>
          <w:szCs w:val="20"/>
          <w:color w:val="auto"/>
        </w:rPr>
      </w:pPr>
      <w:r>
        <w:rPr>
          <w:rFonts w:ascii="Times New Roman" w:cs="Times New Roman" w:eastAsia="Times New Roman" w:hAnsi="Times New Roman"/>
          <w:sz w:val="20"/>
          <w:szCs w:val="20"/>
          <w:color w:val="auto"/>
        </w:rPr>
        <w:t>section 7704 of the Code and (D) complied with such other conditions as the Board may reasonably require from time to time;</w:t>
      </w:r>
    </w:p>
    <w:p>
      <w:pPr>
        <w:spacing w:after="0" w:line="175" w:lineRule="exact"/>
        <w:rPr>
          <w:sz w:val="20"/>
          <w:szCs w:val="20"/>
          <w:color w:val="auto"/>
        </w:rPr>
      </w:pPr>
    </w:p>
    <w:p>
      <w:pPr>
        <w:jc w:val="both"/>
        <w:ind w:firstLine="1952"/>
        <w:spacing w:after="0" w:line="254" w:lineRule="auto"/>
        <w:tabs>
          <w:tab w:leader="none" w:pos="2424" w:val="left"/>
        </w:tabs>
        <w:numPr>
          <w:ilvl w:val="1"/>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Transfer of a direct interest in the Company, the Transferee shall have assumed in writing the obligations, if any, of the Transferor to the Company, including the obligation to fulfill the Transferor’s commitment to make Additional Capital Contributions related to the transferred Membership Interest or portion thereof;</w:t>
      </w:r>
    </w:p>
    <w:p>
      <w:pPr>
        <w:spacing w:after="0" w:line="133" w:lineRule="exact"/>
        <w:rPr>
          <w:rFonts w:ascii="Times New Roman" w:cs="Times New Roman" w:eastAsia="Times New Roman" w:hAnsi="Times New Roman"/>
          <w:sz w:val="20"/>
          <w:szCs w:val="20"/>
          <w:color w:val="auto"/>
        </w:rPr>
      </w:pPr>
    </w:p>
    <w:p>
      <w:pPr>
        <w:jc w:val="both"/>
        <w:ind w:firstLine="1952"/>
        <w:spacing w:after="0" w:line="249" w:lineRule="auto"/>
        <w:tabs>
          <w:tab w:leader="none" w:pos="2443" w:val="left"/>
        </w:tabs>
        <w:numPr>
          <w:ilvl w:val="1"/>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Transfer of a direct interest in the Company, the Transferee shall have adopted and approved in writing (by executing and delivering a counterpart signature page to this Agreement and becoming a party hereto as a Member) all of the terms and provisions of this Agreement (including the representations, warranties, and covenants set forth herein), and any related agreements hereto then in effect, as applicable;</w:t>
      </w:r>
    </w:p>
    <w:p>
      <w:pPr>
        <w:spacing w:after="0" w:line="139" w:lineRule="exact"/>
        <w:rPr>
          <w:rFonts w:ascii="Times New Roman" w:cs="Times New Roman" w:eastAsia="Times New Roman" w:hAnsi="Times New Roman"/>
          <w:sz w:val="20"/>
          <w:szCs w:val="20"/>
          <w:color w:val="auto"/>
        </w:rPr>
      </w:pPr>
    </w:p>
    <w:p>
      <w:pPr>
        <w:jc w:val="both"/>
        <w:ind w:firstLine="1952"/>
        <w:spacing w:after="0" w:line="243" w:lineRule="auto"/>
        <w:tabs>
          <w:tab w:leader="none" w:pos="2518" w:val="left"/>
        </w:tabs>
        <w:numPr>
          <w:ilvl w:val="1"/>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Transferor and Transferee shall have provided to the Company and the Partnership Representative any forms, documents, certifications, or such other information requested by the Partnership Representative to allow the Partnership Representative to (A) determine the application of any tax-related obligations (including any tax withholding or filing requirements) related to the Transfer, and (B) ensure that the Company shall not be subject to any taxes or the obligation to withhold any taxes as a result of such Transfer, including pursuant to section 1446(f) of the Code;</w:t>
      </w:r>
    </w:p>
    <w:p>
      <w:pPr>
        <w:spacing w:after="0" w:line="145" w:lineRule="exact"/>
        <w:rPr>
          <w:rFonts w:ascii="Times New Roman" w:cs="Times New Roman" w:eastAsia="Times New Roman" w:hAnsi="Times New Roman"/>
          <w:sz w:val="20"/>
          <w:szCs w:val="20"/>
          <w:color w:val="auto"/>
        </w:rPr>
      </w:pPr>
    </w:p>
    <w:p>
      <w:pPr>
        <w:jc w:val="both"/>
        <w:ind w:firstLine="1952"/>
        <w:spacing w:after="0" w:line="254" w:lineRule="auto"/>
        <w:tabs>
          <w:tab w:leader="none" w:pos="2398" w:val="left"/>
        </w:tabs>
        <w:numPr>
          <w:ilvl w:val="1"/>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Transfer of a direct Membership Interest that is otherwise permitted hereunder will only be permitted if such Transfer does not cause the Company, the remaining Member or any of their applicable respective Affiliates to be subjected to any new and materially burdensome regulatory or reporting requirements; and</w:t>
      </w:r>
    </w:p>
    <w:p>
      <w:pPr>
        <w:spacing w:after="0" w:line="133" w:lineRule="exact"/>
        <w:rPr>
          <w:rFonts w:ascii="Times New Roman" w:cs="Times New Roman" w:eastAsia="Times New Roman" w:hAnsi="Times New Roman"/>
          <w:sz w:val="20"/>
          <w:szCs w:val="20"/>
          <w:color w:val="auto"/>
        </w:rPr>
      </w:pPr>
    </w:p>
    <w:p>
      <w:pPr>
        <w:jc w:val="both"/>
        <w:ind w:firstLine="1952"/>
        <w:spacing w:after="0" w:line="241" w:lineRule="auto"/>
        <w:tabs>
          <w:tab w:leader="none" w:pos="2463" w:val="left"/>
        </w:tabs>
        <w:numPr>
          <w:ilvl w:val="1"/>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Transferor and the Transferee shall have provided to the Board and/or the Member entitled to consent to such Transfer any information, documents, agreements, certificates, or instruments as may be reasonably requested by the Board or the Member entitled to consent to such Transfer in order for the Board or the Member entitled to consent to such Transfer to determine whether such Transfer is in compliance with the terms and conditions of this Agreement. For the avoidance of doubt, such information, documents, agreements, certificates or instruments may be reasonably requested to the extent necessary to confirm (as determined in the Board’s and/or Member’s sole and reasonable discretion) the Transferor’s and/or Transferee’s compliance with the representations, warranties and covenants set forth in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and, to the extent the Transferor or Transferee is not permitted to provide (as determined in such Person’s sole and reasonable discretion) any such reasonably requested information, documents, agreements, certificates or instruments, the Transferor or Transferee (as applicable) shall provide to the Board or the Member a certification, in a form reasonably acceptable to the Board or the Member, certifying to its compliance with the requirements of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jc w:val="both"/>
        <w:ind w:firstLine="1304"/>
        <w:spacing w:after="0" w:line="241" w:lineRule="auto"/>
        <w:tabs>
          <w:tab w:leader="none" w:pos="1737"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this Agreement, without the prior approval of the Board and the non-Transferring Member, no Transfer will be made (directly or indirectly) that, in the reasonable discretion of the Board and/or such non-Transferring Member, would or would be reasonably likely to (i) violate or conflict with the Act or any applicable law, including any federal or state securities laws (or trigger any registration requirements thereunder), (ii) cause the Company to be treated as a “publicly traded partnership” within the meaning of section 7704(b) of the Code or section 1.7704-1 of the Regulations, (iii) cause the Company to lose its status as a partnership for federal income tax purposes, (iv) require the Company to withhold under section 1446(f)(4) of the Code, (v) violate the terms of any financing documents or any Basic Securitization Document, (vi) cause any Subsidiary that is classified as “real estate investment trust” within the meaning of Section 856 of the Code to lose its status as “real estate investment trust”), (vii) cause the Company or any Subsidiary to be regulated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413" w:right="339" w:bottom="1440" w:gutter="0" w:footer="0" w:header="0"/>
        </w:sectPr>
      </w:pPr>
    </w:p>
    <w:bookmarkStart w:id="432" w:name="page433"/>
    <w:bookmarkEnd w:id="432"/>
    <w:p>
      <w:pPr>
        <w:jc w:val="both"/>
        <w:spacing w:after="0" w:line="243" w:lineRule="auto"/>
        <w:rPr>
          <w:sz w:val="20"/>
          <w:szCs w:val="20"/>
          <w:color w:val="auto"/>
        </w:rPr>
      </w:pPr>
      <w:r>
        <w:rPr>
          <w:rFonts w:ascii="Times New Roman" w:cs="Times New Roman" w:eastAsia="Times New Roman" w:hAnsi="Times New Roman"/>
          <w:sz w:val="20"/>
          <w:szCs w:val="20"/>
          <w:color w:val="auto"/>
        </w:rPr>
        <w:t>Investment Company Act of 1940, the Investment Advisors Act of 1940, (viii) cause the Company or the non-Transferring Member to violate any AML Laws or Sanctions, including (but not limited to) by virtue of a Transfer made to any Prohibited Person, or (ix) allow the assets of the Company to be deemed to include “plan assets” under the U.S. Department of Labor regulation Section 2510.3-101, as modified by Section 3(42) of ERISA or (xi) result in a non-exempt “prohibited transaction” under Section 406 of ERISA, Section 4975 of the Code or any Similar Law.</w:t>
      </w:r>
    </w:p>
    <w:p>
      <w:pPr>
        <w:spacing w:after="0" w:line="159" w:lineRule="exact"/>
        <w:rPr>
          <w:sz w:val="20"/>
          <w:szCs w:val="20"/>
          <w:color w:val="auto"/>
        </w:rPr>
      </w:pPr>
    </w:p>
    <w:p>
      <w:pPr>
        <w:jc w:val="both"/>
        <w:ind w:firstLine="1304"/>
        <w:spacing w:after="0" w:line="241" w:lineRule="auto"/>
        <w:tabs>
          <w:tab w:leader="none" w:pos="178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attempt to effect any Transfer prohibited or not expressly permitted under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xml:space="preserve"> shall be void and, in addition to other rights and remedies at law and in equity, the other Member or Members shall be entitled to injunctive relief enjoining the prohibited action. The Members expressly acknowledge that damages at law would be an inadequate remedy for a breach or threatened breach of the provisions concerning Transfer set forth in this Agreement. The giving of consent or approval by the Members required under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xml:space="preserve"> in any one or more instances shall not limit or waive the need for such consent or approval in any other or subsequent instances. Notwithstanding anything in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xml:space="preserve"> or this Agreement to the contrary, without the prior approval of the other Members, no Member shall have the right to effect any Transfer of its Membership Interest if such Transfer would cause the Company to terminate under applicable law.</w:t>
      </w:r>
    </w:p>
    <w:p>
      <w:pPr>
        <w:spacing w:after="0" w:line="14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12.3</w:t>
      </w:r>
      <w:r>
        <w:rPr>
          <w:sz w:val="20"/>
          <w:szCs w:val="20"/>
          <w:color w:val="auto"/>
        </w:rPr>
        <w:tab/>
      </w:r>
      <w:r>
        <w:rPr>
          <w:rFonts w:ascii="Times New Roman" w:cs="Times New Roman" w:eastAsia="Times New Roman" w:hAnsi="Times New Roman"/>
          <w:sz w:val="19"/>
          <w:szCs w:val="19"/>
          <w:b w:val="1"/>
          <w:bCs w:val="1"/>
          <w:color w:val="auto"/>
        </w:rPr>
        <w:t>Substitute Members.</w:t>
      </w:r>
    </w:p>
    <w:p>
      <w:pPr>
        <w:spacing w:after="0" w:line="179" w:lineRule="exact"/>
        <w:rPr>
          <w:sz w:val="20"/>
          <w:szCs w:val="20"/>
          <w:color w:val="auto"/>
        </w:rPr>
      </w:pPr>
    </w:p>
    <w:p>
      <w:pPr>
        <w:jc w:val="both"/>
        <w:ind w:firstLine="1304"/>
        <w:spacing w:after="0" w:line="239" w:lineRule="auto"/>
        <w:tabs>
          <w:tab w:leader="none" w:pos="1824"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Transferee of all or any part of a Membership Interest of a Member in the Company shall be admitted to the Company as a substitute member (a “</w:t>
      </w:r>
      <w:r>
        <w:rPr>
          <w:rFonts w:ascii="Times New Roman" w:cs="Times New Roman" w:eastAsia="Times New Roman" w:hAnsi="Times New Roman"/>
          <w:sz w:val="20"/>
          <w:szCs w:val="20"/>
          <w:b w:val="1"/>
          <w:bCs w:val="1"/>
          <w:color w:val="auto"/>
        </w:rPr>
        <w:t>Substitute Member</w:t>
      </w:r>
      <w:r>
        <w:rPr>
          <w:rFonts w:ascii="Times New Roman" w:cs="Times New Roman" w:eastAsia="Times New Roman" w:hAnsi="Times New Roman"/>
          <w:sz w:val="20"/>
          <w:szCs w:val="20"/>
          <w:color w:val="auto"/>
        </w:rPr>
        <w:t xml:space="preserve">”) unless and until (i) the Transferee has executed a counterpart of this Agreement (as modified or amended from time to time) and such other instruments as the Board may reasonably deem necessary or appropriate to confirm the undertaking of the Transferee to be bound by all the terms and provisions of this Agreement, (ii) all expenses incurred by the Company in connection with such assignment and substitution to the extent not paid by the Transferor, and (iii) the Board approves the admission of such Transferee as a member of the Company if required under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 Unless and until a Transferee of a Membership Interest becomes a Substitute Member, such Transferee shall not be entitled to exercise any vote, consent or any other right or entitlement with respect to such Membership Interest. A Person shall be deemed admitted to the Company as a Substitute Member at the time that the foregoing provisions are satisfied. No substitution shall be recognized by the Company unless effected in accordance with and as permitted by this Agreement. Membership Interests held by a direct or indirect transferee of a Member that is not admitted to the Company as a Member with respect to such Membership Interests shall be deemed to be owned by the transferor (to the extent that the transferor is a Member as of such time).</w:t>
      </w:r>
    </w:p>
    <w:p>
      <w:pPr>
        <w:spacing w:after="0" w:line="167" w:lineRule="exact"/>
        <w:rPr>
          <w:rFonts w:ascii="Times New Roman" w:cs="Times New Roman" w:eastAsia="Times New Roman" w:hAnsi="Times New Roman"/>
          <w:sz w:val="20"/>
          <w:szCs w:val="20"/>
          <w:color w:val="auto"/>
        </w:rPr>
      </w:pPr>
    </w:p>
    <w:p>
      <w:pPr>
        <w:jc w:val="both"/>
        <w:ind w:firstLine="1304"/>
        <w:spacing w:after="0" w:line="247" w:lineRule="auto"/>
        <w:tabs>
          <w:tab w:leader="none" w:pos="1755"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the admission of a Transferee as a Substitute Member, all references herein to the transferring Member shall be deemed to apply to such Substitute Member, and such Substitute Member shall succeed to all rights and be subject to all obligations of the transferring Member hereunder with respect to the transferred Membership Interest.</w:t>
      </w:r>
    </w:p>
    <w:p>
      <w:pPr>
        <w:spacing w:after="0" w:line="15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12.4</w:t>
      </w:r>
      <w:r>
        <w:rPr>
          <w:sz w:val="20"/>
          <w:szCs w:val="20"/>
          <w:color w:val="auto"/>
        </w:rPr>
        <w:tab/>
      </w:r>
      <w:r>
        <w:rPr>
          <w:rFonts w:ascii="Times New Roman" w:cs="Times New Roman" w:eastAsia="Times New Roman" w:hAnsi="Times New Roman"/>
          <w:sz w:val="19"/>
          <w:szCs w:val="19"/>
          <w:b w:val="1"/>
          <w:bCs w:val="1"/>
          <w:color w:val="auto"/>
        </w:rPr>
        <w:t>Register.</w:t>
      </w:r>
    </w:p>
    <w:p>
      <w:pPr>
        <w:spacing w:after="0" w:line="179" w:lineRule="exact"/>
        <w:rPr>
          <w:sz w:val="20"/>
          <w:szCs w:val="20"/>
          <w:color w:val="auto"/>
        </w:rPr>
      </w:pPr>
    </w:p>
    <w:p>
      <w:pPr>
        <w:jc w:val="both"/>
        <w:ind w:firstLine="1304"/>
        <w:spacing w:after="0" w:line="242" w:lineRule="auto"/>
        <w:tabs>
          <w:tab w:leader="none" w:pos="1766"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Administrative Member shall cause the Company to maintain a record in its books for the purpose of registering the ownership and transfer of Membership Interests (the “</w:t>
      </w:r>
      <w:r>
        <w:rPr>
          <w:rFonts w:ascii="Times New Roman" w:cs="Times New Roman" w:eastAsia="Times New Roman" w:hAnsi="Times New Roman"/>
          <w:sz w:val="20"/>
          <w:szCs w:val="20"/>
          <w:b w:val="1"/>
          <w:bCs w:val="1"/>
          <w:color w:val="auto"/>
        </w:rPr>
        <w:t>Register</w:t>
      </w:r>
      <w:r>
        <w:rPr>
          <w:rFonts w:ascii="Times New Roman" w:cs="Times New Roman" w:eastAsia="Times New Roman" w:hAnsi="Times New Roman"/>
          <w:sz w:val="20"/>
          <w:szCs w:val="20"/>
          <w:color w:val="auto"/>
        </w:rPr>
        <w:t xml:space="preserve">”). The Membership Interest of each Member in the Company as of the date hereof is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this Agreement, and will be recorded in the Register. Members may make Capital Contributions to the Company from time to time as agreed to by the Board, and the Register shall be updated to reflect such activity. Upon any direct transfer of Membership Interests in the Company, Administrative Member shall cause the Company to register such transfer in the Register, to the extent, with respect to any transfer by a Member that is not Figure, Administrative Member is provided written notice thereof by the Transferring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413" w:right="339" w:bottom="1440" w:gutter="0" w:footer="0" w:header="0"/>
        </w:sectPr>
      </w:pPr>
    </w:p>
    <w:bookmarkStart w:id="433" w:name="page434"/>
    <w:bookmarkEnd w:id="433"/>
    <w:p>
      <w:pPr>
        <w:jc w:val="both"/>
        <w:spacing w:after="0" w:line="253" w:lineRule="auto"/>
        <w:rPr>
          <w:sz w:val="20"/>
          <w:szCs w:val="20"/>
          <w:color w:val="auto"/>
        </w:rPr>
      </w:pPr>
      <w:r>
        <w:rPr>
          <w:rFonts w:ascii="Times New Roman" w:cs="Times New Roman" w:eastAsia="Times New Roman" w:hAnsi="Times New Roman"/>
          <w:sz w:val="20"/>
          <w:szCs w:val="20"/>
          <w:color w:val="auto"/>
        </w:rPr>
        <w:t>The Register shall include the names and addresses of the Members that are the holders of the Membership Interests. The entries in the Register shall be conclusive absent manifest error, and no transfer or assignment of a Membership Interest is effected unless such the transferee or assignee is reflected as the new holder of the transferred or assigned Membership Interest. Similarly, no new Member shall be respected as an owner of a Membership Interest unless such Member is reflected in the Register. Notwithstanding anything to the contrary in this Agreement, Administrative Member shall not be deemed to be in breach of an obligation to maintain and update the Register unless and until it has been notified in writing by a Member of any such non-compliance and it fails to cure such non-compliance with thirty (30) days of the receipt of such notice.</w:t>
      </w:r>
    </w:p>
    <w:p>
      <w:pPr>
        <w:spacing w:after="0" w:line="139" w:lineRule="exact"/>
        <w:rPr>
          <w:sz w:val="20"/>
          <w:szCs w:val="20"/>
          <w:color w:val="auto"/>
        </w:rPr>
      </w:pPr>
    </w:p>
    <w:p>
      <w:pPr>
        <w:jc w:val="both"/>
        <w:ind w:firstLine="1304"/>
        <w:spacing w:after="0" w:line="257" w:lineRule="auto"/>
        <w:tabs>
          <w:tab w:leader="none" w:pos="1749"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be entitled to recognize the exclusive right of a person registered in the Register as the owner of a Membership Interest to receive distributions and to vote as such owner, and to hold liable for Capital Calls a person registered on its books as the owner of a Membership Interest, and shall not be bound to recognize any equitable or other claim to or interest in such Membership Interest on the part of any other person, regardless of whether it shall have received actual or other notice thereof, except as otherwise provided by applicable law.</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DISSOLUTION, LIQUIDATION AND WINDING UP</w:t>
      </w:r>
    </w:p>
    <w:p>
      <w:pPr>
        <w:spacing w:after="0" w:line="16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13.1</w:t>
      </w:r>
      <w:r>
        <w:rPr>
          <w:sz w:val="20"/>
          <w:szCs w:val="20"/>
          <w:color w:val="auto"/>
        </w:rPr>
        <w:tab/>
      </w:r>
      <w:r>
        <w:rPr>
          <w:rFonts w:ascii="Times New Roman" w:cs="Times New Roman" w:eastAsia="Times New Roman" w:hAnsi="Times New Roman"/>
          <w:sz w:val="19"/>
          <w:szCs w:val="19"/>
          <w:b w:val="1"/>
          <w:bCs w:val="1"/>
          <w:color w:val="auto"/>
        </w:rPr>
        <w:t>Dissolution and Liquidation.</w:t>
      </w:r>
    </w:p>
    <w:p>
      <w:pPr>
        <w:spacing w:after="0" w:line="193"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The Company shall be dissolved without further action by the Members and its affairs wound up upon the first to occur of any of the following events:</w:t>
      </w:r>
    </w:p>
    <w:p>
      <w:pPr>
        <w:spacing w:after="0" w:line="119" w:lineRule="exact"/>
        <w:rPr>
          <w:sz w:val="20"/>
          <w:szCs w:val="20"/>
          <w:color w:val="auto"/>
        </w:rPr>
      </w:pPr>
    </w:p>
    <w:p>
      <w:pPr>
        <w:jc w:val="both"/>
        <w:ind w:firstLine="1304"/>
        <w:spacing w:after="0" w:line="261" w:lineRule="auto"/>
        <w:tabs>
          <w:tab w:leader="none" w:pos="1749"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compliance with applicable laws and regulations, upon written agreement by the Members, if following the Run-Off Commencement Date or a Bad Act Termination Event Asset Sale, the Company holds Assets with a value in the aggregate of less than $5,000,000 (as reasonably determined by the Board);</w:t>
      </w:r>
    </w:p>
    <w:p>
      <w:pPr>
        <w:spacing w:after="0" w:line="140"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unanimous written agreement by the Members; or</w:t>
      </w:r>
    </w:p>
    <w:p>
      <w:pPr>
        <w:spacing w:after="0" w:line="188" w:lineRule="exact"/>
        <w:rPr>
          <w:rFonts w:ascii="Times New Roman" w:cs="Times New Roman" w:eastAsia="Times New Roman" w:hAnsi="Times New Roman"/>
          <w:sz w:val="20"/>
          <w:szCs w:val="20"/>
          <w:color w:val="auto"/>
        </w:rPr>
      </w:pPr>
    </w:p>
    <w:p>
      <w:pPr>
        <w:ind w:firstLine="1304"/>
        <w:spacing w:after="0" w:line="269" w:lineRule="auto"/>
        <w:tabs>
          <w:tab w:leader="none" w:pos="1791"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following the six (6) month anniversary of the Effective Date, upon delivery of written notice by either Member to the other Member and the Company, if the Side Letter and/or if the Supplemental Side Letter have not been fully executed.</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notwithstanding the foregoing, no Member shall be permitted to cause the dissolution of the Company if such dissolution would cause the Company or any Member to fail to comply with the risk retention rules with respect to securitizations undertaken by the Company and/or any Subsidiary.</w:t>
      </w:r>
    </w:p>
    <w:p>
      <w:pPr>
        <w:spacing w:after="0" w:line="14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Without limitation on, but subject to, the other provisions hereof, the assignment of all or any part of a Member’s Membership Interest permitted hereunder will not result in the dissolution of the Company. Except as otherwise specifically provided in this Agreement, each Member agrees that, without the consent of all of the other Members, no Member may withdraw from or cause a voluntary dissolution of the Company. If any Member withdraws from or causes a voluntary dissolution of the Company in contravention of this Agreement, such withdrawal or the causing of a voluntary dissolution shall not affect such Member’s liability for obligations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413" w:right="339" w:bottom="1440" w:gutter="0" w:footer="0" w:header="0"/>
        </w:sectPr>
      </w:pPr>
    </w:p>
    <w:bookmarkStart w:id="434" w:name="page435"/>
    <w:bookmarkEnd w:id="434"/>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13.2</w:t>
      </w:r>
      <w:r>
        <w:rPr>
          <w:sz w:val="20"/>
          <w:szCs w:val="20"/>
          <w:color w:val="auto"/>
        </w:rPr>
        <w:tab/>
      </w:r>
      <w:r>
        <w:rPr>
          <w:rFonts w:ascii="Times New Roman" w:cs="Times New Roman" w:eastAsia="Times New Roman" w:hAnsi="Times New Roman"/>
          <w:sz w:val="19"/>
          <w:szCs w:val="19"/>
          <w:b w:val="1"/>
          <w:bCs w:val="1"/>
          <w:color w:val="auto"/>
        </w:rPr>
        <w:t>Effect of Dissolution; Certain Procedures of Dissolution.</w:t>
      </w:r>
    </w:p>
    <w:p>
      <w:pPr>
        <w:spacing w:after="0" w:line="19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Upon dissolution, the Company shall not be terminated and shall continue until the winding up of its affairs is completed and a certificate of cancellation has been accepted for filing by the Secretary of State of the State of Delaware.</w:t>
      </w:r>
    </w:p>
    <w:p>
      <w:pPr>
        <w:spacing w:after="0" w:line="10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13.3</w:t>
      </w:r>
      <w:r>
        <w:rPr>
          <w:sz w:val="20"/>
          <w:szCs w:val="20"/>
          <w:color w:val="auto"/>
        </w:rPr>
        <w:tab/>
      </w:r>
      <w:r>
        <w:rPr>
          <w:rFonts w:ascii="Times New Roman" w:cs="Times New Roman" w:eastAsia="Times New Roman" w:hAnsi="Times New Roman"/>
          <w:sz w:val="19"/>
          <w:szCs w:val="19"/>
          <w:b w:val="1"/>
          <w:bCs w:val="1"/>
          <w:color w:val="auto"/>
        </w:rPr>
        <w:t>Distribution of Assets on Dissolution.</w:t>
      </w:r>
    </w:p>
    <w:p>
      <w:pPr>
        <w:spacing w:after="0" w:line="19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Upon the winding up of the Company, the Board shall take full account of the assets and liabilities of the Company, may sell or otherwise dispose of any assets of the Company as it shall deem necessary or appropriate in the Board’s sole discretion and shall pay the debts and liabilities and distribute the net assets as follows:</w:t>
      </w:r>
    </w:p>
    <w:p>
      <w:pPr>
        <w:spacing w:after="0" w:line="117" w:lineRule="exact"/>
        <w:rPr>
          <w:sz w:val="20"/>
          <w:szCs w:val="20"/>
          <w:color w:val="auto"/>
        </w:rPr>
      </w:pPr>
    </w:p>
    <w:p>
      <w:pPr>
        <w:ind w:right="20" w:firstLine="1304"/>
        <w:spacing w:after="0" w:line="287" w:lineRule="auto"/>
        <w:tabs>
          <w:tab w:leader="none" w:pos="1713"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to the payment of the debts and liabilities of the Company to creditors in satisfaction of such debts and liabilities,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to the payment of necessary expenses of liquidation;</w:t>
      </w:r>
    </w:p>
    <w:p>
      <w:pPr>
        <w:spacing w:after="0" w:line="111" w:lineRule="exact"/>
        <w:rPr>
          <w:rFonts w:ascii="Times New Roman" w:cs="Times New Roman" w:eastAsia="Times New Roman" w:hAnsi="Times New Roman"/>
          <w:sz w:val="20"/>
          <w:szCs w:val="20"/>
          <w:color w:val="auto"/>
        </w:rPr>
      </w:pPr>
    </w:p>
    <w:p>
      <w:pPr>
        <w:jc w:val="both"/>
        <w:ind w:firstLine="1304"/>
        <w:spacing w:after="0" w:line="254" w:lineRule="auto"/>
        <w:tabs>
          <w:tab w:leader="none" w:pos="1778"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to the setting up of any reserves which the Members may deem necessary or appropriate for any anticipated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obligations or contingencies of the Company arising out of or in connection with the operation or business of the Company, including, without limitation, reserves to fund potential securitization-related liabilities of the Company and the Subsidiaries following the Run-Off Commencement Date. Such reserves may be paid over by the Board to an escrow agent or trustee selected by the Board to be disbursed by such escrow agent or trustee in payment of any of the aforementioned obligations or contingencies and, if any balance remains at the expiration of such period as the Board shall deem advisable, shall be distributed by such escrow agent or trustee in the manner hereinafter provided; and</w:t>
      </w:r>
    </w:p>
    <w:p>
      <w:pPr>
        <w:spacing w:after="0" w:line="132" w:lineRule="exact"/>
        <w:rPr>
          <w:rFonts w:ascii="Times New Roman" w:cs="Times New Roman" w:eastAsia="Times New Roman" w:hAnsi="Times New Roman"/>
          <w:sz w:val="20"/>
          <w:szCs w:val="20"/>
          <w:color w:val="auto"/>
        </w:rPr>
      </w:pPr>
    </w:p>
    <w:p>
      <w:pPr>
        <w:ind w:firstLine="1304"/>
        <w:spacing w:after="0" w:line="287" w:lineRule="auto"/>
        <w:tabs>
          <w:tab w:leader="none" w:pos="174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Then</w:t>
      </w:r>
      <w:r>
        <w:rPr>
          <w:rFonts w:ascii="Times New Roman" w:cs="Times New Roman" w:eastAsia="Times New Roman" w:hAnsi="Times New Roman"/>
          <w:sz w:val="20"/>
          <w:szCs w:val="20"/>
          <w:color w:val="auto"/>
        </w:rPr>
        <w:t>, to the Members in accordance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10.6(a)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 if such assets or cash were Net Cash Flow in accordance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therewith). Such Distributions may be in kind only with the consent of the Members.</w:t>
      </w:r>
    </w:p>
    <w:p>
      <w:pPr>
        <w:spacing w:after="0" w:line="11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13.4</w:t>
      </w:r>
      <w:r>
        <w:rPr>
          <w:sz w:val="20"/>
          <w:szCs w:val="20"/>
          <w:color w:val="auto"/>
        </w:rPr>
        <w:tab/>
      </w:r>
      <w:r>
        <w:rPr>
          <w:rFonts w:ascii="Times New Roman" w:cs="Times New Roman" w:eastAsia="Times New Roman" w:hAnsi="Times New Roman"/>
          <w:sz w:val="19"/>
          <w:szCs w:val="19"/>
          <w:b w:val="1"/>
          <w:bCs w:val="1"/>
          <w:color w:val="auto"/>
        </w:rPr>
        <w:t>Winding Up and Certificate of Cancellation.</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The winding up of the Company shall be completed when all debts, liabilities and obligations of the Company have been paid and discharged or reasonably adequate provision therefore has been made, and all of the remaining assets of the Company have been distributed to the Members in accordance with </w:t>
      </w:r>
      <w:r>
        <w:rPr>
          <w:rFonts w:ascii="Times New Roman" w:cs="Times New Roman" w:eastAsia="Times New Roman" w:hAnsi="Times New Roman"/>
          <w:sz w:val="20"/>
          <w:szCs w:val="20"/>
          <w:u w:val="single" w:color="auto"/>
          <w:color w:val="auto"/>
        </w:rPr>
        <w:t>Section 13.3</w:t>
      </w:r>
      <w:r>
        <w:rPr>
          <w:rFonts w:ascii="Times New Roman" w:cs="Times New Roman" w:eastAsia="Times New Roman" w:hAnsi="Times New Roman"/>
          <w:sz w:val="20"/>
          <w:szCs w:val="20"/>
          <w:color w:val="auto"/>
        </w:rPr>
        <w:t>. Following the dissolution and completion of the winding up of the Company, a certificate of cancellation shall be filed with the Secretary of State of the State of Delaware. The certificate of cancellation shall set forth the information required by the Act.</w:t>
      </w:r>
    </w:p>
    <w:p>
      <w:pPr>
        <w:spacing w:after="0" w:line="14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13.5</w:t>
      </w:r>
      <w:r>
        <w:rPr>
          <w:sz w:val="20"/>
          <w:szCs w:val="20"/>
          <w:color w:val="auto"/>
        </w:rPr>
        <w:tab/>
      </w:r>
      <w:r>
        <w:rPr>
          <w:rFonts w:ascii="Times New Roman" w:cs="Times New Roman" w:eastAsia="Times New Roman" w:hAnsi="Times New Roman"/>
          <w:sz w:val="19"/>
          <w:szCs w:val="19"/>
          <w:b w:val="1"/>
          <w:bCs w:val="1"/>
          <w:color w:val="auto"/>
        </w:rPr>
        <w:t>Claims of Members.</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Members and former Members shall look solely to the Company’s assets for the return of their Capital Contributions, and if the assets of the Company remaining after payment of or due provision for all debts, liabilities and obligations of the Company are insufficient to return such Capital Contributions, the Members and former Members shall have no recourse against the Company or any other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409" w:right="339" w:bottom="1440" w:gutter="0" w:footer="0" w:header="0"/>
        </w:sectPr>
      </w:pPr>
    </w:p>
    <w:bookmarkStart w:id="435" w:name="page436"/>
    <w:bookmarkEnd w:id="435"/>
    <w:p>
      <w:pPr>
        <w:jc w:val="center"/>
        <w:spacing w:after="0"/>
        <w:rPr>
          <w:sz w:val="20"/>
          <w:szCs w:val="20"/>
          <w:color w:val="auto"/>
        </w:rPr>
      </w:pPr>
      <w:r>
        <w:rPr>
          <w:rFonts w:ascii="Times New Roman" w:cs="Times New Roman" w:eastAsia="Times New Roman" w:hAnsi="Times New Roman"/>
          <w:sz w:val="20"/>
          <w:szCs w:val="20"/>
          <w:b w:val="1"/>
          <w:bCs w:val="1"/>
          <w:color w:val="auto"/>
        </w:rPr>
        <w:t>ARTICLE XIV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6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14.1</w:t>
      </w:r>
      <w:r>
        <w:rPr>
          <w:sz w:val="20"/>
          <w:szCs w:val="20"/>
          <w:color w:val="auto"/>
        </w:rPr>
        <w:tab/>
      </w:r>
      <w:r>
        <w:rPr>
          <w:rFonts w:ascii="Times New Roman" w:cs="Times New Roman" w:eastAsia="Times New Roman" w:hAnsi="Times New Roman"/>
          <w:sz w:val="19"/>
          <w:szCs w:val="19"/>
          <w:b w:val="1"/>
          <w:bCs w:val="1"/>
          <w:color w:val="auto"/>
        </w:rPr>
        <w:t>Notices.</w:t>
      </w:r>
    </w:p>
    <w:p>
      <w:pPr>
        <w:spacing w:after="0" w:line="17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 xml:space="preserve">Notices to the Company or the Board shall be sent to each of the Managers at the address of the Member that appointed such Manager set forth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or such other address or electronic mail address as such Manager may designate by giving notice to the Members and the other Managers in accordance with this </w:t>
      </w:r>
      <w:r>
        <w:rPr>
          <w:rFonts w:ascii="Times New Roman" w:cs="Times New Roman" w:eastAsia="Times New Roman" w:hAnsi="Times New Roman"/>
          <w:sz w:val="19"/>
          <w:szCs w:val="19"/>
          <w:u w:val="single" w:color="auto"/>
          <w:color w:val="auto"/>
        </w:rPr>
        <w:t>Section 14.1</w:t>
      </w:r>
      <w:r>
        <w:rPr>
          <w:rFonts w:ascii="Times New Roman" w:cs="Times New Roman" w:eastAsia="Times New Roman" w:hAnsi="Times New Roman"/>
          <w:sz w:val="19"/>
          <w:szCs w:val="19"/>
          <w:color w:val="auto"/>
        </w:rPr>
        <w:t xml:space="preserve">. Notices to a Member shall be sent to its address or electronic mail address set forth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or such other address or electronic mail address as such Member may designate by giving notice to the Company, the Board, and the other Members in accordance with this </w:t>
      </w:r>
      <w:r>
        <w:rPr>
          <w:rFonts w:ascii="Times New Roman" w:cs="Times New Roman" w:eastAsia="Times New Roman" w:hAnsi="Times New Roman"/>
          <w:sz w:val="19"/>
          <w:szCs w:val="19"/>
          <w:u w:val="single" w:color="auto"/>
          <w:color w:val="auto"/>
        </w:rPr>
        <w:t>Section 14.1</w:t>
      </w:r>
      <w:r>
        <w:rPr>
          <w:rFonts w:ascii="Times New Roman" w:cs="Times New Roman" w:eastAsia="Times New Roman" w:hAnsi="Times New Roman"/>
          <w:sz w:val="19"/>
          <w:szCs w:val="19"/>
          <w:color w:val="auto"/>
        </w:rPr>
        <w:t xml:space="preserve">. Any notice or other communication required or permitted hereunder shall be in writing, and shall be deemed to have been duly given when (a) delivered by hand (with written confirmation of receipt) (with a copy by electronic mail), (b) sent by electronic mail with confirmation of receipt,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except with respect to any Capital Call Notice, Supplemental Capital Call Notice, requests for acknowledgement of, and confirmations of, Board meeting minutes pursuant to </w:t>
      </w:r>
      <w:r>
        <w:rPr>
          <w:rFonts w:ascii="Times New Roman" w:cs="Times New Roman" w:eastAsia="Times New Roman" w:hAnsi="Times New Roman"/>
          <w:sz w:val="19"/>
          <w:szCs w:val="19"/>
          <w:u w:val="single" w:color="auto"/>
          <w:color w:val="auto"/>
        </w:rPr>
        <w:t>Section 8.1(j)</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8.2(c)</w:t>
      </w:r>
      <w:r>
        <w:rPr>
          <w:rFonts w:ascii="Times New Roman" w:cs="Times New Roman" w:eastAsia="Times New Roman" w:hAnsi="Times New Roman"/>
          <w:sz w:val="19"/>
          <w:szCs w:val="19"/>
          <w:color w:val="auto"/>
        </w:rPr>
        <w:t xml:space="preserve">, a copy of such communication is also mailed by one of the other methods specified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notice delivered after business hours on a Business Day shall be deemed to have been delivered on the immediately following Business Day, or (c) when received by the addressee, if sent by a nationally recognized overnight delivery service (receipt requested) (with a copy by electronic mail), in each case to the appropriate addresses or electronic mail addresses in accordance with this </w:t>
      </w:r>
      <w:r>
        <w:rPr>
          <w:rFonts w:ascii="Times New Roman" w:cs="Times New Roman" w:eastAsia="Times New Roman" w:hAnsi="Times New Roman"/>
          <w:sz w:val="19"/>
          <w:szCs w:val="19"/>
          <w:u w:val="single" w:color="auto"/>
          <w:color w:val="auto"/>
        </w:rPr>
        <w:t>Section 14.1</w:t>
      </w:r>
      <w:r>
        <w:rPr>
          <w:rFonts w:ascii="Times New Roman" w:cs="Times New Roman" w:eastAsia="Times New Roman" w:hAnsi="Times New Roman"/>
          <w:sz w:val="19"/>
          <w:szCs w:val="19"/>
          <w:color w:val="auto"/>
        </w:rPr>
        <w:t>.</w:t>
      </w:r>
    </w:p>
    <w:p>
      <w:pPr>
        <w:spacing w:after="0" w:line="13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14.2</w:t>
      </w:r>
      <w:r>
        <w:rPr>
          <w:sz w:val="20"/>
          <w:szCs w:val="20"/>
          <w:color w:val="auto"/>
        </w:rPr>
        <w:tab/>
      </w:r>
      <w:r>
        <w:rPr>
          <w:rFonts w:ascii="Times New Roman" w:cs="Times New Roman" w:eastAsia="Times New Roman" w:hAnsi="Times New Roman"/>
          <w:sz w:val="19"/>
          <w:szCs w:val="19"/>
          <w:b w:val="1"/>
          <w:bCs w:val="1"/>
          <w:color w:val="auto"/>
        </w:rPr>
        <w:t>Headings.</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All Article and Section headings in this Agreement are for convenience of reference only and are not intended to qualify the meaning of any Article or Section.</w:t>
      </w:r>
    </w:p>
    <w:p>
      <w:pPr>
        <w:spacing w:after="0" w:line="12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14.3</w:t>
      </w:r>
      <w:r>
        <w:rPr>
          <w:sz w:val="20"/>
          <w:szCs w:val="20"/>
          <w:color w:val="auto"/>
        </w:rPr>
        <w:tab/>
      </w:r>
      <w:r>
        <w:rPr>
          <w:rFonts w:ascii="Times New Roman" w:cs="Times New Roman" w:eastAsia="Times New Roman" w:hAnsi="Times New Roman"/>
          <w:sz w:val="19"/>
          <w:szCs w:val="19"/>
          <w:b w:val="1"/>
          <w:bCs w:val="1"/>
          <w:color w:val="auto"/>
        </w:rPr>
        <w:t>Entire Agreement.</w:t>
      </w:r>
    </w:p>
    <w:p>
      <w:pPr>
        <w:spacing w:after="0" w:line="19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This Agreement and the Basic Documents constitutes the entire agreement among the parties hereto with respect to the matters set forth herein and supersedes any prior agreement or understanding among them respecting the subject matter of this Agreement.</w:t>
      </w:r>
    </w:p>
    <w:p>
      <w:pPr>
        <w:spacing w:after="0" w:line="11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14.4</w:t>
      </w:r>
      <w:r>
        <w:rPr>
          <w:sz w:val="20"/>
          <w:szCs w:val="20"/>
          <w:color w:val="auto"/>
        </w:rPr>
        <w:tab/>
      </w:r>
      <w:r>
        <w:rPr>
          <w:rFonts w:ascii="Times New Roman" w:cs="Times New Roman" w:eastAsia="Times New Roman" w:hAnsi="Times New Roman"/>
          <w:sz w:val="19"/>
          <w:szCs w:val="19"/>
          <w:b w:val="1"/>
          <w:bCs w:val="1"/>
          <w:color w:val="auto"/>
        </w:rPr>
        <w:t>Binding Agreement.</w:t>
      </w:r>
    </w:p>
    <w:p>
      <w:pPr>
        <w:spacing w:after="0" w:line="19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This Agreement shall be binding upon, and inure to the benefit of, the parties hereto, their successors, heirs, legatees, devisees, assigns, legal representatives, executors and administrators, except as otherwise provided herein.</w:t>
      </w:r>
    </w:p>
    <w:p>
      <w:pPr>
        <w:spacing w:after="0" w:line="12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14.5</w:t>
      </w:r>
      <w:r>
        <w:rPr>
          <w:sz w:val="20"/>
          <w:szCs w:val="20"/>
          <w:color w:val="auto"/>
        </w:rPr>
        <w:tab/>
      </w:r>
      <w:r>
        <w:rPr>
          <w:rFonts w:ascii="Times New Roman" w:cs="Times New Roman" w:eastAsia="Times New Roman" w:hAnsi="Times New Roman"/>
          <w:sz w:val="19"/>
          <w:szCs w:val="19"/>
          <w:b w:val="1"/>
          <w:bCs w:val="1"/>
          <w:color w:val="auto"/>
        </w:rPr>
        <w:t>Saving Clause.</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If any provision of this Agreement, or the application of such provision to any Person or circumstance, shall be held invalid, the remainder of this Agreement, or the application of such provision to Persons or circumstances other than those as to which it is held invalid, shall not be affected thereby. To the extent any provision of this Agreement is prohibited or ineffective under the Act, this Agreement shall be considered amended to the smallest degree possible in order to make this Agreement effective under the Act. In the event the Act is subsequently amended or interpreted in such a way to make any provision of this Agreement that was formerly invalid valid, such provision shall be considered to be valid from the effective date of such interpretation or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409" w:right="339" w:bottom="1440" w:gutter="0" w:footer="0" w:header="0"/>
        </w:sectPr>
      </w:pPr>
    </w:p>
    <w:bookmarkStart w:id="436" w:name="page437"/>
    <w:bookmarkEnd w:id="436"/>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14.6</w:t>
      </w:r>
      <w:r>
        <w:rPr>
          <w:sz w:val="20"/>
          <w:szCs w:val="20"/>
          <w:color w:val="auto"/>
        </w:rPr>
        <w:tab/>
      </w:r>
      <w:r>
        <w:rPr>
          <w:rFonts w:ascii="Times New Roman" w:cs="Times New Roman" w:eastAsia="Times New Roman" w:hAnsi="Times New Roman"/>
          <w:sz w:val="19"/>
          <w:szCs w:val="19"/>
          <w:b w:val="1"/>
          <w:bCs w:val="1"/>
          <w:color w:val="auto"/>
        </w:rPr>
        <w:t>Counterparts.</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This Agreement may be executed in several counterparts, including by pdf. electronic transmission, and all so executed shall constitute one agreement, binding on all the parties hereto, even though all parties are not signatories to the original or the same counterpart. Any counterpart of this Agreement shall for all purposes be deemed a fully executed instrument. Electronically transmitted signatures or digitally executed signatures (including, without limitation, DocuSign and other electronic means) shall serve as the equivalent of manually executed signatures for all purposes hereunder.</w:t>
      </w:r>
    </w:p>
    <w:p>
      <w:pPr>
        <w:spacing w:after="0" w:line="14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14.7</w:t>
      </w:r>
      <w:r>
        <w:rPr>
          <w:sz w:val="20"/>
          <w:szCs w:val="20"/>
          <w:color w:val="auto"/>
        </w:rPr>
        <w:tab/>
      </w:r>
      <w:r>
        <w:rPr>
          <w:rFonts w:ascii="Times New Roman" w:cs="Times New Roman" w:eastAsia="Times New Roman" w:hAnsi="Times New Roman"/>
          <w:sz w:val="19"/>
          <w:szCs w:val="19"/>
          <w:b w:val="1"/>
          <w:bCs w:val="1"/>
          <w:color w:val="auto"/>
        </w:rPr>
        <w:t>Governing Law; Submission to Jurisdiction; Waiver of Jury Trial.</w:t>
      </w:r>
    </w:p>
    <w:p>
      <w:pPr>
        <w:spacing w:after="0" w:line="193" w:lineRule="exact"/>
        <w:rPr>
          <w:sz w:val="20"/>
          <w:szCs w:val="20"/>
          <w:color w:val="auto"/>
        </w:rPr>
      </w:pPr>
    </w:p>
    <w:p>
      <w:pPr>
        <w:ind w:firstLine="1304"/>
        <w:spacing w:after="0" w:line="283" w:lineRule="auto"/>
        <w:tabs>
          <w:tab w:leader="none" w:pos="1803"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governed by and construed in accordance with the laws of the State of Delaware without regard to the principles of conflicts of laws.</w:t>
      </w:r>
    </w:p>
    <w:p>
      <w:pPr>
        <w:spacing w:after="0" w:line="119" w:lineRule="exact"/>
        <w:rPr>
          <w:rFonts w:ascii="Times New Roman" w:cs="Times New Roman" w:eastAsia="Times New Roman" w:hAnsi="Times New Roman"/>
          <w:sz w:val="20"/>
          <w:szCs w:val="20"/>
          <w:color w:val="auto"/>
        </w:rPr>
      </w:pPr>
    </w:p>
    <w:p>
      <w:pPr>
        <w:jc w:val="both"/>
        <w:ind w:firstLine="1304"/>
        <w:spacing w:after="0" w:line="250" w:lineRule="auto"/>
        <w:tabs>
          <w:tab w:leader="none" w:pos="1732"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hereby agree that any suit, action or proceeding seeking to enforce any provision of, or based on any matter arising out of or in connection with, this Agreement or the transactions contemplated hereby, whether in contract, tort or otherwise, shall be brought in the United States District Court for the District of Delaware or in the Court of Chancery of the State of Delaware (or, if such court lacks subject matter jurisdiction, in the Superior Court of the State of Delaware), so long as one of such courts shall have subject-matter jurisdiction over such suit, action or proceeding, and that any cause of action arising out of this Agreement shall be deemed to have arisen from a transaction of business in the State of Delaware.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form.</w:t>
      </w:r>
    </w:p>
    <w:p>
      <w:pPr>
        <w:spacing w:after="0" w:line="152" w:lineRule="exact"/>
        <w:rPr>
          <w:rFonts w:ascii="Times New Roman" w:cs="Times New Roman" w:eastAsia="Times New Roman" w:hAnsi="Times New Roman"/>
          <w:sz w:val="20"/>
          <w:szCs w:val="20"/>
          <w:color w:val="auto"/>
        </w:rPr>
      </w:pPr>
    </w:p>
    <w:p>
      <w:pPr>
        <w:jc w:val="both"/>
        <w:ind w:firstLine="1304"/>
        <w:spacing w:after="0" w:line="268" w:lineRule="auto"/>
        <w:tabs>
          <w:tab w:leader="none" w:pos="1716"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hereto hereby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hereby.</w:t>
      </w:r>
    </w:p>
    <w:p>
      <w:pPr>
        <w:spacing w:after="0" w:line="11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14.8</w:t>
      </w:r>
      <w:r>
        <w:rPr>
          <w:sz w:val="20"/>
          <w:szCs w:val="20"/>
          <w:color w:val="auto"/>
        </w:rPr>
        <w:tab/>
      </w:r>
      <w:r>
        <w:rPr>
          <w:rFonts w:ascii="Times New Roman" w:cs="Times New Roman" w:eastAsia="Times New Roman" w:hAnsi="Times New Roman"/>
          <w:sz w:val="19"/>
          <w:szCs w:val="19"/>
          <w:b w:val="1"/>
          <w:bCs w:val="1"/>
          <w:color w:val="auto"/>
        </w:rPr>
        <w:t>No Partnership Intended for Nontax Purposes.</w:t>
      </w:r>
    </w:p>
    <w:p>
      <w:pPr>
        <w:spacing w:after="0" w:line="19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The Members have formed the Company under the Act, and expressly do not intend hereby to form a partnership under either the Delaware Uniform Partnership Law or the Delaware Uniform Limited Partnership Law. The Members do not intend to be partners one to another or partners as to any third party.</w:t>
      </w:r>
    </w:p>
    <w:p>
      <w:pPr>
        <w:spacing w:after="0" w:line="11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14.9</w:t>
      </w:r>
      <w:r>
        <w:rPr>
          <w:sz w:val="20"/>
          <w:szCs w:val="20"/>
          <w:color w:val="auto"/>
        </w:rPr>
        <w:tab/>
      </w:r>
      <w:r>
        <w:rPr>
          <w:rFonts w:ascii="Times New Roman" w:cs="Times New Roman" w:eastAsia="Times New Roman" w:hAnsi="Times New Roman"/>
          <w:sz w:val="19"/>
          <w:szCs w:val="19"/>
          <w:b w:val="1"/>
          <w:bCs w:val="1"/>
          <w:color w:val="auto"/>
        </w:rPr>
        <w:t>No Rights of Creditors and Third Parties under Agreement.</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Agreement is entered into among the Company and the Members for the exclusive benefit of the Company, the Members and their permitted successors and assignees. This Agreement is expressly not intended for the benefit of any creditor of the Company or any other Person. Except and only to the extent provided by applicable statute, no such creditor or any third party shall have any rights under this Agreement or any agreement between the Company and any Member with respect to any Capital Contribution or otherwise.</w:t>
      </w:r>
    </w:p>
    <w:p>
      <w:pPr>
        <w:spacing w:after="0" w:line="1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14.10</w:t>
      </w:r>
      <w:r>
        <w:rPr>
          <w:sz w:val="20"/>
          <w:szCs w:val="20"/>
          <w:color w:val="auto"/>
        </w:rPr>
        <w:tab/>
      </w:r>
      <w:r>
        <w:rPr>
          <w:rFonts w:ascii="Times New Roman" w:cs="Times New Roman" w:eastAsia="Times New Roman" w:hAnsi="Times New Roman"/>
          <w:sz w:val="19"/>
          <w:szCs w:val="19"/>
          <w:b w:val="1"/>
          <w:bCs w:val="1"/>
          <w:color w:val="auto"/>
        </w:rPr>
        <w:t>Specific Performance and Prevailing Party Litigation; Injunctive Relief.</w:t>
      </w:r>
    </w:p>
    <w:p>
      <w:pPr>
        <w:spacing w:after="0" w:line="189" w:lineRule="exact"/>
        <w:rPr>
          <w:sz w:val="20"/>
          <w:szCs w:val="20"/>
          <w:color w:val="auto"/>
        </w:rPr>
      </w:pPr>
    </w:p>
    <w:p>
      <w:pPr>
        <w:ind w:firstLine="1304"/>
        <w:spacing w:after="0" w:line="287" w:lineRule="auto"/>
        <w:tabs>
          <w:tab w:leader="none" w:pos="1807"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Member fails to comply with any of the provisions of this Agreement (the “</w:t>
      </w:r>
      <w:r>
        <w:rPr>
          <w:rFonts w:ascii="Times New Roman" w:cs="Times New Roman" w:eastAsia="Times New Roman" w:hAnsi="Times New Roman"/>
          <w:sz w:val="20"/>
          <w:szCs w:val="20"/>
          <w:b w:val="1"/>
          <w:bCs w:val="1"/>
          <w:color w:val="auto"/>
        </w:rPr>
        <w:t>Breaching Member</w:t>
      </w:r>
      <w:r>
        <w:rPr>
          <w:rFonts w:ascii="Times New Roman" w:cs="Times New Roman" w:eastAsia="Times New Roman" w:hAnsi="Times New Roman"/>
          <w:sz w:val="20"/>
          <w:szCs w:val="20"/>
          <w:color w:val="auto"/>
        </w:rPr>
        <w:t>”), then, in addition to all of the other remedies available to the other Members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409" w:right="339" w:bottom="1440" w:gutter="0" w:footer="0" w:header="0"/>
        </w:sectPr>
      </w:pPr>
    </w:p>
    <w:bookmarkStart w:id="437" w:name="page438"/>
    <w:bookmarkEnd w:id="437"/>
    <w:p>
      <w:pPr>
        <w:jc w:val="both"/>
        <w:spacing w:after="0" w:line="236" w:lineRule="auto"/>
        <w:rPr>
          <w:sz w:val="20"/>
          <w:szCs w:val="20"/>
          <w:color w:val="auto"/>
        </w:rPr>
      </w:pPr>
      <w:r>
        <w:rPr>
          <w:rFonts w:ascii="Times New Roman" w:cs="Times New Roman" w:eastAsia="Times New Roman" w:hAnsi="Times New Roman"/>
          <w:sz w:val="20"/>
          <w:szCs w:val="20"/>
          <w:color w:val="auto"/>
        </w:rPr>
        <w:t xml:space="preserve">reason of the Breaching Member’s breach of this Agreement, the other Members shall have the right to obtain specific performance of the Breaching Member’s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Member shall have the right to obtain specific performance of any obligation of any Member to make a Capital Contribution. In the event of any litigation under this Agreement, then the prevailing party in such litigation shall be entitled to recover reasonable legal fees and disbursements from the other parties in such litigation.</w:t>
      </w:r>
    </w:p>
    <w:p>
      <w:pPr>
        <w:spacing w:after="0" w:line="148" w:lineRule="exact"/>
        <w:rPr>
          <w:sz w:val="20"/>
          <w:szCs w:val="20"/>
          <w:color w:val="auto"/>
        </w:rPr>
      </w:pPr>
    </w:p>
    <w:p>
      <w:pPr>
        <w:jc w:val="both"/>
        <w:ind w:firstLine="656"/>
        <w:spacing w:after="0" w:line="233" w:lineRule="auto"/>
        <w:tabs>
          <w:tab w:leader="none" w:pos="1109"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hereby acknowledges and agrees that money damages may not be a sufficient remedy for any breach or threatened (directly in writing) breach of this Agreement, and accordingly, each party, on behalf of itself and each of its Affiliates, consents to the other party seeking an order from a court of competent jurisdiction finding that any other party and/or the Company has been irreparably harmed as a result of any such breach of this Agreement, and each party, on behalf of itself and each of its Affiliates, further waives any requirement for the securing or posting of any bond in connection with any such remedy. Such remedies shall not be deemed to be the exclusive remedies for a breach or threatened (directly in writing) breach of this Agreement, but shall be in addition to all other remedies available to the party(ies) pursuant to this Agreement and/or at law and/or in equity.</w:t>
      </w:r>
    </w:p>
    <w:p>
      <w:pPr>
        <w:spacing w:after="0" w:line="134"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14.11</w:t>
      </w:r>
      <w:r>
        <w:rPr>
          <w:sz w:val="20"/>
          <w:szCs w:val="20"/>
          <w:color w:val="auto"/>
        </w:rPr>
        <w:tab/>
      </w:r>
      <w:r>
        <w:rPr>
          <w:rFonts w:ascii="Times New Roman" w:cs="Times New Roman" w:eastAsia="Times New Roman" w:hAnsi="Times New Roman"/>
          <w:sz w:val="19"/>
          <w:szCs w:val="19"/>
          <w:b w:val="1"/>
          <w:bCs w:val="1"/>
          <w:color w:val="auto"/>
        </w:rPr>
        <w:t>Single Representative.</w:t>
      </w:r>
    </w:p>
    <w:p>
      <w:pPr>
        <w:spacing w:after="0" w:line="166" w:lineRule="exact"/>
        <w:rPr>
          <w:sz w:val="20"/>
          <w:szCs w:val="20"/>
          <w:color w:val="auto"/>
        </w:rPr>
      </w:pPr>
    </w:p>
    <w:p>
      <w:pPr>
        <w:jc w:val="both"/>
        <w:ind w:firstLine="1304"/>
        <w:spacing w:after="0" w:line="229" w:lineRule="auto"/>
        <w:tabs>
          <w:tab w:leader="none" w:pos="1786"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set forth herein or otherwise, if at any time there is more than one Person comprising Investor, (i) each Investor shall be deemed to have designated (and each such Investor hereby designates) the Investor Member (or another single Sixth Street Person designated by the Investor Member (Investor Member or such designee, “</w:t>
      </w:r>
      <w:r>
        <w:rPr>
          <w:rFonts w:ascii="Times New Roman" w:cs="Times New Roman" w:eastAsia="Times New Roman" w:hAnsi="Times New Roman"/>
          <w:sz w:val="20"/>
          <w:szCs w:val="20"/>
          <w:b w:val="1"/>
          <w:bCs w:val="1"/>
          <w:color w:val="auto"/>
        </w:rPr>
        <w:t>Investor Representative</w:t>
      </w:r>
      <w:r>
        <w:rPr>
          <w:rFonts w:ascii="Times New Roman" w:cs="Times New Roman" w:eastAsia="Times New Roman" w:hAnsi="Times New Roman"/>
          <w:sz w:val="20"/>
          <w:szCs w:val="20"/>
          <w:color w:val="auto"/>
        </w:rPr>
        <w:t>”) as such Investor’s representative for all purposes under this Agreement, with exclusive right and authority to act on behalf of all Investors under and otherwise in connection with this Agreement, including, without limitation, in the exercise of rights and remedies and/or the giving or withholding of consent on behalf of all Investors, (ii) each Investor may only act through the Investor Representative and no individual Investor may take any action or omission in a manner that is inconsistent with the Investor Representative, (iii) in representing the Investors, the Investor Representative shall take a single unified position on behalf of all Investors, (iv) all other Members and the Company shall have the right to, and shall only be required to, deal solely with a single Investor Representative on behalf of all Investors (including providing notices to and seeking approvals from Investors), (v) the act or omission (including any election or rights or remedies) of the Investor Representative shall constitute the act or omission of all Investors, (vi) all other Members and the Company shall be entitled to rely upon the approval or agreement by the Investor Representative as constituting the approval and agreement of all Investors, (vii) if ever the Membership Interests of any Investor shall be subject to a buy-out right in favor or another Member pursuant to the terms of this Agreement, the Membership Interests of all Investors shall be deemed subject to a buy-out right (and the other Member shall only have the right to buy-out the Membership Interests of all, but not less than all, Investors), and (viii) if ever a Bad Act Termination Event is deemed to have occurred with respect to any Investor, a Bad Act Termination Event shall be deemed to have occurred with respect to all Investors.</w:t>
      </w:r>
    </w:p>
    <w:p>
      <w:pPr>
        <w:spacing w:after="0" w:line="161" w:lineRule="exact"/>
        <w:rPr>
          <w:rFonts w:ascii="Times New Roman" w:cs="Times New Roman" w:eastAsia="Times New Roman" w:hAnsi="Times New Roman"/>
          <w:sz w:val="20"/>
          <w:szCs w:val="20"/>
          <w:color w:val="auto"/>
        </w:rPr>
      </w:pPr>
    </w:p>
    <w:p>
      <w:pPr>
        <w:jc w:val="both"/>
        <w:ind w:firstLine="1304"/>
        <w:spacing w:after="0" w:line="232" w:lineRule="auto"/>
        <w:tabs>
          <w:tab w:leader="none" w:pos="1797"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set forth herein or otherwise, if at any time there is more than one Person comprising Figure, (i) each Figure shall be deemed to have designated (and each such Figure hereby designates) the Figure Member (or another single Figure Person designated by the Figure Member (Figure Member or such designee, “</w:t>
      </w:r>
      <w:r>
        <w:rPr>
          <w:rFonts w:ascii="Times New Roman" w:cs="Times New Roman" w:eastAsia="Times New Roman" w:hAnsi="Times New Roman"/>
          <w:sz w:val="20"/>
          <w:szCs w:val="20"/>
          <w:b w:val="1"/>
          <w:bCs w:val="1"/>
          <w:color w:val="auto"/>
        </w:rPr>
        <w:t>Figure Representative</w:t>
      </w:r>
      <w:r>
        <w:rPr>
          <w:rFonts w:ascii="Times New Roman" w:cs="Times New Roman" w:eastAsia="Times New Roman" w:hAnsi="Times New Roman"/>
          <w:sz w:val="20"/>
          <w:szCs w:val="20"/>
          <w:color w:val="auto"/>
        </w:rPr>
        <w:t>”) as such Figure’s representative for all purposes under this Agreement, with exclusive right and authority to act on behalf of all Figures under and otherwise in connection with this Agreement, including, without limitation, in the exercise of rights and remedies and/or the giving or withholding of consent on behalf of all Figures, (ii) each Figure may only act through the Figure Representative and no individual Figure may take any action or omission in a manner that is inconsistent with the Figure Representative, (iii) in representing the Figures, the Figure Representative shall take a single unified position on behalf of all Figures, (iv) all other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413" w:right="339" w:bottom="1440" w:gutter="0" w:footer="0" w:header="0"/>
        </w:sectPr>
      </w:pPr>
    </w:p>
    <w:bookmarkStart w:id="438" w:name="page439"/>
    <w:bookmarkEnd w:id="438"/>
    <w:p>
      <w:pPr>
        <w:jc w:val="both"/>
        <w:spacing w:after="0" w:line="251" w:lineRule="auto"/>
        <w:rPr>
          <w:sz w:val="20"/>
          <w:szCs w:val="20"/>
          <w:color w:val="auto"/>
        </w:rPr>
      </w:pPr>
      <w:r>
        <w:rPr>
          <w:rFonts w:ascii="Times New Roman" w:cs="Times New Roman" w:eastAsia="Times New Roman" w:hAnsi="Times New Roman"/>
          <w:sz w:val="20"/>
          <w:szCs w:val="20"/>
          <w:color w:val="auto"/>
        </w:rPr>
        <w:t>and the Company shall have the right to, and shall only be required to, deal solely with a single Figure Representative on behalf of all Figures (including providing notices to and seeking approvals from Figures), (v) the act or omission (including any election or rights or remedies) of the Figure Representative shall constitute the act or omission of all Figures, (vi) all other Members and the Company shall be entitled to rely upon the approval or agreement by the Figure Representative as constituting the approval and agreement of all Figures, (vii) if ever the Membership Interests of any Figure shall be subject to a buy-out right in favor or another Member pursuant to the terms of this Agreement, the Membership Interests of all Figures shall be deemed subject to a buy-out right (and the other Member shall only have the right to buy-out the Membership Interests of all, but not less than all, Figures), and (viii) if ever a Bad Act Termination Event is deemed to have occurred with respect to any Figure, a Bad Act Termination Event shall be deemed to have occurred with respect to all Figures.</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14.12</w:t>
      </w:r>
      <w:r>
        <w:rPr>
          <w:sz w:val="20"/>
          <w:szCs w:val="20"/>
          <w:color w:val="auto"/>
        </w:rPr>
        <w:tab/>
      </w:r>
      <w:r>
        <w:rPr>
          <w:rFonts w:ascii="Times New Roman" w:cs="Times New Roman" w:eastAsia="Times New Roman" w:hAnsi="Times New Roman"/>
          <w:sz w:val="19"/>
          <w:szCs w:val="19"/>
          <w:b w:val="1"/>
          <w:bCs w:val="1"/>
          <w:color w:val="auto"/>
        </w:rPr>
        <w:t>General Interpretive Principles.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purposes of this Agreement, except as otherwise expressly provided or unless the context otherwise requires:</w:t>
      </w:r>
    </w:p>
    <w:p>
      <w:pPr>
        <w:spacing w:after="0" w:line="189" w:lineRule="exact"/>
        <w:rPr>
          <w:sz w:val="20"/>
          <w:szCs w:val="20"/>
          <w:color w:val="auto"/>
        </w:rPr>
      </w:pPr>
    </w:p>
    <w:p>
      <w:pPr>
        <w:ind w:left="1720" w:hanging="416"/>
        <w:spacing w:after="0"/>
        <w:tabs>
          <w:tab w:leader="none" w:pos="1720"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defined in this Agreement include the plural as well as the singular;</w:t>
      </w:r>
    </w:p>
    <w:p>
      <w:pPr>
        <w:spacing w:after="0" w:line="188" w:lineRule="exact"/>
        <w:rPr>
          <w:rFonts w:ascii="Times New Roman" w:cs="Times New Roman" w:eastAsia="Times New Roman" w:hAnsi="Times New Roman"/>
          <w:sz w:val="20"/>
          <w:szCs w:val="20"/>
          <w:color w:val="auto"/>
        </w:rPr>
      </w:pPr>
    </w:p>
    <w:p>
      <w:pPr>
        <w:ind w:firstLine="1304"/>
        <w:spacing w:after="0" w:line="269" w:lineRule="auto"/>
        <w:tabs>
          <w:tab w:leader="none" w:pos="1788"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Accounting terms not otherwise defined herein have the meanings given to them in the United States in accordance with generally accepted accounting principles;</w:t>
      </w:r>
    </w:p>
    <w:p>
      <w:pPr>
        <w:spacing w:after="0" w:line="132" w:lineRule="exact"/>
        <w:rPr>
          <w:rFonts w:ascii="Times New Roman" w:cs="Times New Roman" w:eastAsia="Times New Roman" w:hAnsi="Times New Roman"/>
          <w:sz w:val="20"/>
          <w:szCs w:val="20"/>
          <w:color w:val="auto"/>
        </w:rPr>
      </w:pPr>
    </w:p>
    <w:p>
      <w:pPr>
        <w:ind w:firstLine="1304"/>
        <w:spacing w:after="0" w:line="283" w:lineRule="auto"/>
        <w:tabs>
          <w:tab w:leader="none" w:pos="1716"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herein to “Articles”, “Sections,” “paragraphs” and other subdivisions without reference to a document are to designated Articles, Sections, paragraphs and other subdivisions of this Agreement;</w:t>
      </w:r>
    </w:p>
    <w:p>
      <w:pPr>
        <w:spacing w:after="0" w:line="119" w:lineRule="exact"/>
        <w:rPr>
          <w:rFonts w:ascii="Times New Roman" w:cs="Times New Roman" w:eastAsia="Times New Roman" w:hAnsi="Times New Roman"/>
          <w:sz w:val="20"/>
          <w:szCs w:val="20"/>
          <w:color w:val="auto"/>
        </w:rPr>
      </w:pPr>
    </w:p>
    <w:p>
      <w:pPr>
        <w:ind w:firstLine="1304"/>
        <w:spacing w:after="0" w:line="269" w:lineRule="auto"/>
        <w:tabs>
          <w:tab w:leader="none" w:pos="1765"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reference to a paragraph without further reference to a Section is a reference to such paragraph as contained in the same Section in which the reference appears, and this rule shall also apply to other sub-divisions;</w:t>
      </w:r>
    </w:p>
    <w:p>
      <w:pPr>
        <w:spacing w:after="0" w:line="132" w:lineRule="exact"/>
        <w:rPr>
          <w:rFonts w:ascii="Times New Roman" w:cs="Times New Roman" w:eastAsia="Times New Roman" w:hAnsi="Times New Roman"/>
          <w:sz w:val="20"/>
          <w:szCs w:val="20"/>
          <w:color w:val="auto"/>
        </w:rPr>
      </w:pPr>
    </w:p>
    <w:p>
      <w:pPr>
        <w:ind w:firstLine="1304"/>
        <w:spacing w:after="0" w:line="283" w:lineRule="auto"/>
        <w:tabs>
          <w:tab w:leader="none" w:pos="1761"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“herein,” “hereof,” “hereunder” and other words of similar import refer to this Agreement as a whole and not to any particular provision;</w:t>
      </w:r>
    </w:p>
    <w:p>
      <w:pPr>
        <w:spacing w:after="0" w:line="119"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“include” or “including” shall mean without limitation by reason of enumeration;</w:t>
      </w:r>
    </w:p>
    <w:p>
      <w:pPr>
        <w:spacing w:after="0" w:line="18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 “or” is not exclusive;</w:t>
      </w:r>
    </w:p>
    <w:p>
      <w:pPr>
        <w:spacing w:after="0" w:line="188" w:lineRule="exact"/>
        <w:rPr>
          <w:rFonts w:ascii="Times New Roman" w:cs="Times New Roman" w:eastAsia="Times New Roman" w:hAnsi="Times New Roman"/>
          <w:sz w:val="20"/>
          <w:szCs w:val="20"/>
          <w:color w:val="auto"/>
        </w:rPr>
      </w:pPr>
    </w:p>
    <w:p>
      <w:pPr>
        <w:ind w:firstLine="1304"/>
        <w:spacing w:after="0" w:line="269" w:lineRule="auto"/>
        <w:tabs>
          <w:tab w:leader="none" w:pos="1743"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reference to a statute means such statute as amended from time to time and includes any successor legislation thereto and any regulations promulgated thereunder;</w:t>
      </w:r>
    </w:p>
    <w:p>
      <w:pPr>
        <w:spacing w:after="0" w:line="13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47"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(i) Investor shall be deemed to refer to any or all Affiliates of the Investor Member that then hold Membership Interests, and (ii) Figure shall be deemed to refer to any or all Affiliates of the Figure Member that then holds Membership Interests, in each case, as the context may require;</w:t>
      </w:r>
    </w:p>
    <w:p>
      <w:pPr>
        <w:spacing w:after="0" w:line="140" w:lineRule="exact"/>
        <w:rPr>
          <w:rFonts w:ascii="Times New Roman" w:cs="Times New Roman" w:eastAsia="Times New Roman" w:hAnsi="Times New Roman"/>
          <w:sz w:val="20"/>
          <w:szCs w:val="20"/>
          <w:color w:val="auto"/>
        </w:rPr>
      </w:pPr>
    </w:p>
    <w:p>
      <w:pPr>
        <w:ind w:right="20" w:firstLine="1304"/>
        <w:spacing w:after="0" w:line="283" w:lineRule="auto"/>
        <w:tabs>
          <w:tab w:leader="none" w:pos="1740"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construed without regard to any presumption or rule requiring construction or interpretation against the party drafting an instrument or causing any instrument to be drafted;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413" w:right="339" w:bottom="1440" w:gutter="0" w:footer="0" w:header="0"/>
        </w:sectPr>
      </w:pPr>
    </w:p>
    <w:bookmarkStart w:id="439" w:name="page440"/>
    <w:bookmarkEnd w:id="439"/>
    <w:p>
      <w:pPr>
        <w:ind w:right="20" w:firstLine="1304"/>
        <w:spacing w:after="0" w:line="283" w:lineRule="auto"/>
        <w:tabs>
          <w:tab w:leader="none" w:pos="1738"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Exhibits referred to herein shall be construed with, and as an integral part of, this Agreement to the same extent as if they were set forth verbatim herein.</w:t>
      </w:r>
    </w:p>
    <w:p>
      <w:pPr>
        <w:spacing w:after="0" w:line="11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14.13</w:t>
      </w:r>
      <w:r>
        <w:rPr>
          <w:sz w:val="20"/>
          <w:szCs w:val="20"/>
          <w:color w:val="auto"/>
        </w:rPr>
        <w:tab/>
      </w:r>
      <w:r>
        <w:rPr>
          <w:rFonts w:ascii="Times New Roman" w:cs="Times New Roman" w:eastAsia="Times New Roman" w:hAnsi="Times New Roman"/>
          <w:sz w:val="19"/>
          <w:szCs w:val="19"/>
          <w:b w:val="1"/>
          <w:bCs w:val="1"/>
          <w:color w:val="auto"/>
        </w:rPr>
        <w:t>Confidentiality.</w:t>
      </w:r>
    </w:p>
    <w:p>
      <w:pPr>
        <w:spacing w:after="0" w:line="179" w:lineRule="exact"/>
        <w:rPr>
          <w:sz w:val="20"/>
          <w:szCs w:val="20"/>
          <w:color w:val="auto"/>
        </w:rPr>
      </w:pPr>
    </w:p>
    <w:p>
      <w:pPr>
        <w:jc w:val="both"/>
        <w:ind w:firstLine="1304"/>
        <w:spacing w:after="0" w:line="251" w:lineRule="auto"/>
        <w:tabs>
          <w:tab w:leader="none" w:pos="1794"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Member (on behalf of itself and its Affiliates, and their respective Related Parties, agents, representatives and advisors (collectively, “</w:t>
      </w:r>
      <w:r>
        <w:rPr>
          <w:rFonts w:ascii="Times New Roman" w:cs="Times New Roman" w:eastAsia="Times New Roman" w:hAnsi="Times New Roman"/>
          <w:sz w:val="20"/>
          <w:szCs w:val="20"/>
          <w:b w:val="1"/>
          <w:bCs w:val="1"/>
          <w:color w:val="auto"/>
        </w:rPr>
        <w:t>Representatives</w:t>
      </w:r>
      <w:r>
        <w:rPr>
          <w:rFonts w:ascii="Times New Roman" w:cs="Times New Roman" w:eastAsia="Times New Roman" w:hAnsi="Times New Roman"/>
          <w:sz w:val="20"/>
          <w:szCs w:val="20"/>
          <w:color w:val="auto"/>
        </w:rPr>
        <w:t>”)) agrees that, except as otherwise consented to by the Members, the terms and provisions of this Agreement and all non-public, confidential, and proprietary information concerning the Company or its operations and business (including any information furnished to such Member pursuant to this Agreement) (collectively,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will be kept confidential, will not be used for any purpose other than solely for the purpose of making or monitoring its investment in the Company, and will not be disclosed, by such Member or its Representatives in any manner, in whole or in part, except that each Member will be permitted to disclose Confidential Information (i) to those of such Member’s Representatives who need to be familiar with such Confidential Information in connection with such Member’s investment in the Company and who are charged with an obligation of confidentiality, and (ii) to the extent required by law or governmental or regulatory process or authority, so long as, in the case of a disclosure required by the order of a governmental authority, such Member will have, to the extent permitted by applicable law and not restricted by any request or order of the applicable Governmental Entity, first provided the Company a reasonable opportunity to contest the necessity of disclosing such Confidential Information.</w:t>
      </w:r>
    </w:p>
    <w:p>
      <w:pPr>
        <w:spacing w:after="0" w:line="151" w:lineRule="exact"/>
        <w:rPr>
          <w:rFonts w:ascii="Times New Roman" w:cs="Times New Roman" w:eastAsia="Times New Roman" w:hAnsi="Times New Roman"/>
          <w:sz w:val="20"/>
          <w:szCs w:val="20"/>
          <w:color w:val="auto"/>
        </w:rPr>
      </w:pPr>
    </w:p>
    <w:p>
      <w:pPr>
        <w:jc w:val="both"/>
        <w:ind w:firstLine="1304"/>
        <w:spacing w:after="0" w:line="250" w:lineRule="auto"/>
        <w:tabs>
          <w:tab w:leader="none" w:pos="1768"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herein, each Member and its Related Parties shall be permitted to disclose Confidential Information (A) to the extent necessary or customary for inclusion in league table measurements or in any tombstone or other advertising materials (and the Company and each other Member consents to the publication of such tombstone or other advertising materials, and the use of such Person’s name insignia, symbol, trademark, trade name, logo, or other identifying information in connection therewith), (B) in connection with providing general performance and investment information relating to the Company Assets and the transactions contemplated by this Agreement and the Basic Documents to its existing and prospective ultimate investors, (C) to its existing or prospective lenders, (D) on a confidential basis, to Transferees or prospective Transferees of any such Member’s direct or indirect interest in the Company (or an interest in any such Member), (E) to existing or prospective counterparties to or partners of the Company or its Subsidiaries and to service providers or other parties as may be necessary or desirable to effect any transaction related to the Company or any of its Subsidiaries, and (F) if necessary to perform its duties or obligations hereunder or in any Basic Document or other agreement entered into by the Company or any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other than in the case of rating agencies and Governmental Entities, such Person disclosing Confidential Information uses its commercially reasonable efforts to ensure that such Confidential Information is disclosed on a confidential basis. Each Member agrees that it will be responsible for any breach or violation of the provisions of this </w:t>
      </w:r>
      <w:r>
        <w:rPr>
          <w:rFonts w:ascii="Times New Roman" w:cs="Times New Roman" w:eastAsia="Times New Roman" w:hAnsi="Times New Roman"/>
          <w:sz w:val="20"/>
          <w:szCs w:val="20"/>
          <w:u w:val="single" w:color="auto"/>
          <w:color w:val="auto"/>
        </w:rPr>
        <w:t>Section 14.13</w:t>
      </w:r>
      <w:r>
        <w:rPr>
          <w:rFonts w:ascii="Times New Roman" w:cs="Times New Roman" w:eastAsia="Times New Roman" w:hAnsi="Times New Roman"/>
          <w:sz w:val="20"/>
          <w:szCs w:val="20"/>
          <w:color w:val="auto"/>
        </w:rPr>
        <w:t xml:space="preserve"> by any of its Representatives.</w:t>
      </w:r>
    </w:p>
    <w:p>
      <w:pPr>
        <w:spacing w:after="0" w:line="152" w:lineRule="exact"/>
        <w:rPr>
          <w:rFonts w:ascii="Times New Roman" w:cs="Times New Roman" w:eastAsia="Times New Roman" w:hAnsi="Times New Roman"/>
          <w:sz w:val="20"/>
          <w:szCs w:val="20"/>
          <w:color w:val="auto"/>
        </w:rPr>
      </w:pPr>
    </w:p>
    <w:p>
      <w:pPr>
        <w:jc w:val="both"/>
        <w:ind w:firstLine="1304"/>
        <w:spacing w:after="0" w:line="254" w:lineRule="auto"/>
        <w:tabs>
          <w:tab w:leader="none" w:pos="1734"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14.13</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xml:space="preserve">” will not include any information which such Member can demonstrate was or has become generally available to the public other than as a result of disclosure by such Member or its Representatives in violation of this </w:t>
      </w:r>
      <w:r>
        <w:rPr>
          <w:rFonts w:ascii="Times New Roman" w:cs="Times New Roman" w:eastAsia="Times New Roman" w:hAnsi="Times New Roman"/>
          <w:sz w:val="20"/>
          <w:szCs w:val="20"/>
          <w:u w:val="single" w:color="auto"/>
          <w:color w:val="auto"/>
        </w:rPr>
        <w:t>Section 14.13</w:t>
      </w:r>
      <w:r>
        <w:rPr>
          <w:rFonts w:ascii="Times New Roman" w:cs="Times New Roman" w:eastAsia="Times New Roman" w:hAnsi="Times New Roman"/>
          <w:sz w:val="20"/>
          <w:szCs w:val="20"/>
          <w:color w:val="auto"/>
        </w:rPr>
        <w:t xml:space="preserve"> or any other obligation of confidentiality owed by any such Person to the Company or a Subsidiary thereof. Nothing in this </w:t>
      </w:r>
      <w:r>
        <w:rPr>
          <w:rFonts w:ascii="Times New Roman" w:cs="Times New Roman" w:eastAsia="Times New Roman" w:hAnsi="Times New Roman"/>
          <w:sz w:val="20"/>
          <w:szCs w:val="20"/>
          <w:u w:val="single" w:color="auto"/>
          <w:color w:val="auto"/>
        </w:rPr>
        <w:t>Section 14.13</w:t>
      </w:r>
      <w:r>
        <w:rPr>
          <w:rFonts w:ascii="Times New Roman" w:cs="Times New Roman" w:eastAsia="Times New Roman" w:hAnsi="Times New Roman"/>
          <w:sz w:val="20"/>
          <w:szCs w:val="20"/>
          <w:color w:val="auto"/>
        </w:rPr>
        <w:t xml:space="preserve"> will in any way limit or otherwise modify any confidentiality covenants contained in any Basic Document. The covenants contained in this </w:t>
      </w:r>
      <w:r>
        <w:rPr>
          <w:rFonts w:ascii="Times New Roman" w:cs="Times New Roman" w:eastAsia="Times New Roman" w:hAnsi="Times New Roman"/>
          <w:sz w:val="20"/>
          <w:szCs w:val="20"/>
          <w:u w:val="single" w:color="auto"/>
          <w:color w:val="auto"/>
        </w:rPr>
        <w:t>Section 14.13</w:t>
      </w:r>
      <w:r>
        <w:rPr>
          <w:rFonts w:ascii="Times New Roman" w:cs="Times New Roman" w:eastAsia="Times New Roman" w:hAnsi="Times New Roman"/>
          <w:sz w:val="20"/>
          <w:szCs w:val="20"/>
          <w:color w:val="auto"/>
        </w:rPr>
        <w:t xml:space="preserve"> will survive the Transfer of the Membership Interest of any Member and the termination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413" w:right="339" w:bottom="1440" w:gutter="0" w:footer="0" w:header="0"/>
        </w:sectPr>
      </w:pPr>
    </w:p>
    <w:bookmarkStart w:id="440" w:name="page441"/>
    <w:bookmarkEnd w:id="440"/>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14.14</w:t>
      </w:r>
      <w:r>
        <w:rPr>
          <w:sz w:val="20"/>
          <w:szCs w:val="20"/>
          <w:color w:val="auto"/>
        </w:rPr>
        <w:tab/>
      </w:r>
      <w:r>
        <w:rPr>
          <w:rFonts w:ascii="Times New Roman" w:cs="Times New Roman" w:eastAsia="Times New Roman" w:hAnsi="Times New Roman"/>
          <w:sz w:val="19"/>
          <w:szCs w:val="19"/>
          <w:b w:val="1"/>
          <w:bCs w:val="1"/>
          <w:color w:val="auto"/>
        </w:rPr>
        <w:t>Amendment; Waiver.</w:t>
      </w:r>
    </w:p>
    <w:p>
      <w:pPr>
        <w:spacing w:after="0" w:line="179" w:lineRule="exact"/>
        <w:rPr>
          <w:sz w:val="20"/>
          <w:szCs w:val="20"/>
          <w:color w:val="auto"/>
        </w:rPr>
      </w:pPr>
    </w:p>
    <w:p>
      <w:pPr>
        <w:ind w:firstLine="1304"/>
        <w:spacing w:after="0" w:line="269" w:lineRule="auto"/>
        <w:tabs>
          <w:tab w:leader="none" w:pos="1715"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Agreement may be modified or amended solely in writing executed by the applicable Members in accordance with </w:t>
      </w:r>
      <w:r>
        <w:rPr>
          <w:rFonts w:ascii="Times New Roman" w:cs="Times New Roman" w:eastAsia="Times New Roman" w:hAnsi="Times New Roman"/>
          <w:sz w:val="20"/>
          <w:szCs w:val="20"/>
          <w:u w:val="single" w:color="auto"/>
          <w:color w:val="auto"/>
        </w:rPr>
        <w:t>Section 8.3(a)(xxxvi)</w:t>
      </w:r>
      <w:r>
        <w:rPr>
          <w:rFonts w:ascii="Times New Roman" w:cs="Times New Roman" w:eastAsia="Times New Roman" w:hAnsi="Times New Roman"/>
          <w:sz w:val="20"/>
          <w:szCs w:val="20"/>
          <w:color w:val="auto"/>
        </w:rPr>
        <w:t>.</w:t>
      </w:r>
    </w:p>
    <w:p>
      <w:pPr>
        <w:spacing w:after="0" w:line="118" w:lineRule="exact"/>
        <w:rPr>
          <w:rFonts w:ascii="Times New Roman" w:cs="Times New Roman" w:eastAsia="Times New Roman" w:hAnsi="Times New Roman"/>
          <w:sz w:val="20"/>
          <w:szCs w:val="20"/>
          <w:color w:val="auto"/>
        </w:rPr>
      </w:pPr>
    </w:p>
    <w:p>
      <w:pPr>
        <w:jc w:val="both"/>
        <w:ind w:firstLine="1304"/>
        <w:spacing w:after="0" w:line="260" w:lineRule="auto"/>
        <w:tabs>
          <w:tab w:leader="none" w:pos="1727"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waiver or consent by any party of any of the provisions hereof shall be effective unless explicitly set forth in writing and signed by the party so waiving or consenting. No waiver by any party shall operate or be construed as a waiver in respect of any failure, breach or default not expressly identified by such written waiver or consent, whether of a similar or different character, and whether occurring before or after that waiver or consent. No failure to exercise, or delay in exercising, any right, remedy, power or privilege arising from this Agreement shall operate or be construed as a waiver or consent thereof, nor shall any single or partial exercise of any right, remedy, power or privilege hereunder preclude any other or further exercise thereof or the exercise of any other right, remedy, power or privilege.</w:t>
      </w:r>
    </w:p>
    <w:p>
      <w:pPr>
        <w:spacing w:after="0" w:line="12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14.15</w:t>
      </w:r>
      <w:r>
        <w:rPr>
          <w:sz w:val="20"/>
          <w:szCs w:val="20"/>
          <w:color w:val="auto"/>
        </w:rPr>
        <w:tab/>
      </w:r>
      <w:r>
        <w:rPr>
          <w:rFonts w:ascii="Times New Roman" w:cs="Times New Roman" w:eastAsia="Times New Roman" w:hAnsi="Times New Roman"/>
          <w:sz w:val="19"/>
          <w:szCs w:val="19"/>
          <w:b w:val="1"/>
          <w:bCs w:val="1"/>
          <w:color w:val="auto"/>
        </w:rPr>
        <w:t>Patriot Act; Sanctions.</w:t>
      </w:r>
    </w:p>
    <w:p>
      <w:pPr>
        <w:spacing w:after="0" w:line="17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In order to comply with laws, rules, regulations and executive orders in effect from time to time applicable to banking institutions, including AML Laws and Sanctions, and to verify a Member’s compliance with </w:t>
      </w:r>
      <w:r>
        <w:rPr>
          <w:rFonts w:ascii="Times New Roman" w:cs="Times New Roman" w:eastAsia="Times New Roman" w:hAnsi="Times New Roman"/>
          <w:sz w:val="20"/>
          <w:szCs w:val="20"/>
          <w:u w:val="single" w:color="auto"/>
          <w:color w:val="auto"/>
        </w:rPr>
        <w:t>Section 7.3(c)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the Company or another Member may be required to obtain, verify and record certain information relating to the Members (including with respect to any direct or indirect owners). Accordingly, each of the Members agrees to provide to the Company and the other Member upon its reasonable request from time to time such identifying information and documentation for such Member (including with respect to any direct or indirect owners) in order to enable the Company and the other Member to comply with AML Laws and Sanctions and to verify a Member’s compliance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To the extent a Member is not permitted to provide (as determined by such Member in its sole and reasonable discretion) any reasonably requested information or documentation, the Member shall provide to the Company or the other Member a certification, in a form reasonably acceptable to the Company or the other Member, certifying compliance with the requirements of </w:t>
      </w:r>
      <w:r>
        <w:rPr>
          <w:rFonts w:ascii="Times New Roman" w:cs="Times New Roman" w:eastAsia="Times New Roman" w:hAnsi="Times New Roman"/>
          <w:sz w:val="20"/>
          <w:szCs w:val="20"/>
          <w:u w:val="single" w:color="auto"/>
          <w:color w:val="auto"/>
        </w:rPr>
        <w:t>Section 7.3(c)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w:t>
      </w:r>
    </w:p>
    <w:p>
      <w:pPr>
        <w:spacing w:after="0" w:line="14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14.16</w:t>
      </w:r>
      <w:r>
        <w:rPr>
          <w:sz w:val="20"/>
          <w:szCs w:val="20"/>
          <w:color w:val="auto"/>
        </w:rPr>
        <w:tab/>
      </w:r>
      <w:r>
        <w:rPr>
          <w:rFonts w:ascii="Times New Roman" w:cs="Times New Roman" w:eastAsia="Times New Roman" w:hAnsi="Times New Roman"/>
          <w:sz w:val="19"/>
          <w:szCs w:val="19"/>
          <w:b w:val="1"/>
          <w:bCs w:val="1"/>
          <w:color w:val="auto"/>
        </w:rPr>
        <w:t>Corporate Transparency Act.</w:t>
      </w:r>
    </w:p>
    <w:p>
      <w:pPr>
        <w:spacing w:after="0" w:line="175" w:lineRule="exact"/>
        <w:rPr>
          <w:sz w:val="20"/>
          <w:szCs w:val="20"/>
          <w:color w:val="auto"/>
        </w:rPr>
      </w:pPr>
    </w:p>
    <w:p>
      <w:pPr>
        <w:jc w:val="both"/>
        <w:ind w:firstLine="1304"/>
        <w:spacing w:after="0" w:line="247" w:lineRule="auto"/>
        <w:tabs>
          <w:tab w:leader="none" w:pos="1747"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Corporate Transparency Act (31 U.S.C. § 5336) and its implementing regulations, as amended (the “</w:t>
      </w:r>
      <w:r>
        <w:rPr>
          <w:rFonts w:ascii="Times New Roman" w:cs="Times New Roman" w:eastAsia="Times New Roman" w:hAnsi="Times New Roman"/>
          <w:sz w:val="20"/>
          <w:szCs w:val="20"/>
          <w:b w:val="1"/>
          <w:bCs w:val="1"/>
          <w:color w:val="auto"/>
        </w:rPr>
        <w:t>CTA</w:t>
      </w:r>
      <w:r>
        <w:rPr>
          <w:rFonts w:ascii="Times New Roman" w:cs="Times New Roman" w:eastAsia="Times New Roman" w:hAnsi="Times New Roman"/>
          <w:sz w:val="20"/>
          <w:szCs w:val="20"/>
          <w:color w:val="auto"/>
        </w:rPr>
        <w:t>”), may require the Company to file reports with the Financial Crimes Enforcement Network from time to time. The Company is hereby authorized to take such actions as may be reasonably necessary to (and is hereby authorized to engage or designate one or more agents or independent contractors of the Company to) prepare and make any such filings, and to otherwise comply with the Company’s obligations under the CTA, if any.</w:t>
      </w:r>
    </w:p>
    <w:p>
      <w:pPr>
        <w:spacing w:after="0" w:line="143" w:lineRule="exact"/>
        <w:rPr>
          <w:rFonts w:ascii="Times New Roman" w:cs="Times New Roman" w:eastAsia="Times New Roman" w:hAnsi="Times New Roman"/>
          <w:sz w:val="20"/>
          <w:szCs w:val="20"/>
          <w:color w:val="auto"/>
        </w:rPr>
      </w:pPr>
    </w:p>
    <w:p>
      <w:pPr>
        <w:jc w:val="both"/>
        <w:ind w:firstLine="1304"/>
        <w:spacing w:after="0" w:line="241" w:lineRule="auto"/>
        <w:tabs>
          <w:tab w:leader="none" w:pos="1851"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Member agrees to (i) from time to time upon the request of the Company, provide the Company with any information, which may include a certification if requested by the Company, reasonably necessary for the Company to confirm the Member’s compliance with its reporting and disclosure requirements under the CTA to enable the Company (or any Subsidiary) to comply with its reporting and disclosure requirements under the CTA; and (ii) to promptly inform the Company of any changes to any information previously provided to the Company under this </w:t>
      </w:r>
      <w:r>
        <w:rPr>
          <w:rFonts w:ascii="Times New Roman" w:cs="Times New Roman" w:eastAsia="Times New Roman" w:hAnsi="Times New Roman"/>
          <w:sz w:val="20"/>
          <w:szCs w:val="20"/>
          <w:u w:val="single" w:color="auto"/>
          <w:color w:val="auto"/>
        </w:rPr>
        <w:t>Section 14.16</w:t>
      </w:r>
      <w:r>
        <w:rPr>
          <w:rFonts w:ascii="Times New Roman" w:cs="Times New Roman" w:eastAsia="Times New Roman" w:hAnsi="Times New Roman"/>
          <w:sz w:val="20"/>
          <w:szCs w:val="20"/>
          <w:color w:val="auto"/>
        </w:rPr>
        <w:t xml:space="preserve"> (including any changes regarding such Member’s beneficial owners (as defined in the CTA) but in any event within ten (10) Business Days of such change. Each Member may satisfy the requirements in the previous sentence with respect to natural persons by providing a “FinCEN identifier” (as defined in the CTA) to the Company in lieu of other required information to the extent permitted by the CTA and authorized by FinCEN. Each Member authorizes the disclosure by the Company of such information to the extent necessary to comply with the CTA.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409" w:right="339" w:bottom="1440" w:gutter="0" w:footer="0" w:header="0"/>
        </w:sectPr>
      </w:pPr>
    </w:p>
    <w:bookmarkStart w:id="441" w:name="page442"/>
    <w:bookmarkEnd w:id="441"/>
    <w:p>
      <w:pPr>
        <w:jc w:val="both"/>
        <w:ind w:firstLine="1304"/>
        <w:spacing w:after="0" w:line="251" w:lineRule="auto"/>
        <w:tabs>
          <w:tab w:leader="none" w:pos="1815"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Members hereby designate Administrative Member to be responsible for the timely submission of all reports, filings and other information required to be disclosed to FinCEN with respect to the Company and any Subsidiary when due under the CTA;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at least five (5) Business Days prior to any such submission, Administrative Member shall provide such reports, filings or other information to be disclosed to FinCEN (including with respect to any modifications thereto) to the other Member and shall in good faith consult with such Member, (ii) Administrative Member shall promptly furnish to the other Member a copy of each material written notice or other communication received from FinCEN with respect to the Company and/or any Subsidiary to the extent not prohibited by applicable law, and (iii) Administrative Member shall consult with the other Member prior to communicating with FinCEN with respect to any reports, filings or other information with respect to the Company and/or any Subsidiary.</w:t>
      </w:r>
    </w:p>
    <w:p>
      <w:pPr>
        <w:spacing w:after="0" w:line="154" w:lineRule="exact"/>
        <w:rPr>
          <w:rFonts w:ascii="Times New Roman" w:cs="Times New Roman" w:eastAsia="Times New Roman" w:hAnsi="Times New Roman"/>
          <w:sz w:val="20"/>
          <w:szCs w:val="20"/>
          <w:color w:val="auto"/>
        </w:rPr>
      </w:pPr>
    </w:p>
    <w:p>
      <w:pPr>
        <w:jc w:val="both"/>
        <w:ind w:firstLine="1304"/>
        <w:spacing w:after="0" w:line="264" w:lineRule="auto"/>
        <w:tabs>
          <w:tab w:leader="none" w:pos="1813" w:val="left"/>
        </w:tabs>
        <w:numPr>
          <w:ilvl w:val="1"/>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Member covenants and agrees to use commercially reasonable efforts to obtain and deliver to Administrative Member or the Company such Member’s beneficial ownership information (which may include FinCEN identifiers as set forth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14.16(b)</w:t>
      </w:r>
      <w:r>
        <w:rPr>
          <w:rFonts w:ascii="Times New Roman" w:cs="Times New Roman" w:eastAsia="Times New Roman" w:hAnsi="Times New Roman"/>
          <w:sz w:val="19"/>
          <w:szCs w:val="19"/>
          <w:color w:val="auto"/>
        </w:rPr>
        <w:t>) and any other information required under the CTA for disclosure (i) to FinCEN and other appropriate governmental authorities to the extent required under the CTA, (ii) to any entity which may be required to make a filing under the CTA because such beneficial owners own or control an ownership interest in such entity of twenty-five percent (25%) or more or exercises substantial control over such entity, and</w:t>
      </w:r>
    </w:p>
    <w:p>
      <w:pPr>
        <w:spacing w:after="0" w:line="1" w:lineRule="exact"/>
        <w:rPr>
          <w:rFonts w:ascii="Times New Roman" w:cs="Times New Roman" w:eastAsia="Times New Roman" w:hAnsi="Times New Roman"/>
          <w:sz w:val="19"/>
          <w:szCs w:val="19"/>
          <w:color w:val="auto"/>
        </w:rPr>
      </w:pPr>
    </w:p>
    <w:p>
      <w:pPr>
        <w:jc w:val="both"/>
        <w:ind w:firstLine="8"/>
        <w:spacing w:after="0" w:line="250" w:lineRule="auto"/>
        <w:tabs>
          <w:tab w:leader="none" w:pos="357"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financial institutions and other counterparties in connection with their customer due diligence and know your customer processes, in each case if Administrative Member determines in good faith that it is necessary or advisable to disclose such information in light of the requirements of the CTA applicable to the Company and its Subsidiaries. Each Member covenants and agrees to use commercially reasonable efforts to obtain and deliver any additional consents and/or documentation necessary to effectuate the foregoing, including as may be required by FinCEN from time to time for FinCEN to release beneficial ownership information to a financial institution in connection with the financial institution’s know your customer and similar processes.</w:t>
      </w:r>
    </w:p>
    <w:p>
      <w:pPr>
        <w:spacing w:after="0" w:line="153"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30"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set forth in this </w:t>
      </w:r>
      <w:r>
        <w:rPr>
          <w:rFonts w:ascii="Times New Roman" w:cs="Times New Roman" w:eastAsia="Times New Roman" w:hAnsi="Times New Roman"/>
          <w:sz w:val="20"/>
          <w:szCs w:val="20"/>
          <w:u w:val="single" w:color="auto"/>
          <w:color w:val="auto"/>
        </w:rPr>
        <w:t>Section 14.16</w:t>
      </w:r>
      <w:r>
        <w:rPr>
          <w:rFonts w:ascii="Times New Roman" w:cs="Times New Roman" w:eastAsia="Times New Roman" w:hAnsi="Times New Roman"/>
          <w:sz w:val="20"/>
          <w:szCs w:val="20"/>
          <w:color w:val="auto"/>
        </w:rPr>
        <w:t xml:space="preserve">, no Member shall be deemed to be in breach of its obligations under this </w:t>
      </w:r>
      <w:r>
        <w:rPr>
          <w:rFonts w:ascii="Times New Roman" w:cs="Times New Roman" w:eastAsia="Times New Roman" w:hAnsi="Times New Roman"/>
          <w:sz w:val="20"/>
          <w:szCs w:val="20"/>
          <w:u w:val="single" w:color="auto"/>
          <w:color w:val="auto"/>
        </w:rPr>
        <w:t>Section 14.16</w:t>
      </w:r>
      <w:r>
        <w:rPr>
          <w:rFonts w:ascii="Times New Roman" w:cs="Times New Roman" w:eastAsia="Times New Roman" w:hAnsi="Times New Roman"/>
          <w:sz w:val="20"/>
          <w:szCs w:val="20"/>
          <w:color w:val="auto"/>
        </w:rPr>
        <w:t xml:space="preserve"> for failure to provide information regarding its limited partners or equivalent investors due to such partners or investors declining to provide such information or authorize the disclosure of such information, despite such Member having used commercially reasonable efforts to obtain the same. Notwithstanding the foregoing, in no event shall Administrative Member have any liability under this </w:t>
      </w:r>
      <w:r>
        <w:rPr>
          <w:rFonts w:ascii="Times New Roman" w:cs="Times New Roman" w:eastAsia="Times New Roman" w:hAnsi="Times New Roman"/>
          <w:sz w:val="20"/>
          <w:szCs w:val="20"/>
          <w:u w:val="single" w:color="auto"/>
          <w:color w:val="auto"/>
        </w:rPr>
        <w:t>Section 14.16</w:t>
      </w:r>
      <w:r>
        <w:rPr>
          <w:rFonts w:ascii="Times New Roman" w:cs="Times New Roman" w:eastAsia="Times New Roman" w:hAnsi="Times New Roman"/>
          <w:sz w:val="20"/>
          <w:szCs w:val="20"/>
          <w:color w:val="auto"/>
        </w:rPr>
        <w:t xml:space="preserve"> with respect to any liabilities, damages, costs or expenses (including attorneys’ fees) which are or may be incurred by the Company or any other Member to the extent arising from or relating to a failure by any other Member to provide any information or to otherwise timely comply with its obligations under this </w:t>
      </w:r>
      <w:r>
        <w:rPr>
          <w:rFonts w:ascii="Times New Roman" w:cs="Times New Roman" w:eastAsia="Times New Roman" w:hAnsi="Times New Roman"/>
          <w:sz w:val="20"/>
          <w:szCs w:val="20"/>
          <w:u w:val="single" w:color="auto"/>
          <w:color w:val="auto"/>
        </w:rPr>
        <w:t>Section 14.16</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14.17</w:t>
      </w:r>
      <w:r>
        <w:rPr>
          <w:sz w:val="20"/>
          <w:szCs w:val="20"/>
          <w:color w:val="auto"/>
        </w:rPr>
        <w:tab/>
      </w:r>
      <w:r>
        <w:rPr>
          <w:rFonts w:ascii="Times New Roman" w:cs="Times New Roman" w:eastAsia="Times New Roman" w:hAnsi="Times New Roman"/>
          <w:sz w:val="19"/>
          <w:szCs w:val="19"/>
          <w:b w:val="1"/>
          <w:bCs w:val="1"/>
          <w:color w:val="auto"/>
        </w:rPr>
        <w:t>Severability.</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If any term or provision of this Agreement is held to be invalid, illegal or unenforceable under applicable law in any jurisdiction, such invalidity, 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413" w:right="339" w:bottom="1440" w:gutter="0" w:footer="0" w:header="0"/>
        </w:sectPr>
      </w:pPr>
    </w:p>
    <w:bookmarkStart w:id="442" w:name="page443"/>
    <w:bookmarkEnd w:id="442"/>
    <w:p>
      <w:pPr>
        <w:ind w:left="68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14.18</w:t>
      </w:r>
      <w:r>
        <w:rPr>
          <w:sz w:val="20"/>
          <w:szCs w:val="20"/>
          <w:color w:val="auto"/>
        </w:rPr>
        <w:tab/>
      </w:r>
      <w:r>
        <w:rPr>
          <w:rFonts w:ascii="Times New Roman" w:cs="Times New Roman" w:eastAsia="Times New Roman" w:hAnsi="Times New Roman"/>
          <w:sz w:val="19"/>
          <w:szCs w:val="19"/>
          <w:b w:val="1"/>
          <w:bCs w:val="1"/>
          <w:color w:val="auto"/>
        </w:rPr>
        <w:t>Attorney Representation.</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Each Member hereby acknowledges and agrees that: (a) in the negotiation and preparation of this Agreement and the Basic Documents and with respect to the matters contemplated hereby and thereby, Figure has been independently represented by the law firm of Goodwin Procter LLP (“</w:t>
      </w:r>
      <w:r>
        <w:rPr>
          <w:rFonts w:ascii="Times New Roman" w:cs="Times New Roman" w:eastAsia="Times New Roman" w:hAnsi="Times New Roman"/>
          <w:sz w:val="20"/>
          <w:szCs w:val="20"/>
          <w:b w:val="1"/>
          <w:bCs w:val="1"/>
          <w:color w:val="auto"/>
        </w:rPr>
        <w:t>Goodwin</w:t>
      </w:r>
      <w:r>
        <w:rPr>
          <w:rFonts w:ascii="Times New Roman" w:cs="Times New Roman" w:eastAsia="Times New Roman" w:hAnsi="Times New Roman"/>
          <w:sz w:val="20"/>
          <w:szCs w:val="20"/>
          <w:color w:val="auto"/>
        </w:rPr>
        <w:t>”) and Investor has been independently represented by the law firm of Morgan, Lewis &amp; Bockius LLP (“</w:t>
      </w:r>
      <w:r>
        <w:rPr>
          <w:rFonts w:ascii="Times New Roman" w:cs="Times New Roman" w:eastAsia="Times New Roman" w:hAnsi="Times New Roman"/>
          <w:sz w:val="20"/>
          <w:szCs w:val="20"/>
          <w:b w:val="1"/>
          <w:bCs w:val="1"/>
          <w:color w:val="auto"/>
        </w:rPr>
        <w:t>Morgan Lewis</w:t>
      </w:r>
      <w:r>
        <w:rPr>
          <w:rFonts w:ascii="Times New Roman" w:cs="Times New Roman" w:eastAsia="Times New Roman" w:hAnsi="Times New Roman"/>
          <w:sz w:val="20"/>
          <w:szCs w:val="20"/>
          <w:color w:val="auto"/>
        </w:rPr>
        <w:t>”); (b) Goodwin has represented both Figure and its Affiliates in other related and unrelated matters and Morgan Lewis has represented both Investor and its Affiliates in other related and unrelated matters; (c) each Member hereby waives any potential conflict of interest resulting from Goodwin’s representation of Figure and its Affiliates, or from Morgan Lewis’ representation of Investor and its Affiliates, in each case, with respect to this Agreement, the Basic Documents, and the matters contemplated hereby and thereby, including in connection with such Member and its Affiliates’ enforcement of this Agreement and the Basic Documents or the exercise or performance of any rights, obligations, or remedies hereunder or thereunder; and (d) Figure agrees and acknowledges that in the event of a default on the part of a Figure Person under any Basic Documents, Morgan Lewis shall be free to represent the Company or any of its Subsidiaries in connection with the enforcement of such Basic Document.</w:t>
      </w:r>
    </w:p>
    <w:p>
      <w:pPr>
        <w:spacing w:after="0" w:line="15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14.19</w:t>
      </w:r>
      <w:r>
        <w:rPr>
          <w:sz w:val="20"/>
          <w:szCs w:val="20"/>
          <w:color w:val="auto"/>
        </w:rPr>
        <w:tab/>
      </w:r>
      <w:r>
        <w:rPr>
          <w:rFonts w:ascii="Times New Roman" w:cs="Times New Roman" w:eastAsia="Times New Roman" w:hAnsi="Times New Roman"/>
          <w:sz w:val="19"/>
          <w:szCs w:val="19"/>
          <w:b w:val="1"/>
          <w:bCs w:val="1"/>
          <w:color w:val="auto"/>
        </w:rPr>
        <w:t>Attorneys’ Fees.</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If the Company or any Member obtains a final judgment or final award against any other Member by reason of the breach of this Agreement or the failure to comply with the terms hereof, reasonable attorneys’ fees and costs as fixed by the court or arbitrator may be included in such judgment.</w:t>
      </w:r>
    </w:p>
    <w:p>
      <w:pPr>
        <w:spacing w:after="0" w:line="13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14.20</w:t>
      </w:r>
      <w:r>
        <w:rPr>
          <w:sz w:val="20"/>
          <w:szCs w:val="20"/>
          <w:color w:val="auto"/>
        </w:rPr>
        <w:tab/>
      </w:r>
      <w:r>
        <w:rPr>
          <w:rFonts w:ascii="Times New Roman" w:cs="Times New Roman" w:eastAsia="Times New Roman" w:hAnsi="Times New Roman"/>
          <w:sz w:val="19"/>
          <w:szCs w:val="19"/>
          <w:b w:val="1"/>
          <w:bCs w:val="1"/>
          <w:color w:val="auto"/>
        </w:rPr>
        <w:t>Successors and Assigns.</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This Agreement shall be binding upon the parties hereto and their respective executors, administrators, legal representatives, heirs, successors and assigns, and shall inure to the benefit of the parties hereto and, except as otherwise provided herein, their respective executors, administrators, legal representatives, heirs, successors and assigns.</w:t>
      </w:r>
    </w:p>
    <w:p>
      <w:pPr>
        <w:spacing w:after="0" w:line="13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14.21</w:t>
      </w:r>
      <w:r>
        <w:rPr>
          <w:sz w:val="20"/>
          <w:szCs w:val="20"/>
          <w:color w:val="auto"/>
        </w:rPr>
        <w:tab/>
      </w:r>
      <w:r>
        <w:rPr>
          <w:rFonts w:ascii="Times New Roman" w:cs="Times New Roman" w:eastAsia="Times New Roman" w:hAnsi="Times New Roman"/>
          <w:sz w:val="19"/>
          <w:szCs w:val="19"/>
          <w:b w:val="1"/>
          <w:bCs w:val="1"/>
          <w:color w:val="auto"/>
        </w:rPr>
        <w:t>Extension Not a Waiver.</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 delay or omission in the exercise of any power, remedy or right herein provided or otherwise available to a Member or the Company shall impair or affect the right of such Member or the Company thereafter to exercise the same. Any extension of time or other indulgence granted to a Member hereunder shall not otherwise alter or affect any power, remedy or right of any other Member or of the Company, or the obligations of the Member to whom such extension or indulgence is granted.</w:t>
      </w:r>
    </w:p>
    <w:p>
      <w:pPr>
        <w:spacing w:after="0" w:line="12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14.22</w:t>
      </w:r>
      <w:r>
        <w:rPr>
          <w:sz w:val="20"/>
          <w:szCs w:val="20"/>
          <w:color w:val="auto"/>
        </w:rPr>
        <w:tab/>
      </w:r>
      <w:r>
        <w:rPr>
          <w:rFonts w:ascii="Times New Roman" w:cs="Times New Roman" w:eastAsia="Times New Roman" w:hAnsi="Times New Roman"/>
          <w:sz w:val="19"/>
          <w:szCs w:val="19"/>
          <w:b w:val="1"/>
          <w:bCs w:val="1"/>
          <w:color w:val="auto"/>
        </w:rPr>
        <w:t>Further Assurances.</w:t>
      </w:r>
    </w:p>
    <w:p>
      <w:pPr>
        <w:spacing w:after="0" w:line="19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Each Member agrees to execute, acknowledge, deliver, file, record and publish such further reasonable instruments and documents, and do all such other reasonable acts and things as may be required by law, or as may be required to carry out the intent and purposes of this Agreement.</w:t>
      </w:r>
    </w:p>
    <w:p>
      <w:pPr>
        <w:spacing w:after="0" w:line="13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14.23</w:t>
      </w:r>
      <w:r>
        <w:rPr>
          <w:sz w:val="20"/>
          <w:szCs w:val="20"/>
          <w:color w:val="auto"/>
        </w:rPr>
        <w:tab/>
      </w:r>
      <w:r>
        <w:rPr>
          <w:rFonts w:ascii="Times New Roman" w:cs="Times New Roman" w:eastAsia="Times New Roman" w:hAnsi="Times New Roman"/>
          <w:sz w:val="19"/>
          <w:szCs w:val="19"/>
          <w:b w:val="1"/>
          <w:bCs w:val="1"/>
          <w:color w:val="auto"/>
        </w:rPr>
        <w:t>Waiver of Consequential Damages.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No Member shall be liable to the other Members or the Company for any consequential, indirect, punitive, lost profits, diminution in value or exemplary damages arising under, or in connection with, this Agreement, except in the case of any liabilities arising from a third party claim to the extent such amounts are payable to a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409" w:right="339" w:bottom="1440" w:gutter="0" w:footer="0" w:header="0"/>
        </w:sectPr>
      </w:pPr>
    </w:p>
    <w:bookmarkStart w:id="443" w:name="page444"/>
    <w:bookmarkEnd w:id="443"/>
    <w:p>
      <w:pPr>
        <w:jc w:val="center"/>
        <w:ind w:right="19"/>
        <w:spacing w:after="0"/>
        <w:rPr>
          <w:sz w:val="20"/>
          <w:szCs w:val="20"/>
          <w:color w:val="auto"/>
        </w:rPr>
      </w:pPr>
      <w:r>
        <w:rPr>
          <w:rFonts w:ascii="Times New Roman" w:cs="Times New Roman" w:eastAsia="Times New Roman" w:hAnsi="Times New Roman"/>
          <w:sz w:val="19"/>
          <w:szCs w:val="19"/>
          <w:color w:val="auto"/>
        </w:rPr>
        <w:t>[No further text on this page; Signature page follows]</w:t>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9019"/>
          </w:cols>
          <w:pgMar w:left="1440" w:top="1413" w:right="1440" w:bottom="1440" w:gutter="0" w:footer="0" w:header="0"/>
          <w:type w:val="continuous"/>
        </w:sectPr>
      </w:pPr>
    </w:p>
    <w:bookmarkStart w:id="444" w:name="page445"/>
    <w:bookmarkEnd w:id="444"/>
    <w:p>
      <w:pPr>
        <w:ind w:firstLine="666"/>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executed this Amended and Restated Limited Liability Company Agreement as of the Effective Date.</w:t>
      </w:r>
    </w:p>
    <w:p>
      <w:pPr>
        <w:spacing w:after="0" w:line="1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31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FIG SIX MORTGAGE LLC, a</w:t>
      </w:r>
    </w:p>
    <w:p>
      <w:pPr>
        <w:spacing w:after="0" w:line="5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Delaware limited liability company</w:t>
      </w:r>
    </w:p>
    <w:p>
      <w:pPr>
        <w:spacing w:after="0" w:line="310" w:lineRule="exact"/>
        <w:rPr>
          <w:sz w:val="20"/>
          <w:szCs w:val="20"/>
          <w:color w:val="auto"/>
        </w:rPr>
      </w:pPr>
    </w:p>
    <w:p>
      <w:pPr>
        <w:ind w:left="5140"/>
        <w:spacing w:after="0"/>
        <w:tabs>
          <w:tab w:leader="none" w:pos="57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Fig SSP Member LLC, a Delaware limited liability</w:t>
      </w:r>
    </w:p>
    <w:p>
      <w:pPr>
        <w:spacing w:after="0" w:line="5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company, its Administrative Member</w:t>
      </w:r>
    </w:p>
    <w:p>
      <w:pPr>
        <w:spacing w:after="0" w:line="200" w:lineRule="exact"/>
        <w:rPr>
          <w:sz w:val="20"/>
          <w:szCs w:val="20"/>
          <w:color w:val="auto"/>
        </w:rPr>
      </w:pPr>
    </w:p>
    <w:p>
      <w:pPr>
        <w:spacing w:after="0" w:line="365" w:lineRule="exact"/>
        <w:rPr>
          <w:sz w:val="20"/>
          <w:szCs w:val="20"/>
          <w:color w:val="auto"/>
        </w:rPr>
      </w:pPr>
    </w:p>
    <w:p>
      <w:pPr>
        <w:ind w:left="5800"/>
        <w:spacing w:after="0"/>
        <w:tabs>
          <w:tab w:leader="none" w:pos="6300" w:val="left"/>
        </w:tabs>
        <w:rPr>
          <w:sz w:val="20"/>
          <w:szCs w:val="20"/>
          <w:color w:val="auto"/>
        </w:rPr>
      </w:pPr>
      <w:r>
        <w:rPr>
          <w:rFonts w:ascii="Times New Roman" w:cs="Times New Roman" w:eastAsia="Times New Roman" w:hAnsi="Times New Roman"/>
          <w:sz w:val="20"/>
          <w:szCs w:val="20"/>
          <w:color w:val="auto"/>
        </w:rPr>
        <w:t>By:</w:t>
        <w:tab/>
        <w:t>/s/ Todd Stevens</w:t>
      </w:r>
    </w:p>
    <w:p>
      <w:pPr>
        <w:spacing w:after="0" w:line="28" w:lineRule="exact"/>
        <w:rPr>
          <w:sz w:val="20"/>
          <w:szCs w:val="20"/>
          <w:color w:val="auto"/>
        </w:rPr>
      </w:pPr>
    </w:p>
    <w:p>
      <w:pPr>
        <w:ind w:left="5800"/>
        <w:spacing w:after="0"/>
        <w:tabs>
          <w:tab w:leader="none" w:pos="65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Todd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-140335</wp:posOffset>
            </wp:positionV>
            <wp:extent cx="31375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[No further text on this page; 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A&amp;R LLC Agreement of Fig Six Mortgage LLC]</w:t>
      </w:r>
    </w:p>
    <w:p>
      <w:pPr>
        <w:sectPr>
          <w:pgSz w:w="11900" w:h="16838" w:orient="portrait"/>
          <w:cols w:equalWidth="0" w:num="1">
            <w:col w:w="11220"/>
          </w:cols>
          <w:pgMar w:left="320" w:top="1413" w:right="359" w:bottom="1440" w:gutter="0" w:footer="0" w:header="0"/>
        </w:sectPr>
      </w:pPr>
    </w:p>
    <w:bookmarkStart w:id="445" w:name="page446"/>
    <w:bookmarkEnd w:id="445"/>
    <w:p>
      <w:pPr>
        <w:spacing w:after="0" w:line="1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MEMBERS:</w:t>
      </w:r>
    </w:p>
    <w:p>
      <w:pPr>
        <w:spacing w:after="0" w:line="31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FIG SSP MEMBER LLC, a</w:t>
      </w:r>
    </w:p>
    <w:p>
      <w:pPr>
        <w:spacing w:after="0" w:line="5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Delaware limited liability company</w:t>
      </w:r>
    </w:p>
    <w:p>
      <w:pPr>
        <w:spacing w:after="0" w:line="200" w:lineRule="exact"/>
        <w:rPr>
          <w:sz w:val="20"/>
          <w:szCs w:val="20"/>
          <w:color w:val="auto"/>
        </w:rPr>
      </w:pPr>
    </w:p>
    <w:p>
      <w:pPr>
        <w:spacing w:after="0" w:line="380" w:lineRule="exact"/>
        <w:rPr>
          <w:sz w:val="20"/>
          <w:szCs w:val="20"/>
          <w:color w:val="auto"/>
        </w:rPr>
      </w:pPr>
    </w:p>
    <w:tbl>
      <w:tblPr>
        <w:tblLayout w:type="fixed"/>
        <w:tblInd w:w="4020" w:type="dxa"/>
        <w:tblCellMar>
          <w:top w:w="0" w:type="dxa"/>
          <w:left w:w="0" w:type="dxa"/>
          <w:bottom w:w="0" w:type="dxa"/>
          <w:right w:w="0" w:type="dxa"/>
        </w:tblCellMar>
      </w:tblPr>
      <w:tr>
        <w:trPr>
          <w:trHeight w:val="28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/s/ Todd Stevens</w:t>
            </w:r>
          </w:p>
        </w:tc>
      </w:tr>
      <w:tr>
        <w:trPr>
          <w:trHeight w:val="244"/>
        </w:trPr>
        <w:tc>
          <w:tcPr>
            <w:tcW w:w="640" w:type="dxa"/>
            <w:vAlign w:val="bottom"/>
          </w:tcPr>
          <w:p>
            <w:pPr>
              <w:spacing w:after="0"/>
              <w:rPr>
                <w:sz w:val="21"/>
                <w:szCs w:val="21"/>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Todd Stevens</w:t>
            </w:r>
          </w:p>
        </w:tc>
      </w:tr>
      <w:tr>
        <w:trPr>
          <w:trHeight w:val="258"/>
        </w:trPr>
        <w:tc>
          <w:tcPr>
            <w:tcW w:w="640" w:type="dxa"/>
            <w:vAlign w:val="bottom"/>
          </w:tcPr>
          <w:p>
            <w:pPr>
              <w:spacing w:after="0"/>
              <w:rPr>
                <w:sz w:val="22"/>
                <w:szCs w:val="22"/>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4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Authorized Signatory</w:t>
            </w:r>
          </w:p>
        </w:tc>
      </w:tr>
    </w:tbl>
    <w:p>
      <w:pPr>
        <w:spacing w:after="0" w:line="200" w:lineRule="exact"/>
        <w:rPr>
          <w:sz w:val="20"/>
          <w:szCs w:val="20"/>
          <w:color w:val="auto"/>
        </w:rPr>
      </w:pPr>
    </w:p>
    <w:p>
      <w:pPr>
        <w:spacing w:after="0" w:line="23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[No further text on this page; 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0"/>
          <w:szCs w:val="20"/>
          <w:color w:val="auto"/>
        </w:rPr>
        <w:t>[Signature Page to A&amp;R LLC Agreement of Fig Six Mortgage LLC]</w:t>
      </w:r>
    </w:p>
    <w:p>
      <w:pPr>
        <w:sectPr>
          <w:pgSz w:w="11900" w:h="16838" w:orient="portrait"/>
          <w:cols w:equalWidth="0" w:num="1">
            <w:col w:w="10120"/>
          </w:cols>
          <w:pgMar w:left="1440" w:top="1440" w:right="339" w:bottom="1440" w:gutter="0" w:footer="0" w:header="0"/>
        </w:sectPr>
      </w:pPr>
    </w:p>
    <w:bookmarkStart w:id="446" w:name="page447"/>
    <w:bookmarkEnd w:id="446"/>
    <w:p>
      <w:pPr>
        <w:spacing w:after="0" w:line="2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40"/>
        <w:spacing w:after="0"/>
        <w:tabs>
          <w:tab w:leader="none" w:pos="5060" w:val="left"/>
        </w:tabs>
        <w:rPr>
          <w:sz w:val="20"/>
          <w:szCs w:val="20"/>
          <w:color w:val="auto"/>
        </w:rPr>
      </w:pPr>
      <w:r>
        <w:rPr>
          <w:rFonts w:ascii="Times New Roman" w:cs="Times New Roman" w:eastAsia="Times New Roman" w:hAnsi="Times New Roman"/>
          <w:sz w:val="20"/>
          <w:szCs w:val="20"/>
          <w:color w:val="auto"/>
        </w:rPr>
        <w:t>By:</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20"/>
        <w:spacing w:after="0"/>
        <w:tabs>
          <w:tab w:leader="none" w:pos="4520" w:val="left"/>
        </w:tabs>
        <w:rPr>
          <w:sz w:val="20"/>
          <w:szCs w:val="20"/>
          <w:color w:val="auto"/>
        </w:rPr>
      </w:pPr>
      <w:r>
        <w:rPr>
          <w:rFonts w:ascii="Times New Roman" w:cs="Times New Roman" w:eastAsia="Times New Roman" w:hAnsi="Times New Roman"/>
          <w:sz w:val="20"/>
          <w:szCs w:val="20"/>
          <w:color w:val="auto"/>
        </w:rPr>
        <w:t>By:</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22860</wp:posOffset>
            </wp:positionV>
            <wp:extent cx="34632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A&amp;R LLC Agreement of Fig Six Mortgage LLC]</w:t>
      </w:r>
    </w:p>
    <w:p>
      <w:pPr>
        <w:sectPr>
          <w:pgSz w:w="11900" w:h="16838" w:orient="portrait"/>
          <w:cols w:equalWidth="0" w:num="1">
            <w:col w:w="9019"/>
          </w:cols>
          <w:pgMar w:left="1440" w:top="1440" w:right="1440" w:bottom="1440" w:gutter="0" w:footer="0" w:header="0"/>
        </w:sectPr>
      </w:pPr>
    </w:p>
    <w:bookmarkStart w:id="447" w:name="page448"/>
    <w:bookmarkEnd w:id="447"/>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780" w:type="dxa"/>
            <w:vAlign w:val="bottom"/>
            <w:tcBorders>
              <w:top w:val="single" w:sz="8" w:color="auto"/>
              <w:left w:val="single" w:sz="8" w:color="auto"/>
              <w:right w:val="single" w:sz="8" w:color="auto"/>
            </w:tcBorders>
            <w:gridSpan w:val="3"/>
          </w:tcPr>
          <w:p>
            <w:pPr>
              <w:ind w:left="1080"/>
              <w:spacing w:after="0"/>
              <w:rPr>
                <w:sz w:val="20"/>
                <w:szCs w:val="20"/>
                <w:color w:val="auto"/>
              </w:rPr>
            </w:pPr>
            <w:r>
              <w:rPr>
                <w:rFonts w:ascii="Times New Roman" w:cs="Times New Roman" w:eastAsia="Times New Roman" w:hAnsi="Times New Roman"/>
                <w:sz w:val="20"/>
                <w:szCs w:val="20"/>
                <w:b w:val="1"/>
                <w:bCs w:val="1"/>
                <w:color w:val="auto"/>
              </w:rPr>
              <w:t>Name and Address</w:t>
            </w:r>
          </w:p>
        </w:tc>
        <w:tc>
          <w:tcPr>
            <w:tcW w:w="760" w:type="dxa"/>
            <w:vAlign w:val="bottom"/>
            <w:tcBorders>
              <w:top w:val="single" w:sz="8" w:color="auto"/>
            </w:tcBorders>
          </w:tcPr>
          <w:p>
            <w:pPr>
              <w:spacing w:after="0"/>
              <w:rPr>
                <w:sz w:val="19"/>
                <w:szCs w:val="19"/>
                <w:color w:val="auto"/>
              </w:rPr>
            </w:pPr>
          </w:p>
        </w:tc>
        <w:tc>
          <w:tcPr>
            <w:tcW w:w="2960" w:type="dxa"/>
            <w:vAlign w:val="bottom"/>
            <w:tcBorders>
              <w:top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20"/>
                <w:szCs w:val="20"/>
                <w:b w:val="1"/>
                <w:bCs w:val="1"/>
                <w:color w:val="auto"/>
              </w:rPr>
              <w:t>Capital Contribution and</w:t>
            </w:r>
          </w:p>
        </w:tc>
        <w:tc>
          <w:tcPr>
            <w:tcW w:w="3760" w:type="dxa"/>
            <w:vAlign w:val="bottom"/>
            <w:tcBorders>
              <w:top w:val="single" w:sz="8" w:color="auto"/>
              <w:right w:val="single" w:sz="8" w:color="auto"/>
            </w:tcBorders>
            <w:gridSpan w:val="3"/>
          </w:tcPr>
          <w:p>
            <w:pPr>
              <w:ind w:left="1020"/>
              <w:spacing w:after="0"/>
              <w:rPr>
                <w:sz w:val="20"/>
                <w:szCs w:val="20"/>
                <w:color w:val="auto"/>
              </w:rPr>
            </w:pPr>
            <w:r>
              <w:rPr>
                <w:rFonts w:ascii="Times New Roman" w:cs="Times New Roman" w:eastAsia="Times New Roman" w:hAnsi="Times New Roman"/>
                <w:sz w:val="20"/>
                <w:szCs w:val="20"/>
                <w:b w:val="1"/>
                <w:bCs w:val="1"/>
                <w:color w:val="auto"/>
              </w:rPr>
              <w:t>Percentage Interests</w:t>
            </w:r>
          </w:p>
        </w:tc>
      </w:tr>
      <w:tr>
        <w:trPr>
          <w:trHeight w:val="20"/>
        </w:trPr>
        <w:tc>
          <w:tcPr>
            <w:tcW w:w="1080" w:type="dxa"/>
            <w:vAlign w:val="bottom"/>
            <w:tcBorders>
              <w:left w:val="single" w:sz="8" w:color="auto"/>
            </w:tcBorders>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r>
      <w:tr>
        <w:trPr>
          <w:trHeight w:val="209"/>
        </w:trPr>
        <w:tc>
          <w:tcPr>
            <w:tcW w:w="1080" w:type="dxa"/>
            <w:vAlign w:val="bottom"/>
            <w:tcBorders>
              <w:lef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960" w:type="dxa"/>
            <w:vAlign w:val="bottom"/>
            <w:tcBorders>
              <w:right w:val="single" w:sz="8" w:color="auto"/>
            </w:tcBorders>
            <w:gridSpan w:val="6"/>
          </w:tcPr>
          <w:p>
            <w:pPr>
              <w:ind w:left="200"/>
              <w:spacing w:after="0" w:line="209" w:lineRule="exact"/>
              <w:rPr>
                <w:sz w:val="20"/>
                <w:szCs w:val="20"/>
                <w:color w:val="auto"/>
              </w:rPr>
            </w:pPr>
            <w:r>
              <w:rPr>
                <w:rFonts w:ascii="Times New Roman" w:cs="Times New Roman" w:eastAsia="Times New Roman" w:hAnsi="Times New Roman"/>
                <w:sz w:val="20"/>
                <w:szCs w:val="20"/>
                <w:b w:val="1"/>
                <w:bCs w:val="1"/>
                <w:color w:val="auto"/>
              </w:rPr>
              <w:t>Capital Contribution Cap</w:t>
            </w:r>
          </w:p>
        </w:tc>
        <w:tc>
          <w:tcPr>
            <w:tcW w:w="1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61"/>
        </w:trPr>
        <w:tc>
          <w:tcPr>
            <w:tcW w:w="1080" w:type="dxa"/>
            <w:vAlign w:val="bottom"/>
            <w:tcBorders>
              <w:left w:val="single" w:sz="8" w:color="auto"/>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40" w:type="dxa"/>
            <w:vAlign w:val="bottom"/>
            <w:tcBorders>
              <w:top w:val="single" w:sz="8" w:color="auto"/>
              <w:bottom w:val="single" w:sz="8" w:color="auto"/>
            </w:tcBorders>
          </w:tcPr>
          <w:p>
            <w:pPr>
              <w:spacing w:after="0"/>
              <w:rPr>
                <w:sz w:val="5"/>
                <w:szCs w:val="5"/>
                <w:color w:val="auto"/>
              </w:rPr>
            </w:pPr>
          </w:p>
        </w:tc>
        <w:tc>
          <w:tcPr>
            <w:tcW w:w="820" w:type="dxa"/>
            <w:vAlign w:val="bottom"/>
            <w:tcBorders>
              <w:top w:val="single" w:sz="8" w:color="auto"/>
              <w:bottom w:val="single" w:sz="8" w:color="auto"/>
            </w:tcBorders>
          </w:tcPr>
          <w:p>
            <w:pPr>
              <w:spacing w:after="0"/>
              <w:rPr>
                <w:sz w:val="5"/>
                <w:szCs w:val="5"/>
                <w:color w:val="auto"/>
              </w:rPr>
            </w:pPr>
          </w:p>
        </w:tc>
        <w:tc>
          <w:tcPr>
            <w:tcW w:w="500" w:type="dxa"/>
            <w:vAlign w:val="bottom"/>
            <w:tcBorders>
              <w:top w:val="single" w:sz="8" w:color="auto"/>
              <w:bottom w:val="single" w:sz="8" w:color="auto"/>
            </w:tcBorders>
          </w:tcPr>
          <w:p>
            <w:pPr>
              <w:spacing w:after="0"/>
              <w:rPr>
                <w:sz w:val="5"/>
                <w:szCs w:val="5"/>
                <w:color w:val="auto"/>
              </w:rPr>
            </w:pPr>
          </w:p>
        </w:tc>
        <w:tc>
          <w:tcPr>
            <w:tcW w:w="220" w:type="dxa"/>
            <w:vAlign w:val="bottom"/>
            <w:tcBorders>
              <w:top w:val="single" w:sz="8" w:color="auto"/>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50"/>
        </w:trPr>
        <w:tc>
          <w:tcPr>
            <w:tcW w:w="1080" w:type="dxa"/>
            <w:vAlign w:val="bottom"/>
            <w:tcBorders>
              <w:left w:val="single" w:sz="8" w:color="auto"/>
              <w:bottom w:val="single" w:sz="8" w:color="auto"/>
            </w:tcBorders>
            <w:shd w:val="clear" w:color="auto" w:fill="BFBFBF"/>
          </w:tcPr>
          <w:p>
            <w:pPr>
              <w:spacing w:after="0"/>
              <w:rPr>
                <w:sz w:val="21"/>
                <w:szCs w:val="21"/>
                <w:color w:val="auto"/>
              </w:rPr>
            </w:pPr>
          </w:p>
        </w:tc>
        <w:tc>
          <w:tcPr>
            <w:tcW w:w="1600" w:type="dxa"/>
            <w:vAlign w:val="bottom"/>
            <w:tcBorders>
              <w:bottom w:val="single" w:sz="8" w:color="auto"/>
            </w:tcBorders>
            <w:shd w:val="clear" w:color="auto" w:fill="BFBFBF"/>
          </w:tcPr>
          <w:p>
            <w:pPr>
              <w:spacing w:after="0"/>
              <w:rPr>
                <w:sz w:val="21"/>
                <w:szCs w:val="21"/>
                <w:color w:val="auto"/>
              </w:rPr>
            </w:pPr>
          </w:p>
        </w:tc>
        <w:tc>
          <w:tcPr>
            <w:tcW w:w="1100" w:type="dxa"/>
            <w:vAlign w:val="bottom"/>
            <w:tcBorders>
              <w:bottom w:val="single" w:sz="8" w:color="auto"/>
              <w:right w:val="single" w:sz="8" w:color="BFBFBF"/>
            </w:tcBorders>
            <w:shd w:val="clear" w:color="auto" w:fill="BFBFBF"/>
          </w:tcPr>
          <w:p>
            <w:pPr>
              <w:spacing w:after="0"/>
              <w:rPr>
                <w:sz w:val="21"/>
                <w:szCs w:val="21"/>
                <w:color w:val="auto"/>
              </w:rPr>
            </w:pPr>
          </w:p>
        </w:tc>
        <w:tc>
          <w:tcPr>
            <w:tcW w:w="760" w:type="dxa"/>
            <w:vAlign w:val="bottom"/>
            <w:tcBorders>
              <w:bottom w:val="single" w:sz="8" w:color="auto"/>
            </w:tcBorders>
            <w:shd w:val="clear" w:color="auto" w:fill="BFBFBF"/>
          </w:tcPr>
          <w:p>
            <w:pPr>
              <w:spacing w:after="0"/>
              <w:rPr>
                <w:sz w:val="21"/>
                <w:szCs w:val="21"/>
                <w:color w:val="auto"/>
              </w:rPr>
            </w:pPr>
          </w:p>
        </w:tc>
        <w:tc>
          <w:tcPr>
            <w:tcW w:w="200" w:type="dxa"/>
            <w:vAlign w:val="bottom"/>
            <w:tcBorders>
              <w:bottom w:val="single" w:sz="8" w:color="auto"/>
            </w:tcBorders>
            <w:shd w:val="clear" w:color="auto" w:fill="BFBFBF"/>
          </w:tcPr>
          <w:p>
            <w:pPr>
              <w:spacing w:after="0"/>
              <w:rPr>
                <w:sz w:val="21"/>
                <w:szCs w:val="21"/>
                <w:color w:val="auto"/>
              </w:rPr>
            </w:pPr>
          </w:p>
        </w:tc>
        <w:tc>
          <w:tcPr>
            <w:tcW w:w="2760" w:type="dxa"/>
            <w:vAlign w:val="bottom"/>
            <w:tcBorders>
              <w:bottom w:val="single" w:sz="8" w:color="auto"/>
              <w:right w:val="single" w:sz="8" w:color="BFBFBF"/>
            </w:tcBorders>
            <w:gridSpan w:val="5"/>
            <w:shd w:val="clear" w:color="auto" w:fill="BFBFBF"/>
          </w:tcPr>
          <w:p>
            <w:pPr>
              <w:ind w:left="640"/>
              <w:spacing w:after="0" w:line="196" w:lineRule="exact"/>
              <w:rPr>
                <w:sz w:val="20"/>
                <w:szCs w:val="20"/>
                <w:color w:val="auto"/>
              </w:rPr>
            </w:pPr>
            <w:r>
              <w:rPr>
                <w:rFonts w:ascii="Times New Roman" w:cs="Times New Roman" w:eastAsia="Times New Roman" w:hAnsi="Times New Roman"/>
                <w:sz w:val="20"/>
                <w:szCs w:val="20"/>
                <w:b w:val="1"/>
                <w:bCs w:val="1"/>
                <w:color w:val="auto"/>
              </w:rPr>
              <w:t>Members</w:t>
            </w:r>
          </w:p>
        </w:tc>
        <w:tc>
          <w:tcPr>
            <w:tcW w:w="1020" w:type="dxa"/>
            <w:vAlign w:val="bottom"/>
            <w:tcBorders>
              <w:bottom w:val="single" w:sz="8" w:color="auto"/>
            </w:tcBorders>
            <w:shd w:val="clear" w:color="auto" w:fill="BFBFBF"/>
          </w:tcPr>
          <w:p>
            <w:pPr>
              <w:spacing w:after="0"/>
              <w:rPr>
                <w:sz w:val="21"/>
                <w:szCs w:val="21"/>
                <w:color w:val="auto"/>
              </w:rPr>
            </w:pPr>
          </w:p>
        </w:tc>
        <w:tc>
          <w:tcPr>
            <w:tcW w:w="1700" w:type="dxa"/>
            <w:vAlign w:val="bottom"/>
            <w:tcBorders>
              <w:bottom w:val="single" w:sz="8" w:color="auto"/>
            </w:tcBorders>
            <w:shd w:val="clear" w:color="auto" w:fill="BFBFBF"/>
          </w:tcPr>
          <w:p>
            <w:pPr>
              <w:spacing w:after="0"/>
              <w:rPr>
                <w:sz w:val="21"/>
                <w:szCs w:val="21"/>
                <w:color w:val="auto"/>
              </w:rPr>
            </w:pPr>
          </w:p>
        </w:tc>
        <w:tc>
          <w:tcPr>
            <w:tcW w:w="1040" w:type="dxa"/>
            <w:vAlign w:val="bottom"/>
            <w:tcBorders>
              <w:bottom w:val="single" w:sz="8" w:color="auto"/>
              <w:right w:val="single" w:sz="8" w:color="auto"/>
            </w:tcBorders>
            <w:shd w:val="clear" w:color="auto" w:fill="BFBFBF"/>
          </w:tcPr>
          <w:p>
            <w:pPr>
              <w:spacing w:after="0"/>
              <w:rPr>
                <w:sz w:val="21"/>
                <w:szCs w:val="21"/>
                <w:color w:val="auto"/>
              </w:rPr>
            </w:pPr>
          </w:p>
        </w:tc>
      </w:tr>
      <w:tr>
        <w:trPr>
          <w:trHeight w:val="256"/>
        </w:trPr>
        <w:tc>
          <w:tcPr>
            <w:tcW w:w="10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spacing w:after="0"/>
              <w:rPr>
                <w:sz w:val="22"/>
                <w:szCs w:val="22"/>
                <w:color w:val="auto"/>
              </w:rPr>
            </w:pPr>
          </w:p>
        </w:tc>
        <w:tc>
          <w:tcPr>
            <w:tcW w:w="1100" w:type="dxa"/>
            <w:vAlign w:val="bottom"/>
            <w:tcBorders>
              <w:right w:val="single" w:sz="8" w:color="auto"/>
            </w:tcBorders>
          </w:tcPr>
          <w:p>
            <w:pPr>
              <w:spacing w:after="0"/>
              <w:rPr>
                <w:sz w:val="22"/>
                <w:szCs w:val="22"/>
                <w:color w:val="auto"/>
              </w:rPr>
            </w:pPr>
          </w:p>
        </w:tc>
        <w:tc>
          <w:tcPr>
            <w:tcW w:w="7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2"/>
              </w:rPr>
              <w:t>[***]</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Percentage Interest: --</w:t>
            </w:r>
          </w:p>
        </w:tc>
      </w:tr>
      <w:tr>
        <w:trPr>
          <w:trHeight w:val="34"/>
        </w:trPr>
        <w:tc>
          <w:tcPr>
            <w:tcW w:w="1080" w:type="dxa"/>
            <w:vAlign w:val="bottom"/>
            <w:tcBorders>
              <w:left w:val="single" w:sz="8" w:color="auto"/>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227"/>
        </w:trPr>
        <w:tc>
          <w:tcPr>
            <w:tcW w:w="3780" w:type="dxa"/>
            <w:vAlign w:val="bottom"/>
            <w:tcBorders>
              <w:left w:val="single" w:sz="8" w:color="auto"/>
              <w:right w:val="single" w:sz="8" w:color="auto"/>
            </w:tcBorders>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Fig SSP Member LLC</w:t>
            </w:r>
          </w:p>
        </w:tc>
        <w:tc>
          <w:tcPr>
            <w:tcW w:w="760" w:type="dxa"/>
            <w:vAlign w:val="bottom"/>
          </w:tcPr>
          <w:p>
            <w:pPr>
              <w:jc w:val="right"/>
              <w:ind w:right="241"/>
              <w:spacing w:after="0" w:line="228" w:lineRule="exact"/>
              <w:rPr>
                <w:sz w:val="20"/>
                <w:szCs w:val="20"/>
                <w:color w:val="auto"/>
              </w:rPr>
            </w:pPr>
            <w:r>
              <w:rPr>
                <w:rFonts w:ascii="Times New Roman" w:cs="Times New Roman" w:eastAsia="Times New Roman" w:hAnsi="Times New Roman"/>
                <w:sz w:val="20"/>
                <w:szCs w:val="20"/>
                <w:color w:val="auto"/>
                <w:w w:val="92"/>
              </w:rPr>
              <w:t>[***]</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3760" w:type="dxa"/>
            <w:vAlign w:val="bottom"/>
            <w:tcBorders>
              <w:right w:val="single" w:sz="8" w:color="auto"/>
            </w:tcBorders>
            <w:gridSpan w:val="3"/>
          </w:tcPr>
          <w:p>
            <w:pPr>
              <w:ind w:left="20"/>
              <w:spacing w:after="0" w:line="228" w:lineRule="exact"/>
              <w:rPr>
                <w:sz w:val="20"/>
                <w:szCs w:val="20"/>
                <w:color w:val="auto"/>
              </w:rPr>
            </w:pPr>
            <w:r>
              <w:rPr>
                <w:rFonts w:ascii="Times New Roman" w:cs="Times New Roman" w:eastAsia="Times New Roman" w:hAnsi="Times New Roman"/>
                <w:sz w:val="20"/>
                <w:szCs w:val="20"/>
                <w:color w:val="auto"/>
              </w:rPr>
              <w:t>Percentage Interest: ---</w:t>
            </w:r>
          </w:p>
        </w:tc>
      </w:tr>
      <w:tr>
        <w:trPr>
          <w:trHeight w:val="243"/>
        </w:trPr>
        <w:tc>
          <w:tcPr>
            <w:tcW w:w="10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0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r>
      <w:tr>
        <w:trPr>
          <w:trHeight w:val="230"/>
        </w:trPr>
        <w:tc>
          <w:tcPr>
            <w:tcW w:w="37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with a copy to (other than for Material</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r>
      <w:tr>
        <w:trPr>
          <w:trHeight w:val="243"/>
        </w:trPr>
        <w:tc>
          <w:tcPr>
            <w:tcW w:w="37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Decisions and other notices relating to day-to-</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0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r>
      <w:tr>
        <w:trPr>
          <w:trHeight w:val="258"/>
        </w:trPr>
        <w:tc>
          <w:tcPr>
            <w:tcW w:w="37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day operations):</w:t>
            </w: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417"/>
        </w:trPr>
        <w:tc>
          <w:tcPr>
            <w:tcW w:w="37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Goodwin Procter LLP</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r>
      <w:tr>
        <w:trPr>
          <w:trHeight w:val="258"/>
        </w:trPr>
        <w:tc>
          <w:tcPr>
            <w:tcW w:w="10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spacing w:after="0"/>
              <w:rPr>
                <w:sz w:val="22"/>
                <w:szCs w:val="22"/>
                <w:color w:val="auto"/>
              </w:rPr>
            </w:pPr>
          </w:p>
        </w:tc>
        <w:tc>
          <w:tcPr>
            <w:tcW w:w="1100" w:type="dxa"/>
            <w:vAlign w:val="bottom"/>
            <w:tcBorders>
              <w:right w:val="single" w:sz="8" w:color="auto"/>
            </w:tcBorders>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35"/>
        </w:trPr>
        <w:tc>
          <w:tcPr>
            <w:tcW w:w="1080" w:type="dxa"/>
            <w:vAlign w:val="bottom"/>
            <w:tcBorders>
              <w:left w:val="single" w:sz="8" w:color="auto"/>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Exhibit A to A&amp;R LLC Agreement of Fig Six Mortgage LLC</w:t>
      </w:r>
    </w:p>
    <w:p>
      <w:pPr>
        <w:sectPr>
          <w:pgSz w:w="11900" w:h="16838" w:orient="portrait"/>
          <w:cols w:equalWidth="0" w:num="1">
            <w:col w:w="11260"/>
          </w:cols>
          <w:pgMar w:left="320" w:top="1409" w:right="319" w:bottom="1440" w:gutter="0" w:footer="0" w:header="0"/>
        </w:sectPr>
      </w:pPr>
    </w:p>
    <w:bookmarkStart w:id="448" w:name="page449"/>
    <w:bookmarkEnd w:id="44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Management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Exhibit B to A&amp;R LLC Agreement of Fig Six Mortgage LLC</w:t>
      </w:r>
    </w:p>
    <w:p>
      <w:pPr>
        <w:sectPr>
          <w:pgSz w:w="11900" w:h="16838" w:orient="portrait"/>
          <w:cols w:equalWidth="0" w:num="1">
            <w:col w:w="9019"/>
          </w:cols>
          <w:pgMar w:left="1440" w:top="1409" w:right="1440" w:bottom="1440" w:gutter="0" w:footer="0" w:header="0"/>
        </w:sectPr>
      </w:pPr>
    </w:p>
    <w:bookmarkStart w:id="449" w:name="page450"/>
    <w:bookmarkEnd w:id="44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of Capital Call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Exhibit C to A&amp;R LLC Agreement of Fig Six Mortgage LLC</w:t>
      </w:r>
    </w:p>
    <w:p>
      <w:pPr>
        <w:sectPr>
          <w:pgSz w:w="11900" w:h="16838" w:orient="portrait"/>
          <w:cols w:equalWidth="0" w:num="1">
            <w:col w:w="9019"/>
          </w:cols>
          <w:pgMar w:left="1440" w:top="1409" w:right="1440" w:bottom="1440" w:gutter="0" w:footer="0" w:header="0"/>
        </w:sectPr>
      </w:pPr>
    </w:p>
    <w:bookmarkStart w:id="450" w:name="page451"/>
    <w:bookmarkEnd w:id="450"/>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Annex I</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Company Wire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Exhibit C to A&amp;R LLC Agreement of Fig Six Mortgage LLC</w:t>
      </w:r>
    </w:p>
    <w:p>
      <w:pPr>
        <w:sectPr>
          <w:pgSz w:w="11900" w:h="16838" w:orient="portrait"/>
          <w:cols w:equalWidth="0" w:num="1">
            <w:col w:w="9019"/>
          </w:cols>
          <w:pgMar w:left="1440" w:top="1413" w:right="1440" w:bottom="1440" w:gutter="0" w:footer="0" w:header="0"/>
        </w:sectPr>
      </w:pPr>
    </w:p>
    <w:bookmarkStart w:id="451" w:name="page452"/>
    <w:bookmarkEnd w:id="451"/>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SECOND AMENDED AND RESTATED TERM NOTE</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color w:val="auto"/>
        </w:rPr>
        <w:t>THIS NOTE HAS NOT BEEN REGISTERED UNDER THE SECURITIES ACT OF 1933, AS AMENDED, OR ANY COMPARABLE STATE SECURITIES LAW. EXCEPT AS EXPRESSLY PROVIDED HEREIN, NEITHER THIS NOTE NOR ANY PORTION HEREOF OR INTEREST HEREIN MAY BE SOLD, ASSIGNED, TRANSFERRED, PLEDGED OR OTHERWISE DISPOSED OF UNLESS THE SAME IS REGISTERED UNDER SAID ACT AND APPLICABLE STATE SECURITIES LAWS OR UNLESS AN EXEMPTION FROM SUCH REGISTRATION IS AVAILABLE.</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SECOND AMENDED AND RESTATED TERM NOTE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June 12, 2023</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$9,149,559</w:t>
            </w:r>
          </w:p>
        </w:tc>
      </w:tr>
    </w:tbl>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Provenance Blockchain Foundation Inc., a non-stock corporation organized under the laws of Delaware (and its successors and assigns,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hereby promises to pay to Figure Technologies, Inc. (and its successors and assigns, the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the principal amount of NINE MILLION ONE- HUNDRED FORTY-NINE-THOUSAND FIVE-HUNDRED AND FIFTY-NINE DOLLARS ($9,149,559) or, if less, the aggregate outstanding principal sum of the Loans (as defined below) made by the Lender to the Borrower under this Second Amended and Restated Term Note (as amended, restated, supplemented or otherwise modified from time to time, this “</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in cash, together with interest added to such principal sum or accrued and unpaid, subject to the terms and conditions set forth in this Note in accordance with the provisions of this Note. This Note replaces that certain First Amended and Restated Term Note issued on July 25, 2022 by the Borrower in favor of the Lender in the principal amount of $5,000,000.</w:t>
      </w:r>
    </w:p>
    <w:p>
      <w:pPr>
        <w:spacing w:after="0" w:line="180" w:lineRule="exact"/>
        <w:rPr>
          <w:sz w:val="20"/>
          <w:szCs w:val="20"/>
          <w:color w:val="auto"/>
        </w:rPr>
      </w:pPr>
    </w:p>
    <w:p>
      <w:pPr>
        <w:ind w:left="660" w:hanging="328"/>
        <w:spacing w:after="0"/>
        <w:tabs>
          <w:tab w:leader="none" w:pos="660"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As used in this Note, the following terms shall have the meanings specified below:</w:t>
      </w:r>
    </w:p>
    <w:p>
      <w:pPr>
        <w:spacing w:after="0" w:line="94" w:lineRule="exact"/>
        <w:rPr>
          <w:rFonts w:ascii="Times New Roman" w:cs="Times New Roman" w:eastAsia="Times New Roman" w:hAnsi="Times New Roman"/>
          <w:sz w:val="20"/>
          <w:szCs w:val="20"/>
          <w:color w:val="auto"/>
        </w:rPr>
      </w:pPr>
    </w:p>
    <w:p>
      <w:pPr>
        <w:jc w:val="both"/>
        <w:ind w:left="1620" w:hanging="316"/>
        <w:spacing w:after="0" w:line="268" w:lineRule="auto"/>
        <w:tabs>
          <w:tab w:leader="none" w:pos="1727"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any Person, (a) each officer, director, partner or joint-venturer of such Person (and in the case of any Person that is a limited liability company, each manager and member of such Person), and (b) any other Person that, directly or indirectly, controls, is controlled by or is under common control with such Person.</w:t>
      </w:r>
    </w:p>
    <w:p>
      <w:pPr>
        <w:spacing w:after="0" w:line="53"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Asset Sale</w:t>
      </w:r>
      <w:r>
        <w:rPr>
          <w:rFonts w:ascii="Times New Roman" w:cs="Times New Roman" w:eastAsia="Times New Roman" w:hAnsi="Times New Roman"/>
          <w:sz w:val="20"/>
          <w:szCs w:val="20"/>
          <w:color w:val="auto"/>
        </w:rPr>
        <w:t>” means any single disposition of Property or a series of related dispositions of Property by the Borrower.</w:t>
      </w:r>
    </w:p>
    <w:p>
      <w:pPr>
        <w:spacing w:after="0" w:line="121" w:lineRule="exact"/>
        <w:rPr>
          <w:rFonts w:ascii="Times New Roman" w:cs="Times New Roman" w:eastAsia="Times New Roman" w:hAnsi="Times New Roman"/>
          <w:sz w:val="20"/>
          <w:szCs w:val="20"/>
          <w:color w:val="auto"/>
        </w:rPr>
      </w:pPr>
    </w:p>
    <w:p>
      <w:pPr>
        <w:jc w:val="both"/>
        <w:ind w:left="1620" w:hanging="316"/>
        <w:spacing w:after="0" w:line="261" w:lineRule="auto"/>
        <w:tabs>
          <w:tab w:leader="none" w:pos="1754"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xml:space="preserve">” means title 11 of the United States Code (11 U.S.C. §101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as amended from time to time, and any successor statute and all rules and regulations from time to time promulgated thereunder, and any comparable foreign laws relating to bankruptcy, insolvency or creditors’ rights.</w:t>
      </w:r>
    </w:p>
    <w:p>
      <w:pPr>
        <w:spacing w:after="0" w:line="73" w:lineRule="exact"/>
        <w:rPr>
          <w:rFonts w:ascii="Times New Roman" w:cs="Times New Roman" w:eastAsia="Times New Roman" w:hAnsi="Times New Roman"/>
          <w:sz w:val="20"/>
          <w:szCs w:val="20"/>
          <w:color w:val="auto"/>
        </w:rPr>
      </w:pPr>
    </w:p>
    <w:p>
      <w:pPr>
        <w:ind w:left="1620" w:right="20" w:hanging="316"/>
        <w:spacing w:after="0" w:line="269" w:lineRule="auto"/>
        <w:tabs>
          <w:tab w:leader="none" w:pos="1738"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 day other than Saturday, Sunday or any day on which banks located in the State of New York are authorized or obligated to close.</w:t>
      </w:r>
    </w:p>
    <w:p>
      <w:pPr>
        <w:spacing w:after="0" w:line="64" w:lineRule="exact"/>
        <w:rPr>
          <w:rFonts w:ascii="Times New Roman" w:cs="Times New Roman" w:eastAsia="Times New Roman" w:hAnsi="Times New Roman"/>
          <w:sz w:val="20"/>
          <w:szCs w:val="20"/>
          <w:color w:val="auto"/>
        </w:rPr>
      </w:pPr>
    </w:p>
    <w:p>
      <w:pPr>
        <w:jc w:val="both"/>
        <w:ind w:left="1620" w:hanging="316"/>
        <w:spacing w:after="0" w:line="261" w:lineRule="auto"/>
        <w:tabs>
          <w:tab w:leader="none" w:pos="1740"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Capitalized Lease Obligations</w:t>
      </w:r>
      <w:r>
        <w:rPr>
          <w:rFonts w:ascii="Times New Roman" w:cs="Times New Roman" w:eastAsia="Times New Roman" w:hAnsi="Times New Roman"/>
          <w:sz w:val="20"/>
          <w:szCs w:val="20"/>
          <w:color w:val="auto"/>
        </w:rPr>
        <w:t>” means, with respect to any Person, all rental obligations of such Person which, under GAAP, are or will be required to be capitalized on the books of such Person, in each case taken at the amount thereof accounted for as indebtedness in accordance with such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7" w:right="339" w:bottom="1440" w:gutter="0" w:footer="0" w:header="0"/>
        </w:sectPr>
      </w:pPr>
    </w:p>
    <w:bookmarkStart w:id="452" w:name="page453"/>
    <w:bookmarkEnd w:id="452"/>
    <w:p>
      <w:pPr>
        <w:ind w:left="580" w:hanging="396"/>
        <w:spacing w:after="0"/>
        <w:tabs>
          <w:tab w:leader="none" w:pos="580"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 and any regulations promulgated thereunder.</w:t>
      </w:r>
    </w:p>
    <w:p>
      <w:pPr>
        <w:spacing w:after="0" w:line="94" w:lineRule="exact"/>
        <w:rPr>
          <w:rFonts w:ascii="Times New Roman" w:cs="Times New Roman" w:eastAsia="Times New Roman" w:hAnsi="Times New Roman"/>
          <w:sz w:val="20"/>
          <w:szCs w:val="20"/>
          <w:color w:val="auto"/>
        </w:rPr>
      </w:pPr>
    </w:p>
    <w:p>
      <w:pPr>
        <w:ind w:left="620" w:hanging="436"/>
        <w:spacing w:after="0"/>
        <w:tabs>
          <w:tab w:leader="none" w:pos="620"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has the meaning set forth in Section 3 herein.</w:t>
      </w:r>
    </w:p>
    <w:p>
      <w:pPr>
        <w:spacing w:after="0" w:line="121" w:lineRule="exact"/>
        <w:rPr>
          <w:rFonts w:ascii="Times New Roman" w:cs="Times New Roman" w:eastAsia="Times New Roman" w:hAnsi="Times New Roman"/>
          <w:sz w:val="20"/>
          <w:szCs w:val="20"/>
          <w:color w:val="auto"/>
        </w:rPr>
      </w:pPr>
    </w:p>
    <w:p>
      <w:pPr>
        <w:jc w:val="both"/>
        <w:ind w:left="500" w:hanging="316"/>
        <w:spacing w:after="0" w:line="253" w:lineRule="auto"/>
        <w:tabs>
          <w:tab w:leader="none" w:pos="834"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83" w:lineRule="exact"/>
        <w:rPr>
          <w:rFonts w:ascii="Times New Roman" w:cs="Times New Roman" w:eastAsia="Times New Roman" w:hAnsi="Times New Roman"/>
          <w:sz w:val="20"/>
          <w:szCs w:val="20"/>
          <w:color w:val="auto"/>
        </w:rPr>
      </w:pPr>
    </w:p>
    <w:p>
      <w:pPr>
        <w:jc w:val="both"/>
        <w:ind w:left="500" w:hanging="316"/>
        <w:spacing w:after="0" w:line="253" w:lineRule="auto"/>
        <w:tabs>
          <w:tab w:leader="none" w:pos="574"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any (i) government; (ii) governmental or quasi- governmental authority of any nature (including any governmental agency, branch, department, official or entity and any court or other tribunal or arbitral body (public or private)); or (iii) body exercising, or entitled to exercise, any administrative, executive, judicial, legislative, police, regulatory or taxing authority or power of any nature; or (iv) any Person acting pursuant to a grant of authority from a Governmental Authority, in the case of any of clause (i) through (iv), whether federal, state, provincial, territorial, local, municipal, foreign, supranational or of any other jurisdiction.</w:t>
      </w:r>
    </w:p>
    <w:p>
      <w:pPr>
        <w:spacing w:after="0" w:line="70" w:lineRule="exact"/>
        <w:rPr>
          <w:rFonts w:ascii="Times New Roman" w:cs="Times New Roman" w:eastAsia="Times New Roman" w:hAnsi="Times New Roman"/>
          <w:sz w:val="20"/>
          <w:szCs w:val="20"/>
          <w:color w:val="auto"/>
        </w:rPr>
      </w:pPr>
    </w:p>
    <w:p>
      <w:pPr>
        <w:ind w:left="560" w:hanging="376"/>
        <w:spacing w:after="0"/>
        <w:tabs>
          <w:tab w:leader="none" w:pos="560"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HASH Token</w:t>
      </w:r>
      <w:r>
        <w:rPr>
          <w:rFonts w:ascii="Times New Roman" w:cs="Times New Roman" w:eastAsia="Times New Roman" w:hAnsi="Times New Roman"/>
          <w:sz w:val="20"/>
          <w:szCs w:val="20"/>
          <w:color w:val="auto"/>
        </w:rPr>
        <w:t>” means the digital utility token native to Provenance Blockchain.</w:t>
      </w:r>
    </w:p>
    <w:p>
      <w:pPr>
        <w:spacing w:after="0" w:line="121" w:lineRule="exact"/>
        <w:rPr>
          <w:rFonts w:ascii="Times New Roman" w:cs="Times New Roman" w:eastAsia="Times New Roman" w:hAnsi="Times New Roman"/>
          <w:sz w:val="20"/>
          <w:szCs w:val="20"/>
          <w:color w:val="auto"/>
        </w:rPr>
      </w:pPr>
    </w:p>
    <w:p>
      <w:pPr>
        <w:jc w:val="both"/>
        <w:ind w:left="500" w:hanging="316"/>
        <w:spacing w:after="0" w:line="250" w:lineRule="auto"/>
        <w:tabs>
          <w:tab w:leader="none" w:pos="645"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means, with respect to any Person, at any date, without duplication, (a) all indebtedness for borrowed money, (b) all obligations evidenced by bonds, debentures, notes or other similar instruments, (c) all obligations to pay the deferred purchase price of Property or services, including earnouts or similar payments (other than trade payables incurred in the ordinary course of business), (d) all Capitalized Lease Obligations, (e) the principal balance outstanding under any synthetic lease, tax retention operating lease, off-balance sheet loan or similar off-balance sheet financing product, (f) all amounts required to be paid by such Person by contract and/or as a guaranteed payment (including, without limitation, any such amounts required to be paid to partners and/or as a preferred or special dividend, including any mandatory redemption of shares or interests), (g) all contingent or non-contingent obligations of such Person to reimburse any bank or other Person in respect of amounts paid under a letter of credit, surety bond or other similar instrument, (h) all equity securities of such Person subject to repurchase or redemption other than at the sole option of such Person, (i) all indebtedness secured by a Lien on any asset of such Person, whether or not such indebtedness is an obligation of such Person, and (j) all indebtedness, obligations or liabilities of others guaranteed, endorsed (other than in the ordinary course of business), co-made, discounted with recourse or sale with recourse by such Person or for which such Person is otherwise directly or indirectly liable.</w:t>
      </w:r>
    </w:p>
    <w:p>
      <w:pPr>
        <w:spacing w:after="0" w:line="75" w:lineRule="exact"/>
        <w:rPr>
          <w:rFonts w:ascii="Times New Roman" w:cs="Times New Roman" w:eastAsia="Times New Roman" w:hAnsi="Times New Roman"/>
          <w:sz w:val="20"/>
          <w:szCs w:val="20"/>
          <w:color w:val="auto"/>
        </w:rPr>
      </w:pPr>
    </w:p>
    <w:p>
      <w:pPr>
        <w:jc w:val="both"/>
        <w:ind w:left="500" w:hanging="316"/>
        <w:spacing w:after="0" w:line="258" w:lineRule="auto"/>
        <w:tabs>
          <w:tab w:leader="none" w:pos="804"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any mortgage, deed of trust, pledge, hypothecation, assignment, charge, deposit arrangement, encumbrance, easement, lien (statutory or otherwise), security interest or other security arrangement and any other preference, priority or preferential arrangement of any kind or nature whatsoever, including any conditional sale contract or other title retention agreement, the interest of a lessor under a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120"/>
          </w:cols>
          <w:pgMar w:left="1440" w:top="1426" w:right="339" w:bottom="1440" w:gutter="0" w:footer="0" w:header="0"/>
        </w:sectPr>
      </w:pPr>
    </w:p>
    <w:bookmarkStart w:id="453" w:name="page454"/>
    <w:bookmarkEnd w:id="453"/>
    <w:p>
      <w:pPr>
        <w:ind w:left="500"/>
        <w:spacing w:after="0"/>
        <w:rPr>
          <w:sz w:val="20"/>
          <w:szCs w:val="20"/>
          <w:color w:val="auto"/>
        </w:rPr>
      </w:pPr>
      <w:r>
        <w:rPr>
          <w:rFonts w:ascii="Times New Roman" w:cs="Times New Roman" w:eastAsia="Times New Roman" w:hAnsi="Times New Roman"/>
          <w:sz w:val="20"/>
          <w:szCs w:val="20"/>
          <w:color w:val="auto"/>
        </w:rPr>
        <w:t>lease and any synthetic or other financing lease having substantially the same economic effect as any of the foregoing.</w:t>
      </w:r>
    </w:p>
    <w:p>
      <w:pPr>
        <w:spacing w:after="0" w:line="121" w:lineRule="exact"/>
        <w:rPr>
          <w:sz w:val="20"/>
          <w:szCs w:val="20"/>
          <w:color w:val="auto"/>
        </w:rPr>
      </w:pPr>
    </w:p>
    <w:p>
      <w:pPr>
        <w:ind w:left="660" w:hanging="476"/>
        <w:spacing w:after="0"/>
        <w:tabs>
          <w:tab w:leader="none" w:pos="660"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herein.</w:t>
      </w:r>
    </w:p>
    <w:p>
      <w:pPr>
        <w:spacing w:after="0" w:line="107" w:lineRule="exact"/>
        <w:rPr>
          <w:rFonts w:ascii="Times New Roman" w:cs="Times New Roman" w:eastAsia="Times New Roman" w:hAnsi="Times New Roman"/>
          <w:sz w:val="20"/>
          <w:szCs w:val="20"/>
          <w:color w:val="auto"/>
        </w:rPr>
      </w:pPr>
    </w:p>
    <w:p>
      <w:pPr>
        <w:jc w:val="both"/>
        <w:ind w:left="500" w:hanging="316"/>
        <w:spacing w:after="0" w:line="258" w:lineRule="auto"/>
        <w:tabs>
          <w:tab w:leader="none" w:pos="632"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material adverse effect on any of (a) the operations, business, assets, properties, or condition (financial or otherwise) of the Borrower, (b) the ability of the Borrower and its subsidiaries, taken as a whole to perform any of its obligations under any Note Document to which it is a party, (c) the legality, validity or enforceability of any Note Document or (d) the rights and remedies of the Lender under any Loan Document.</w:t>
      </w:r>
    </w:p>
    <w:p>
      <w:pPr>
        <w:spacing w:after="0" w:line="77" w:lineRule="exact"/>
        <w:rPr>
          <w:rFonts w:ascii="Times New Roman" w:cs="Times New Roman" w:eastAsia="Times New Roman" w:hAnsi="Times New Roman"/>
          <w:sz w:val="20"/>
          <w:szCs w:val="20"/>
          <w:color w:val="auto"/>
        </w:rPr>
      </w:pPr>
    </w:p>
    <w:p>
      <w:pPr>
        <w:ind w:left="620" w:hanging="436"/>
        <w:spacing w:after="0"/>
        <w:tabs>
          <w:tab w:leader="none" w:pos="620"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has the meaning set forth in Section 3 herein.</w:t>
      </w:r>
    </w:p>
    <w:p>
      <w:pPr>
        <w:spacing w:after="0" w:line="94" w:lineRule="exact"/>
        <w:rPr>
          <w:rFonts w:ascii="Times New Roman" w:cs="Times New Roman" w:eastAsia="Times New Roman" w:hAnsi="Times New Roman"/>
          <w:sz w:val="20"/>
          <w:szCs w:val="20"/>
          <w:color w:val="auto"/>
        </w:rPr>
      </w:pPr>
    </w:p>
    <w:p>
      <w:pPr>
        <w:ind w:left="500" w:hanging="316"/>
        <w:spacing w:after="0" w:line="269" w:lineRule="auto"/>
        <w:tabs>
          <w:tab w:leader="none" w:pos="618"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Loan Amount</w:t>
      </w:r>
      <w:r>
        <w:rPr>
          <w:rFonts w:ascii="Times New Roman" w:cs="Times New Roman" w:eastAsia="Times New Roman" w:hAnsi="Times New Roman"/>
          <w:sz w:val="20"/>
          <w:szCs w:val="20"/>
          <w:color w:val="auto"/>
        </w:rPr>
        <w:t>” means an aggregate principal amount not to exceed Nine Million One-Hundred Forty-Nine Thousand Five-Hundred and Fifty-Nine Dollars ($9,149,559) at any one time.</w:t>
      </w:r>
    </w:p>
    <w:p>
      <w:pPr>
        <w:spacing w:after="0" w:line="51" w:lineRule="exact"/>
        <w:rPr>
          <w:rFonts w:ascii="Times New Roman" w:cs="Times New Roman" w:eastAsia="Times New Roman" w:hAnsi="Times New Roman"/>
          <w:sz w:val="20"/>
          <w:szCs w:val="20"/>
          <w:color w:val="auto"/>
        </w:rPr>
      </w:pPr>
    </w:p>
    <w:p>
      <w:pPr>
        <w:jc w:val="both"/>
        <w:ind w:left="500" w:hanging="316"/>
        <w:spacing w:after="0" w:line="253" w:lineRule="auto"/>
        <w:tabs>
          <w:tab w:leader="none" w:pos="632"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 Documents</w:t>
      </w:r>
      <w:r>
        <w:rPr>
          <w:rFonts w:ascii="Times New Roman" w:cs="Times New Roman" w:eastAsia="Times New Roman" w:hAnsi="Times New Roman"/>
          <w:sz w:val="20"/>
          <w:szCs w:val="20"/>
          <w:color w:val="auto"/>
        </w:rPr>
        <w:t>” means this Note and each other document, note, instrument or agreement entered into or delivered by the Borrower in connection therewith, as amended, restated, modified, renewed, refunded, replaced, or refinanced in whole or in part from time to time as permitted under this Note and any other agreement extending the maturity of, consolidating, otherwise restructuring, renewing, replacing or refinancing all or any portion of the Indebtedness owed to the Lender pursuant to this Note.</w:t>
      </w:r>
    </w:p>
    <w:p>
      <w:pPr>
        <w:spacing w:after="0" w:line="56" w:lineRule="exact"/>
        <w:rPr>
          <w:rFonts w:ascii="Times New Roman" w:cs="Times New Roman" w:eastAsia="Times New Roman" w:hAnsi="Times New Roman"/>
          <w:sz w:val="20"/>
          <w:szCs w:val="20"/>
          <w:color w:val="auto"/>
        </w:rPr>
      </w:pPr>
    </w:p>
    <w:p>
      <w:pPr>
        <w:jc w:val="both"/>
        <w:ind w:left="500" w:hanging="316"/>
        <w:spacing w:after="0" w:line="253" w:lineRule="auto"/>
        <w:tabs>
          <w:tab w:leader="none" w:pos="599"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all Indebtedness and all other obligations and liabilities of any kind whatsoever at any time owed by the Borrower to the Lender under the Note Documents, whether for principal, interest, fees, reimbursements or other sums, and whether or not such amounts accrue after the filing of any petition in bankruptcy or after the commencement of any insolvency, reorganization or similar proceeding, and whether or not allowed in such case or proceeding, whether direct or indirect (including those acquired by assignment), absolute or contingent, due or to become due, now existing or hereafter arising and howsoever acquired, and whether or not evidenced by any instrument or for the payment of any money.</w:t>
      </w:r>
    </w:p>
    <w:p>
      <w:pPr>
        <w:spacing w:after="0" w:line="57" w:lineRule="exact"/>
        <w:rPr>
          <w:rFonts w:ascii="Times New Roman" w:cs="Times New Roman" w:eastAsia="Times New Roman" w:hAnsi="Times New Roman"/>
          <w:sz w:val="20"/>
          <w:szCs w:val="20"/>
          <w:color w:val="auto"/>
        </w:rPr>
      </w:pPr>
    </w:p>
    <w:p>
      <w:pPr>
        <w:ind w:left="600" w:hanging="416"/>
        <w:spacing w:after="0"/>
        <w:tabs>
          <w:tab w:leader="none" w:pos="600"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in Full</w:t>
      </w:r>
      <w:r>
        <w:rPr>
          <w:rFonts w:ascii="Times New Roman" w:cs="Times New Roman" w:eastAsia="Times New Roman" w:hAnsi="Times New Roman"/>
          <w:sz w:val="20"/>
          <w:szCs w:val="20"/>
          <w:color w:val="auto"/>
        </w:rPr>
        <w:t>” has the meaning set forth in Section 13 herein.</w:t>
      </w:r>
    </w:p>
    <w:p>
      <w:pPr>
        <w:spacing w:after="0" w:line="94" w:lineRule="exact"/>
        <w:rPr>
          <w:rFonts w:ascii="Times New Roman" w:cs="Times New Roman" w:eastAsia="Times New Roman" w:hAnsi="Times New Roman"/>
          <w:sz w:val="20"/>
          <w:szCs w:val="20"/>
          <w:color w:val="auto"/>
        </w:rPr>
      </w:pPr>
    </w:p>
    <w:p>
      <w:pPr>
        <w:jc w:val="both"/>
        <w:ind w:left="500" w:hanging="316"/>
        <w:spacing w:after="0" w:line="253" w:lineRule="auto"/>
        <w:tabs>
          <w:tab w:leader="none" w:pos="628"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means each of the following: (i) Liens with respect to the payment of taxes, assessments or other governmental charges, in each case, imposed by law and arising in the ordinary course of business, (ii) Liens securing amounts that are not yet delinquent or that are being contested by the Borrower in good faith and (iii) rights of setoff or banker’s liens imposed by law upon deposits of cash in favor of banks or other depository institutions, solely incurred in connection with the maintenance of such deposits in the ordinary course of business in deposit accounts maintained with such bank or depository institution or overdraft protection and other similar services in connection therewith.</w:t>
      </w:r>
    </w:p>
    <w:p>
      <w:pPr>
        <w:spacing w:after="0" w:line="70" w:lineRule="exact"/>
        <w:rPr>
          <w:rFonts w:ascii="Times New Roman" w:cs="Times New Roman" w:eastAsia="Times New Roman" w:hAnsi="Times New Roman"/>
          <w:sz w:val="20"/>
          <w:szCs w:val="20"/>
          <w:color w:val="auto"/>
        </w:rPr>
      </w:pPr>
    </w:p>
    <w:p>
      <w:pPr>
        <w:ind w:left="500" w:right="20" w:hanging="316"/>
        <w:spacing w:after="0" w:line="269" w:lineRule="auto"/>
        <w:tabs>
          <w:tab w:leader="none" w:pos="726"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 individual, a partnership, a corporation, an association, a joint stock company, a trust, a joint venture, an unincorporated organization, a Governmental Authority, arbitrator, or another entity.</w:t>
      </w:r>
    </w:p>
    <w:p>
      <w:pPr>
        <w:spacing w:after="0" w:line="37" w:lineRule="exact"/>
        <w:rPr>
          <w:rFonts w:ascii="Times New Roman" w:cs="Times New Roman" w:eastAsia="Times New Roman" w:hAnsi="Times New Roman"/>
          <w:sz w:val="20"/>
          <w:szCs w:val="20"/>
          <w:color w:val="auto"/>
        </w:rPr>
      </w:pPr>
    </w:p>
    <w:p>
      <w:pPr>
        <w:ind w:left="500" w:hanging="316"/>
        <w:spacing w:after="0" w:line="283" w:lineRule="auto"/>
        <w:tabs>
          <w:tab w:leader="none" w:pos="659"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Property</w:t>
      </w:r>
      <w:r>
        <w:rPr>
          <w:rFonts w:ascii="Times New Roman" w:cs="Times New Roman" w:eastAsia="Times New Roman" w:hAnsi="Times New Roman"/>
          <w:sz w:val="20"/>
          <w:szCs w:val="20"/>
          <w:color w:val="auto"/>
        </w:rPr>
        <w:t>” means any interest in any kind of property or asset, whether real, personal or mixed, whether tangible or intangible.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120"/>
          </w:cols>
          <w:pgMar w:left="1440" w:top="1413" w:right="339" w:bottom="1440" w:gutter="0" w:footer="0" w:header="0"/>
        </w:sectPr>
      </w:pPr>
    </w:p>
    <w:bookmarkStart w:id="454" w:name="page455"/>
    <w:bookmarkEnd w:id="454"/>
    <w:p>
      <w:pPr>
        <w:jc w:val="both"/>
        <w:ind w:left="1288" w:hanging="316"/>
        <w:spacing w:after="0" w:line="261" w:lineRule="auto"/>
        <w:tabs>
          <w:tab w:leader="none" w:pos="1599"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Persons</w:t>
      </w:r>
      <w:r>
        <w:rPr>
          <w:rFonts w:ascii="Times New Roman" w:cs="Times New Roman" w:eastAsia="Times New Roman" w:hAnsi="Times New Roman"/>
          <w:sz w:val="20"/>
          <w:szCs w:val="20"/>
          <w:color w:val="auto"/>
        </w:rPr>
        <w:t>” means, with respect to any Person, each Affiliate of such Person and each director, officer, employee, agent, trustee, representative, attorney, accountant and each insurance, environmental, legal, financial and other advisor and other consultants and agents of or to such Person or any of its Affiliates.</w:t>
      </w:r>
    </w:p>
    <w:p>
      <w:pPr>
        <w:spacing w:after="0" w:line="46" w:lineRule="exact"/>
        <w:rPr>
          <w:rFonts w:ascii="Times New Roman" w:cs="Times New Roman" w:eastAsia="Times New Roman" w:hAnsi="Times New Roman"/>
          <w:sz w:val="20"/>
          <w:szCs w:val="20"/>
          <w:color w:val="auto"/>
        </w:rPr>
      </w:pPr>
    </w:p>
    <w:p>
      <w:pPr>
        <w:jc w:val="both"/>
        <w:ind w:left="1288" w:hanging="316"/>
        <w:spacing w:after="0" w:line="258" w:lineRule="auto"/>
        <w:tabs>
          <w:tab w:leader="none" w:pos="1487"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Requirement of Law</w:t>
      </w:r>
      <w:r>
        <w:rPr>
          <w:rFonts w:ascii="Times New Roman" w:cs="Times New Roman" w:eastAsia="Times New Roman" w:hAnsi="Times New Roman"/>
          <w:sz w:val="20"/>
          <w:szCs w:val="20"/>
          <w:color w:val="auto"/>
        </w:rPr>
        <w:t>” means, with respect to any Person, any law (statutory or common), ordinance, treaty, rule, regulation, order, policy, guidance, judgment, writ, injunction, decree, or other legal requirement or determination of an arbitrator or of a Governmental Authority, in each case applicable to or binding upon such Person or any of its Property or to which such Person or any of its Property is subject.</w:t>
      </w:r>
    </w:p>
    <w:p>
      <w:pPr>
        <w:spacing w:after="0" w:line="50" w:lineRule="exact"/>
        <w:rPr>
          <w:rFonts w:ascii="Times New Roman" w:cs="Times New Roman" w:eastAsia="Times New Roman" w:hAnsi="Times New Roman"/>
          <w:sz w:val="20"/>
          <w:szCs w:val="20"/>
          <w:color w:val="auto"/>
        </w:rPr>
      </w:pPr>
    </w:p>
    <w:p>
      <w:pPr>
        <w:ind w:left="1408" w:hanging="436"/>
        <w:spacing w:after="0"/>
        <w:tabs>
          <w:tab w:leader="none" w:pos="1408"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 as amended.</w:t>
      </w:r>
    </w:p>
    <w:p>
      <w:pPr>
        <w:spacing w:after="0" w:line="107" w:lineRule="exact"/>
        <w:rPr>
          <w:rFonts w:ascii="Times New Roman" w:cs="Times New Roman" w:eastAsia="Times New Roman" w:hAnsi="Times New Roman"/>
          <w:sz w:val="20"/>
          <w:szCs w:val="20"/>
          <w:color w:val="auto"/>
        </w:rPr>
      </w:pPr>
    </w:p>
    <w:p>
      <w:pPr>
        <w:jc w:val="both"/>
        <w:ind w:left="1288" w:hanging="316"/>
        <w:spacing w:after="0" w:line="258" w:lineRule="auto"/>
        <w:tabs>
          <w:tab w:leader="none" w:pos="1408"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Stock</w:t>
      </w:r>
      <w:r>
        <w:rPr>
          <w:rFonts w:ascii="Times New Roman" w:cs="Times New Roman" w:eastAsia="Times New Roman" w:hAnsi="Times New Roman"/>
          <w:sz w:val="20"/>
          <w:szCs w:val="20"/>
          <w:color w:val="auto"/>
        </w:rPr>
        <w:t>” means all shares of capital stock (whether denominated as common stock or preferred stock), equity interests, beneficial, partnership or membership interests, joint venture interests, participations or other ownership or profit interests in or equivalents (regardless of how designated) of or in a Person (other than an individual), whether voting or non-voting.</w:t>
      </w:r>
    </w:p>
    <w:p>
      <w:pPr>
        <w:spacing w:after="0" w:line="51" w:lineRule="exact"/>
        <w:rPr>
          <w:sz w:val="20"/>
          <w:szCs w:val="20"/>
          <w:color w:val="auto"/>
        </w:rPr>
      </w:pPr>
    </w:p>
    <w:p>
      <w:pPr>
        <w:jc w:val="both"/>
        <w:ind w:left="1288" w:hanging="316"/>
        <w:spacing w:after="0" w:line="261" w:lineRule="auto"/>
        <w:tabs>
          <w:tab w:leader="none" w:pos="1321"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Stock Equivalents</w:t>
      </w:r>
      <w:r>
        <w:rPr>
          <w:rFonts w:ascii="Times New Roman" w:cs="Times New Roman" w:eastAsia="Times New Roman" w:hAnsi="Times New Roman"/>
          <w:sz w:val="20"/>
          <w:szCs w:val="20"/>
          <w:color w:val="auto"/>
        </w:rPr>
        <w:t>” means all securities convertible into or exchangeable for Stock or any other Stock Equivalent and all warrants, options or other rights to purchase, subscribe for or otherwise acquire any Stock or any other Stock Equivalent, whether or not presently convertible, exchangeable or exercisable.</w:t>
      </w:r>
    </w:p>
    <w:p>
      <w:pPr>
        <w:spacing w:after="0" w:line="46" w:lineRule="exact"/>
        <w:rPr>
          <w:rFonts w:ascii="Times New Roman" w:cs="Times New Roman" w:eastAsia="Times New Roman" w:hAnsi="Times New Roman"/>
          <w:sz w:val="20"/>
          <w:szCs w:val="20"/>
          <w:color w:val="auto"/>
        </w:rPr>
      </w:pPr>
    </w:p>
    <w:p>
      <w:pPr>
        <w:jc w:val="both"/>
        <w:ind w:left="1288" w:hanging="316"/>
        <w:spacing w:after="0" w:line="261" w:lineRule="auto"/>
        <w:tabs>
          <w:tab w:leader="none" w:pos="1343"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Indebtedness</w:t>
      </w:r>
      <w:r>
        <w:rPr>
          <w:rFonts w:ascii="Times New Roman" w:cs="Times New Roman" w:eastAsia="Times New Roman" w:hAnsi="Times New Roman"/>
          <w:sz w:val="20"/>
          <w:szCs w:val="20"/>
          <w:color w:val="auto"/>
        </w:rPr>
        <w:t>” means Indebtedness incurred by the Borrower that is subordinated to all of the Obligations pursuant to a subordination, intercreditor, or other similar agreement, in form and substance reasonably satisfactory to the Lender entered into between the Lender and the subordinated creditor.</w:t>
      </w:r>
    </w:p>
    <w:p>
      <w:pPr>
        <w:spacing w:after="0" w:line="59" w:lineRule="exact"/>
        <w:rPr>
          <w:rFonts w:ascii="Times New Roman" w:cs="Times New Roman" w:eastAsia="Times New Roman" w:hAnsi="Times New Roman"/>
          <w:sz w:val="20"/>
          <w:szCs w:val="20"/>
          <w:color w:val="auto"/>
        </w:rPr>
      </w:pPr>
    </w:p>
    <w:p>
      <w:pPr>
        <w:ind w:left="1288" w:hanging="316"/>
        <w:spacing w:after="0" w:line="269" w:lineRule="auto"/>
        <w:tabs>
          <w:tab w:leader="none" w:pos="1321"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means, with respect to any Property, to sell, convey, transfer, assign, license, rent, lease, sublease, mortgage, transfer or otherwise dispose of any interest therein or to permit any Person to acquire any such interest.</w:t>
      </w:r>
    </w:p>
    <w:p>
      <w:pPr>
        <w:spacing w:after="0" w:line="38" w:lineRule="exact"/>
        <w:rPr>
          <w:sz w:val="20"/>
          <w:szCs w:val="20"/>
          <w:color w:val="auto"/>
        </w:rPr>
      </w:pPr>
    </w:p>
    <w:p>
      <w:pPr>
        <w:ind w:left="328" w:hanging="328"/>
        <w:spacing w:after="0"/>
        <w:tabs>
          <w:tab w:leader="none" w:pos="328"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jc w:val="both"/>
        <w:ind w:left="1288" w:hanging="316"/>
        <w:spacing w:after="0" w:line="261" w:lineRule="auto"/>
        <w:tabs>
          <w:tab w:leader="none" w:pos="1427"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the terms of this Note, on and after the date hereof and prior to the Maturity Date, the Lender shall make term loans (each, a “</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to the Borrower on the dates and in the amounts as set forth below and as agreed between the parties from time to time:</w:t>
      </w:r>
    </w:p>
    <w:p>
      <w:pPr>
        <w:spacing w:after="0" w:line="76" w:lineRule="exact"/>
        <w:rPr>
          <w:sz w:val="20"/>
          <w:szCs w:val="20"/>
          <w:color w:val="auto"/>
        </w:rPr>
      </w:pPr>
    </w:p>
    <w:tbl>
      <w:tblPr>
        <w:tblLayout w:type="fixed"/>
        <w:tblInd w:w="1898" w:type="dxa"/>
        <w:tblCellMar>
          <w:top w:w="0" w:type="dxa"/>
          <w:left w:w="0" w:type="dxa"/>
          <w:bottom w:w="0" w:type="dxa"/>
          <w:right w:w="0" w:type="dxa"/>
        </w:tblCellMar>
      </w:tblPr>
      <w:tr>
        <w:trPr>
          <w:trHeight w:val="270"/>
        </w:trPr>
        <w:tc>
          <w:tcPr>
            <w:tcW w:w="4520" w:type="dxa"/>
            <w:vAlign w:val="bottom"/>
            <w:tcBorders>
              <w:top w:val="single" w:sz="8" w:color="auto"/>
              <w:left w:val="single" w:sz="8" w:color="auto"/>
              <w:bottom w:val="single" w:sz="8" w:color="auto"/>
              <w:right w:val="single" w:sz="8" w:color="auto"/>
            </w:tcBorders>
            <w:shd w:val="clear" w:color="auto" w:fill="DEEAF6"/>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4500" w:type="dxa"/>
            <w:vAlign w:val="bottom"/>
            <w:tcBorders>
              <w:top w:val="single" w:sz="8" w:color="auto"/>
              <w:bottom w:val="single" w:sz="8" w:color="auto"/>
              <w:right w:val="single" w:sz="8" w:color="auto"/>
            </w:tcBorders>
            <w:shd w:val="clear" w:color="auto" w:fill="DEEAF6"/>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Amount</w:t>
            </w:r>
          </w:p>
        </w:tc>
      </w:tr>
      <w:tr>
        <w:trPr>
          <w:trHeight w:val="250"/>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July 26, 2022</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$1,250,000</w:t>
            </w:r>
          </w:p>
        </w:tc>
      </w:tr>
      <w:tr>
        <w:trPr>
          <w:trHeight w:val="250"/>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August 26, 2022</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$1,250,000</w:t>
            </w:r>
          </w:p>
        </w:tc>
      </w:tr>
      <w:tr>
        <w:trPr>
          <w:trHeight w:val="250"/>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September 26, 2022</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$1,250,000</w:t>
            </w:r>
          </w:p>
        </w:tc>
      </w:tr>
    </w:tbl>
    <w:p>
      <w:pPr>
        <w:spacing w:after="0" w:line="200" w:lineRule="exact"/>
        <w:rPr>
          <w:sz w:val="20"/>
          <w:szCs w:val="20"/>
          <w:color w:val="auto"/>
        </w:rPr>
      </w:pPr>
    </w:p>
    <w:p>
      <w:pPr>
        <w:spacing w:after="0" w:line="209" w:lineRule="exact"/>
        <w:rPr>
          <w:sz w:val="20"/>
          <w:szCs w:val="20"/>
          <w:color w:val="auto"/>
        </w:rPr>
      </w:pPr>
    </w:p>
    <w:p>
      <w:pPr>
        <w:ind w:left="1288" w:hanging="316"/>
        <w:spacing w:after="0" w:line="283" w:lineRule="auto"/>
        <w:tabs>
          <w:tab w:leader="none" w:pos="1423"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outstanding principal balance of the Loans made under this Note shall at no time exceed the Maximum Loan Amount.</w:t>
      </w:r>
    </w:p>
    <w:p>
      <w:pPr>
        <w:spacing w:after="0" w:line="24" w:lineRule="exact"/>
        <w:rPr>
          <w:rFonts w:ascii="Times New Roman" w:cs="Times New Roman" w:eastAsia="Times New Roman" w:hAnsi="Times New Roman"/>
          <w:sz w:val="20"/>
          <w:szCs w:val="20"/>
          <w:color w:val="auto"/>
        </w:rPr>
      </w:pPr>
    </w:p>
    <w:p>
      <w:pPr>
        <w:jc w:val="both"/>
        <w:ind w:left="1288" w:hanging="316"/>
        <w:spacing w:after="0" w:line="253" w:lineRule="auto"/>
        <w:tabs>
          <w:tab w:leader="none" w:pos="1441"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the date any Loan is made hereunder, the Lender is authorized to record on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attached hereto (i) the date such Loan is made by the Lender to the Borrower, (ii) the amount of the principal of such Loan and (iii) the total outstanding principal amount of Loans under this Note;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failure to so record therein shall not in any manner affect the obligation of the Borrower to repay the Obligations evidenced by this Note in accordance with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8"/>
          </w:cols>
          <w:pgMar w:left="652" w:top="1413" w:right="339" w:bottom="1440" w:gutter="0" w:footer="0" w:header="0"/>
        </w:sectPr>
      </w:pPr>
    </w:p>
    <w:bookmarkStart w:id="455" w:name="page456"/>
    <w:bookmarkEnd w:id="455"/>
    <w:p>
      <w:pPr>
        <w:jc w:val="both"/>
        <w:ind w:left="328" w:hanging="328"/>
        <w:spacing w:after="0" w:line="253" w:lineRule="auto"/>
        <w:tabs>
          <w:tab w:leader="none" w:pos="328"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 xml:space="preserve">. Interest shall accrue on the outstanding principal amount of this Note from the date that the Lender makes the first Loan to the Borrower at rate of 8.5%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(calculated on the basis of a 365-day year). Such interest shall be due and payable on the Maturity Date or, if earlier, on the date on which they are declared due and payable pursuant to the terms of this Note. If any principal of or interest on any outstanding amounts payable by the Borrower hereunder is not paid when due (whether at stated maturity, upon acceleration or otherwise), such overdue amount shall bear interest, after as well as before judgment, at a rate </w:t>
      </w:r>
      <w:r>
        <w:rPr>
          <w:rFonts w:ascii="Times New Roman" w:cs="Times New Roman" w:eastAsia="Times New Roman" w:hAnsi="Times New Roman"/>
          <w:sz w:val="20"/>
          <w:szCs w:val="20"/>
          <w:i w:val="1"/>
          <w:iCs w:val="1"/>
          <w:color w:val="auto"/>
        </w:rPr>
        <w:t>per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annum </w:t>
      </w:r>
      <w:r>
        <w:rPr>
          <w:rFonts w:ascii="Times New Roman" w:cs="Times New Roman" w:eastAsia="Times New Roman" w:hAnsi="Times New Roman"/>
          <w:sz w:val="20"/>
          <w:szCs w:val="20"/>
          <w:color w:val="auto"/>
        </w:rPr>
        <w:t>equal to 2.0% (the “</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plus the rate otherwise applicable under this Note.</w:t>
      </w:r>
    </w:p>
    <w:p>
      <w:pPr>
        <w:spacing w:after="0" w:line="57" w:lineRule="exact"/>
        <w:rPr>
          <w:rFonts w:ascii="Times New Roman" w:cs="Times New Roman" w:eastAsia="Times New Roman" w:hAnsi="Times New Roman"/>
          <w:sz w:val="20"/>
          <w:szCs w:val="20"/>
          <w:color w:val="auto"/>
        </w:rPr>
      </w:pPr>
    </w:p>
    <w:p>
      <w:pPr>
        <w:ind w:left="328" w:hanging="328"/>
        <w:spacing w:after="0"/>
        <w:tabs>
          <w:tab w:leader="none" w:pos="328"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w:t>
      </w:r>
    </w:p>
    <w:p>
      <w:pPr>
        <w:spacing w:after="0" w:line="94" w:lineRule="exact"/>
        <w:rPr>
          <w:rFonts w:ascii="Times New Roman" w:cs="Times New Roman" w:eastAsia="Times New Roman" w:hAnsi="Times New Roman"/>
          <w:sz w:val="20"/>
          <w:szCs w:val="20"/>
          <w:color w:val="auto"/>
        </w:rPr>
      </w:pPr>
    </w:p>
    <w:p>
      <w:pPr>
        <w:ind w:left="1288" w:right="20" w:hanging="316"/>
        <w:spacing w:after="0" w:line="283" w:lineRule="auto"/>
        <w:tabs>
          <w:tab w:leader="none" w:pos="1422"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The Borrower shall pay the entire outstanding principal amount of this Note (if any), together with all accrued but unpaid interest thereon, on July 28, 2028 (the “</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w:t>
      </w:r>
    </w:p>
    <w:p>
      <w:pPr>
        <w:spacing w:after="0" w:line="24" w:lineRule="exact"/>
        <w:rPr>
          <w:rFonts w:ascii="Times New Roman" w:cs="Times New Roman" w:eastAsia="Times New Roman" w:hAnsi="Times New Roman"/>
          <w:sz w:val="20"/>
          <w:szCs w:val="20"/>
          <w:color w:val="auto"/>
        </w:rPr>
      </w:pPr>
    </w:p>
    <w:p>
      <w:pPr>
        <w:ind w:left="1408" w:hanging="436"/>
        <w:spacing w:after="0"/>
        <w:tabs>
          <w:tab w:leader="none" w:pos="1408"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07" w:lineRule="exact"/>
        <w:rPr>
          <w:rFonts w:ascii="Times New Roman" w:cs="Times New Roman" w:eastAsia="Times New Roman" w:hAnsi="Times New Roman"/>
          <w:sz w:val="20"/>
          <w:szCs w:val="20"/>
          <w:color w:val="auto"/>
        </w:rPr>
      </w:pPr>
    </w:p>
    <w:p>
      <w:pPr>
        <w:jc w:val="both"/>
        <w:ind w:left="1288" w:hanging="316"/>
        <w:spacing w:after="0" w:line="261" w:lineRule="auto"/>
        <w:tabs>
          <w:tab w:leader="none" w:pos="1381"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 Prepayments</w:t>
      </w:r>
      <w:r>
        <w:rPr>
          <w:rFonts w:ascii="Times New Roman" w:cs="Times New Roman" w:eastAsia="Times New Roman" w:hAnsi="Times New Roman"/>
          <w:sz w:val="20"/>
          <w:szCs w:val="20"/>
          <w:color w:val="auto"/>
        </w:rPr>
        <w:t>. The Borrower may, at any time and from time to time, without premium or penalty, prepay all or any portion of the unpaid principal amount of this Note together with any unpaid interest which has accrued on the portion of the principal so prepaid.</w:t>
      </w:r>
    </w:p>
    <w:p>
      <w:pPr>
        <w:spacing w:after="0" w:line="46" w:lineRule="exact"/>
        <w:rPr>
          <w:rFonts w:ascii="Times New Roman" w:cs="Times New Roman" w:eastAsia="Times New Roman" w:hAnsi="Times New Roman"/>
          <w:sz w:val="20"/>
          <w:szCs w:val="20"/>
          <w:color w:val="auto"/>
        </w:rPr>
      </w:pPr>
    </w:p>
    <w:p>
      <w:pPr>
        <w:jc w:val="both"/>
        <w:ind w:left="1288" w:hanging="316"/>
        <w:spacing w:after="0" w:line="269" w:lineRule="auto"/>
        <w:tabs>
          <w:tab w:leader="none" w:pos="1392" w:val="left"/>
        </w:tabs>
        <w:numPr>
          <w:ilvl w:val="1"/>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Payments Generally</w:t>
      </w:r>
      <w:r>
        <w:rPr>
          <w:rFonts w:ascii="Times New Roman" w:cs="Times New Roman" w:eastAsia="Times New Roman" w:hAnsi="Times New Roman"/>
          <w:sz w:val="19"/>
          <w:szCs w:val="19"/>
          <w:color w:val="auto"/>
        </w:rPr>
        <w:t xml:space="preserve">. At the Lender’s option, the Borrower shall pay all or a portion of the amounts due under this Note, including any accrued but unpaid interest, in Hash tokens in the manner determined by the Lender in its sole discretion. Payments of principal and interest shall be delivered to the address of the Lender set forth herein or at such other address as is specified by prior notice by the Lender to the Borrower. Whenever any payment or delivery to be made hereunder shall be due on a day that is not a Business Day, such payment shall instead be made on the next succeeding Business Day. Payments under this Note shall be applied (i) </w:t>
      </w: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xml:space="preserve"> to the payment of accrued and unpaid interest hereunder until all such interest is paid and (ii) </w:t>
      </w: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xml:space="preserve"> to the repayment of the unpaid principal amount of this Note.</w:t>
      </w:r>
    </w:p>
    <w:p>
      <w:pPr>
        <w:spacing w:after="0" w:line="40" w:lineRule="exact"/>
        <w:rPr>
          <w:rFonts w:ascii="Times New Roman" w:cs="Times New Roman" w:eastAsia="Times New Roman" w:hAnsi="Times New Roman"/>
          <w:sz w:val="19"/>
          <w:szCs w:val="19"/>
          <w:color w:val="auto"/>
        </w:rPr>
      </w:pPr>
    </w:p>
    <w:p>
      <w:pPr>
        <w:ind w:left="328" w:hanging="328"/>
        <w:spacing w:after="0"/>
        <w:tabs>
          <w:tab w:leader="none" w:pos="328"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The Borrower hereby represents and warrants to the Lender that:</w:t>
      </w:r>
    </w:p>
    <w:p>
      <w:pPr>
        <w:spacing w:after="0" w:line="94" w:lineRule="exact"/>
        <w:rPr>
          <w:rFonts w:ascii="Times New Roman" w:cs="Times New Roman" w:eastAsia="Times New Roman" w:hAnsi="Times New Roman"/>
          <w:sz w:val="20"/>
          <w:szCs w:val="20"/>
          <w:color w:val="auto"/>
        </w:rPr>
      </w:pPr>
    </w:p>
    <w:p>
      <w:pPr>
        <w:ind w:left="1288" w:hanging="316"/>
        <w:spacing w:after="0" w:line="283" w:lineRule="auto"/>
        <w:tabs>
          <w:tab w:leader="none" w:pos="1539"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is duly organized, validly existing, and in good standing under the laws of the jurisdiction of its organization;</w:t>
      </w:r>
    </w:p>
    <w:p>
      <w:pPr>
        <w:spacing w:after="0" w:line="24" w:lineRule="exact"/>
        <w:rPr>
          <w:rFonts w:ascii="Times New Roman" w:cs="Times New Roman" w:eastAsia="Times New Roman" w:hAnsi="Times New Roman"/>
          <w:sz w:val="20"/>
          <w:szCs w:val="20"/>
          <w:color w:val="auto"/>
        </w:rPr>
      </w:pPr>
    </w:p>
    <w:p>
      <w:pPr>
        <w:jc w:val="both"/>
        <w:ind w:left="1288" w:hanging="316"/>
        <w:spacing w:after="0" w:line="281" w:lineRule="auto"/>
        <w:tabs>
          <w:tab w:leader="none" w:pos="1405" w:val="left"/>
        </w:tabs>
        <w:numPr>
          <w:ilvl w:val="1"/>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execution, delivery and performance by the Borrower of this Note has been duly authorized by all necessary action, and do not (x) contravene the Borrower’s organizational documents or any material Requirement of Law binding the Borrower or (y) result in or require the creation or imposition of any lien on any of the Borrower’s Property;</w:t>
      </w:r>
    </w:p>
    <w:p>
      <w:pPr>
        <w:spacing w:after="0" w:line="29" w:lineRule="exact"/>
        <w:rPr>
          <w:rFonts w:ascii="Times New Roman" w:cs="Times New Roman" w:eastAsia="Times New Roman" w:hAnsi="Times New Roman"/>
          <w:sz w:val="19"/>
          <w:szCs w:val="19"/>
          <w:color w:val="auto"/>
        </w:rPr>
      </w:pPr>
    </w:p>
    <w:p>
      <w:pPr>
        <w:jc w:val="both"/>
        <w:ind w:left="1288" w:hanging="316"/>
        <w:spacing w:after="0" w:line="268" w:lineRule="auto"/>
        <w:tabs>
          <w:tab w:leader="none" w:pos="1526"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action by, filing, registration, qualification with, or approval, consent or withholding of objections from, any Governmental Authority or any other Person, except those which have been obtained and are in full force and effect, is required for the Borrower’s due execution, delivery and performance of this Note;</w:t>
      </w:r>
    </w:p>
    <w:p>
      <w:pPr>
        <w:spacing w:after="0" w:line="39" w:lineRule="exact"/>
        <w:rPr>
          <w:rFonts w:ascii="Times New Roman" w:cs="Times New Roman" w:eastAsia="Times New Roman" w:hAnsi="Times New Roman"/>
          <w:sz w:val="20"/>
          <w:szCs w:val="20"/>
          <w:color w:val="auto"/>
        </w:rPr>
      </w:pPr>
    </w:p>
    <w:p>
      <w:pPr>
        <w:jc w:val="both"/>
        <w:ind w:left="1288" w:hanging="316"/>
        <w:spacing w:after="0" w:line="253" w:lineRule="auto"/>
        <w:tabs>
          <w:tab w:leader="none" w:pos="1404"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Note constitutes the Borrower’s legal, valid and binding obligation enforceable against the Borrower in accordance with its terms except as enforceability may be limited by applicable bankruptcy, liquidation, conservatorship, bankruptcy, assignment for the benefit of creditors, moratorium, rearrangement, receivership, insolvency, reorganization, scheme of arrangement or similar debtor relief laws of the United States or other applicable jurisdictions from time to time in effect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8"/>
          </w:cols>
          <w:pgMar w:left="652" w:top="1413" w:right="339" w:bottom="1440" w:gutter="0" w:footer="0" w:header="0"/>
        </w:sectPr>
      </w:pPr>
    </w:p>
    <w:bookmarkStart w:id="456" w:name="page457"/>
    <w:bookmarkEnd w:id="456"/>
    <w:p>
      <w:pPr>
        <w:ind w:left="1288"/>
        <w:spacing w:after="0"/>
        <w:rPr>
          <w:sz w:val="20"/>
          <w:szCs w:val="20"/>
          <w:color w:val="auto"/>
        </w:rPr>
      </w:pPr>
      <w:r>
        <w:rPr>
          <w:rFonts w:ascii="Times New Roman" w:cs="Times New Roman" w:eastAsia="Times New Roman" w:hAnsi="Times New Roman"/>
          <w:sz w:val="20"/>
          <w:szCs w:val="20"/>
          <w:color w:val="auto"/>
        </w:rPr>
        <w:t>laws affecting the enforcement of creditors’ rights generally or by equitable principles relating to enforceability; and</w:t>
      </w:r>
    </w:p>
    <w:p>
      <w:pPr>
        <w:spacing w:after="0" w:line="94" w:lineRule="exact"/>
        <w:rPr>
          <w:sz w:val="20"/>
          <w:szCs w:val="20"/>
          <w:color w:val="auto"/>
        </w:rPr>
      </w:pPr>
    </w:p>
    <w:p>
      <w:pPr>
        <w:jc w:val="both"/>
        <w:ind w:left="1288" w:hanging="316"/>
        <w:spacing w:after="0" w:line="261" w:lineRule="auto"/>
        <w:tabs>
          <w:tab w:leader="none" w:pos="1435" w:val="left"/>
        </w:tabs>
        <w:numPr>
          <w:ilvl w:val="1"/>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actions, suits, proceedings or investigations pending (or to the knowledge of the Borrower, threatened in writing) against the Borrower which would, if decided against the Borrower, materially adversely affect the Borrower’s financial condition or operations or which affects or involves the legality, validity or enforceability of this Note.</w:t>
      </w:r>
    </w:p>
    <w:p>
      <w:pPr>
        <w:spacing w:after="0" w:line="275" w:lineRule="exact"/>
        <w:rPr>
          <w:rFonts w:ascii="Times New Roman" w:cs="Times New Roman" w:eastAsia="Times New Roman" w:hAnsi="Times New Roman"/>
          <w:sz w:val="20"/>
          <w:szCs w:val="20"/>
          <w:color w:val="auto"/>
        </w:rPr>
      </w:pPr>
    </w:p>
    <w:p>
      <w:pPr>
        <w:ind w:left="328" w:right="20" w:hanging="328"/>
        <w:spacing w:after="0" w:line="269" w:lineRule="auto"/>
        <w:tabs>
          <w:tab w:leader="none" w:pos="328"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Affirmative Covenants</w:t>
      </w:r>
      <w:r>
        <w:rPr>
          <w:rFonts w:ascii="Times New Roman" w:cs="Times New Roman" w:eastAsia="Times New Roman" w:hAnsi="Times New Roman"/>
          <w:sz w:val="20"/>
          <w:szCs w:val="20"/>
          <w:color w:val="auto"/>
        </w:rPr>
        <w:t>. Until Payment in Full of the Obligations, the Borrower agrees that, unless the Lender shall otherwise expressly consent in writing (including via electronic mail), it shall:</w:t>
      </w:r>
    </w:p>
    <w:p>
      <w:pPr>
        <w:spacing w:after="0" w:line="51" w:lineRule="exact"/>
        <w:rPr>
          <w:rFonts w:ascii="Times New Roman" w:cs="Times New Roman" w:eastAsia="Times New Roman" w:hAnsi="Times New Roman"/>
          <w:sz w:val="20"/>
          <w:szCs w:val="20"/>
          <w:color w:val="auto"/>
        </w:rPr>
      </w:pPr>
    </w:p>
    <w:p>
      <w:pPr>
        <w:jc w:val="both"/>
        <w:ind w:left="1288" w:right="20" w:hanging="316"/>
        <w:spacing w:after="0" w:line="261" w:lineRule="auto"/>
        <w:tabs>
          <w:tab w:leader="none" w:pos="1590"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the requirements of all laws and comply with all orders, writs, injunctions and decrees of any Governmental Authority applicable to it or to its business or property, except where the failure to comply could not reasonably be expected to have, either individually or in the aggregate, a Material Adverse Effect;</w:t>
      </w:r>
    </w:p>
    <w:p>
      <w:pPr>
        <w:spacing w:after="0" w:line="46" w:lineRule="exact"/>
        <w:rPr>
          <w:rFonts w:ascii="Times New Roman" w:cs="Times New Roman" w:eastAsia="Times New Roman" w:hAnsi="Times New Roman"/>
          <w:sz w:val="20"/>
          <w:szCs w:val="20"/>
          <w:color w:val="auto"/>
        </w:rPr>
      </w:pPr>
    </w:p>
    <w:p>
      <w:pPr>
        <w:jc w:val="both"/>
        <w:ind w:left="1288" w:hanging="316"/>
        <w:spacing w:after="0" w:line="258" w:lineRule="auto"/>
        <w:tabs>
          <w:tab w:leader="none" w:pos="1501"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preserve, renew and maintain in full force and effect its legal existence and good standing under the Laws of the jurisdiction of its organization and (ii) take all reasonable action to maintain all rights, privileges, permits, licenses and franchises necessary or desirable in the normal conduct of its business, except to the extent that failure to do so could not reasonably be expected to have a Material Adverse Effect; and</w:t>
      </w:r>
    </w:p>
    <w:p>
      <w:pPr>
        <w:spacing w:after="0" w:line="50" w:lineRule="exact"/>
        <w:rPr>
          <w:rFonts w:ascii="Times New Roman" w:cs="Times New Roman" w:eastAsia="Times New Roman" w:hAnsi="Times New Roman"/>
          <w:sz w:val="20"/>
          <w:szCs w:val="20"/>
          <w:color w:val="auto"/>
        </w:rPr>
      </w:pPr>
    </w:p>
    <w:p>
      <w:pPr>
        <w:ind w:left="1388" w:hanging="416"/>
        <w:spacing w:after="0"/>
        <w:tabs>
          <w:tab w:leader="none" w:pos="1388"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the proceeds borrowed pursuant to the Note for ongoing working capital and other general corporate purposes.</w:t>
      </w:r>
    </w:p>
    <w:p>
      <w:pPr>
        <w:spacing w:after="0" w:line="94" w:lineRule="exact"/>
        <w:rPr>
          <w:rFonts w:ascii="Times New Roman" w:cs="Times New Roman" w:eastAsia="Times New Roman" w:hAnsi="Times New Roman"/>
          <w:sz w:val="20"/>
          <w:szCs w:val="20"/>
          <w:color w:val="auto"/>
        </w:rPr>
      </w:pPr>
    </w:p>
    <w:p>
      <w:pPr>
        <w:ind w:left="328" w:right="20" w:hanging="328"/>
        <w:spacing w:after="0" w:line="283" w:lineRule="auto"/>
        <w:tabs>
          <w:tab w:leader="none" w:pos="328"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Negative Covenants</w:t>
      </w:r>
      <w:r>
        <w:rPr>
          <w:rFonts w:ascii="Times New Roman" w:cs="Times New Roman" w:eastAsia="Times New Roman" w:hAnsi="Times New Roman"/>
          <w:sz w:val="20"/>
          <w:szCs w:val="20"/>
          <w:color w:val="auto"/>
        </w:rPr>
        <w:t>. Until Payment in Full of the Obligations, the Borrower agrees that, unless the Lender shall otherwise expressly consent in writing (including via electronic mail), it shall not:</w:t>
      </w:r>
    </w:p>
    <w:p>
      <w:pPr>
        <w:spacing w:after="0" w:line="24" w:lineRule="exact"/>
        <w:rPr>
          <w:rFonts w:ascii="Times New Roman" w:cs="Times New Roman" w:eastAsia="Times New Roman" w:hAnsi="Times New Roman"/>
          <w:sz w:val="20"/>
          <w:szCs w:val="20"/>
          <w:color w:val="auto"/>
        </w:rPr>
      </w:pPr>
    </w:p>
    <w:p>
      <w:pPr>
        <w:ind w:left="1288" w:hanging="316"/>
        <w:spacing w:after="0" w:line="283" w:lineRule="auto"/>
        <w:tabs>
          <w:tab w:leader="none" w:pos="1513"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create, assume or suffer to exist any Indebtedness other than (i) the Obligations and (ii) any Subordinated Indebtedness;</w:t>
      </w:r>
    </w:p>
    <w:p>
      <w:pPr>
        <w:spacing w:after="0" w:line="24" w:lineRule="exact"/>
        <w:rPr>
          <w:rFonts w:ascii="Times New Roman" w:cs="Times New Roman" w:eastAsia="Times New Roman" w:hAnsi="Times New Roman"/>
          <w:sz w:val="20"/>
          <w:szCs w:val="20"/>
          <w:color w:val="auto"/>
        </w:rPr>
      </w:pPr>
    </w:p>
    <w:p>
      <w:pPr>
        <w:jc w:val="both"/>
        <w:ind w:left="1288" w:hanging="316"/>
        <w:spacing w:after="0" w:line="258" w:lineRule="auto"/>
        <w:tabs>
          <w:tab w:leader="none" w:pos="1492"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payment or prepayment of principal of, premium, if any, interest, fees, redemption, exchange, purchase, retirement, defeasance, sinking fund or similar payment with respect to, any Indebtedness other than (i) the Obligations and (ii) any Subordinated Indebtedness in accordance with the subordination provisions thereof or any subordination agreement with respect thereto;</w:t>
      </w:r>
    </w:p>
    <w:p>
      <w:pPr>
        <w:spacing w:after="0" w:line="50" w:lineRule="exact"/>
        <w:rPr>
          <w:rFonts w:ascii="Times New Roman" w:cs="Times New Roman" w:eastAsia="Times New Roman" w:hAnsi="Times New Roman"/>
          <w:sz w:val="20"/>
          <w:szCs w:val="20"/>
          <w:color w:val="auto"/>
        </w:rPr>
      </w:pPr>
    </w:p>
    <w:p>
      <w:pPr>
        <w:jc w:val="both"/>
        <w:ind w:left="1288" w:hanging="316"/>
        <w:spacing w:after="0" w:line="261" w:lineRule="auto"/>
        <w:tabs>
          <w:tab w:leader="none" w:pos="1498"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any provision in any document relating to the Subordinated Indebtedness in violation of the subordination provisions thereof or any subordination agreement with respect thereto, or adversely affect the subordination thereof to Obligations owed to the Lender;</w:t>
      </w:r>
    </w:p>
    <w:p>
      <w:pPr>
        <w:spacing w:after="0" w:line="46" w:lineRule="exact"/>
        <w:rPr>
          <w:rFonts w:ascii="Times New Roman" w:cs="Times New Roman" w:eastAsia="Times New Roman" w:hAnsi="Times New Roman"/>
          <w:sz w:val="20"/>
          <w:szCs w:val="20"/>
          <w:color w:val="auto"/>
        </w:rPr>
      </w:pPr>
    </w:p>
    <w:p>
      <w:pPr>
        <w:ind w:left="1408" w:hanging="436"/>
        <w:spacing w:after="0"/>
        <w:tabs>
          <w:tab w:leader="none" w:pos="1408"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incur or allow to exist any Lien on the assets of Borrower, other than Permitted Liens;</w:t>
      </w:r>
    </w:p>
    <w:p>
      <w:pPr>
        <w:spacing w:after="0" w:line="107" w:lineRule="exact"/>
        <w:rPr>
          <w:rFonts w:ascii="Times New Roman" w:cs="Times New Roman" w:eastAsia="Times New Roman" w:hAnsi="Times New Roman"/>
          <w:sz w:val="20"/>
          <w:szCs w:val="20"/>
          <w:color w:val="auto"/>
        </w:rPr>
      </w:pPr>
    </w:p>
    <w:p>
      <w:pPr>
        <w:ind w:left="1288" w:hanging="316"/>
        <w:spacing w:after="0" w:line="269" w:lineRule="auto"/>
        <w:tabs>
          <w:tab w:leader="none" w:pos="1461"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or pay any dividends or make any other distribution or payment on account of or redeem, retire, defease or purchase any Stock or Stock Equivalent; or</w:t>
      </w:r>
    </w:p>
    <w:p>
      <w:pPr>
        <w:spacing w:after="0" w:line="51" w:lineRule="exact"/>
        <w:rPr>
          <w:sz w:val="20"/>
          <w:szCs w:val="20"/>
          <w:color w:val="auto"/>
        </w:rPr>
      </w:pPr>
    </w:p>
    <w:p>
      <w:pPr>
        <w:ind w:left="1288"/>
        <w:spacing w:after="0" w:line="269" w:lineRule="auto"/>
        <w:rPr>
          <w:sz w:val="20"/>
          <w:szCs w:val="20"/>
          <w:color w:val="auto"/>
        </w:rPr>
      </w:pPr>
      <w:r>
        <w:rPr>
          <w:rFonts w:ascii="Times New Roman" w:cs="Times New Roman" w:eastAsia="Times New Roman" w:hAnsi="Times New Roman"/>
          <w:sz w:val="20"/>
          <w:szCs w:val="20"/>
          <w:color w:val="auto"/>
        </w:rPr>
        <w:t>permit any Asset Sale other than Asset Sales of obsolete, worn out, used or surplus property, whether now owned or hereafter acquired,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8"/>
          </w:cols>
          <w:pgMar w:left="652" w:top="1413" w:right="339" w:bottom="1440" w:gutter="0" w:footer="0" w:header="0"/>
        </w:sectPr>
      </w:pPr>
    </w:p>
    <w:bookmarkStart w:id="457" w:name="page458"/>
    <w:bookmarkEnd w:id="457"/>
    <w:p>
      <w:pPr>
        <w:ind w:left="328"/>
        <w:spacing w:after="0" w:line="283" w:lineRule="auto"/>
        <w:rPr>
          <w:sz w:val="20"/>
          <w:szCs w:val="20"/>
          <w:color w:val="auto"/>
        </w:rPr>
      </w:pPr>
      <w:r>
        <w:rPr>
          <w:rFonts w:ascii="Times New Roman" w:cs="Times New Roman" w:eastAsia="Times New Roman" w:hAnsi="Times New Roman"/>
          <w:sz w:val="20"/>
          <w:szCs w:val="20"/>
          <w:color w:val="auto"/>
        </w:rPr>
        <w:t>provided that, notwithstanding the foregoing, the Borrower shall be permitted to grant, sell, issue and distribute Hash tokens in the ordinary course of business.</w:t>
      </w:r>
    </w:p>
    <w:p>
      <w:pPr>
        <w:spacing w:after="0" w:line="25" w:lineRule="exact"/>
        <w:rPr>
          <w:sz w:val="20"/>
          <w:szCs w:val="20"/>
          <w:color w:val="auto"/>
        </w:rPr>
      </w:pPr>
    </w:p>
    <w:p>
      <w:pPr>
        <w:jc w:val="both"/>
        <w:ind w:left="328" w:hanging="328"/>
        <w:spacing w:after="0" w:line="262" w:lineRule="auto"/>
        <w:tabs>
          <w:tab w:leader="none" w:pos="328" w:val="left"/>
        </w:tabs>
        <w:numPr>
          <w:ilvl w:val="0"/>
          <w:numId w:val="2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Registered Obligation</w:t>
      </w:r>
      <w:r>
        <w:rPr>
          <w:rFonts w:ascii="Times New Roman" w:cs="Times New Roman" w:eastAsia="Times New Roman" w:hAnsi="Times New Roman"/>
          <w:sz w:val="19"/>
          <w:szCs w:val="19"/>
          <w:color w:val="auto"/>
        </w:rPr>
        <w:t xml:space="preserve">. The Lender is hereby authorized by the Borrower to record in the manual or data processing records of the Lender, the date and amount of each obligation hereunder and the amount of the outstanding principal under this Note and the date and amount of each repayment of principal and each payment of interest. In the absence of established error by the Lender pursuant to its registered records under this Section 8, such records shall be presumed to reflect the outstanding principal amount of all principal and interest owing hereunder and the amount of the total outstanding under this Note, and the payment of interest, principal and other sums due under this Note;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 failure of the Lender to make any such record entry with respect to any borrowing or payment shall not limit or otherwise affect the obligations of the Borrower under this Note. This Note: (a) shall, pursuant to this Section 8, be also registered as to both principal and any stated interest with the Borrower or its agent, and (b) may be transferred by Lender, subject to the provisions hereof, only by (1) surrender of the old instrument and either (i) the reissuance by the Borrower of the old instrument to the new Lender or (ii) the issuance by the Borrower of a new instrument to the new Lender, or</w:t>
      </w:r>
    </w:p>
    <w:p>
      <w:pPr>
        <w:spacing w:after="0" w:line="6" w:lineRule="exact"/>
        <w:rPr>
          <w:rFonts w:ascii="Times New Roman" w:cs="Times New Roman" w:eastAsia="Times New Roman" w:hAnsi="Times New Roman"/>
          <w:sz w:val="19"/>
          <w:szCs w:val="19"/>
          <w:color w:val="auto"/>
        </w:rPr>
      </w:pPr>
    </w:p>
    <w:p>
      <w:pPr>
        <w:jc w:val="both"/>
        <w:ind w:left="328" w:hanging="4"/>
        <w:spacing w:after="0" w:line="249" w:lineRule="auto"/>
        <w:tabs>
          <w:tab w:leader="none" w:pos="620" w:val="left"/>
        </w:tabs>
        <w:numPr>
          <w:ilvl w:val="1"/>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confirmation with the Borrower that the right to the principal and stated interest on the obligation is maintained through a book entry system kept by the Borrower or its agent. This Note shall be treated as being in “registered form” pursuant to Sections 163(f), 871(h)(2), 881(c)(2) and 103 of the Code and Treasury Regulation Section 5f.l03-l(c). All payments hereunder shall be made without offset, deduction or withholding, free and clear of all taxes, levies, imports, duties, fees and charges and without any withholding, restriction or conditions imposed by any governmental authority. If the Borrower shall be required to deduct and withhold from or in respect of any amount payable under this Note, then the amount so payable to the Lender shall be increased as may be necessary so that, after making all required deductions and withholdings, the Lender shall receive an amount equal to the sum they would have received had no such deductions or withholdings been made.</w:t>
      </w:r>
    </w:p>
    <w:p>
      <w:pPr>
        <w:spacing w:after="0" w:line="60" w:lineRule="exact"/>
        <w:rPr>
          <w:rFonts w:ascii="Times New Roman" w:cs="Times New Roman" w:eastAsia="Times New Roman" w:hAnsi="Times New Roman"/>
          <w:sz w:val="20"/>
          <w:szCs w:val="20"/>
          <w:color w:val="auto"/>
        </w:rPr>
      </w:pPr>
    </w:p>
    <w:p>
      <w:pPr>
        <w:ind w:left="328" w:hanging="328"/>
        <w:spacing w:after="0"/>
        <w:tabs>
          <w:tab w:leader="none" w:pos="328"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Defaults and Remedies</w:t>
      </w:r>
      <w:r>
        <w:rPr>
          <w:rFonts w:ascii="Times New Roman" w:cs="Times New Roman" w:eastAsia="Times New Roman" w:hAnsi="Times New Roman"/>
          <w:sz w:val="20"/>
          <w:szCs w:val="20"/>
          <w:color w:val="auto"/>
        </w:rPr>
        <w:t>.</w:t>
      </w:r>
    </w:p>
    <w:p>
      <w:pPr>
        <w:spacing w:after="0" w:line="94" w:lineRule="exact"/>
        <w:rPr>
          <w:rFonts w:ascii="Times New Roman" w:cs="Times New Roman" w:eastAsia="Times New Roman" w:hAnsi="Times New Roman"/>
          <w:sz w:val="20"/>
          <w:szCs w:val="20"/>
          <w:color w:val="auto"/>
        </w:rPr>
      </w:pPr>
    </w:p>
    <w:p>
      <w:pPr>
        <w:ind w:left="1288" w:hanging="316"/>
        <w:spacing w:after="0" w:line="283" w:lineRule="auto"/>
        <w:tabs>
          <w:tab w:leader="none" w:pos="1381" w:val="left"/>
        </w:tabs>
        <w:numPr>
          <w:ilvl w:val="2"/>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The occurrence and continuance of any of the following shall constitute an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under this Note:</w:t>
      </w:r>
    </w:p>
    <w:p>
      <w:pPr>
        <w:spacing w:after="0" w:line="24" w:lineRule="exact"/>
        <w:rPr>
          <w:rFonts w:ascii="Times New Roman" w:cs="Times New Roman" w:eastAsia="Times New Roman" w:hAnsi="Times New Roman"/>
          <w:sz w:val="20"/>
          <w:szCs w:val="20"/>
          <w:color w:val="auto"/>
        </w:rPr>
      </w:pPr>
    </w:p>
    <w:p>
      <w:pPr>
        <w:ind w:left="2268" w:hanging="648"/>
        <w:spacing w:after="0" w:line="257" w:lineRule="auto"/>
        <w:tabs>
          <w:tab w:leader="none" w:pos="2029" w:val="left"/>
        </w:tabs>
        <w:numPr>
          <w:ilvl w:val="3"/>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fail to make any payment of unpaid principal or accrued but unpaid interest under this Note when and as the same shall become due and payable and such failure continues for five (5) Business Days;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for the avoidance of doubt, it is understood that interest obligations that are paid in kind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capitalized pursuant to this Note shall not give rise to an Event of Default under this Section 9(a)(i) when capitalized; or</w:t>
      </w:r>
    </w:p>
    <w:p>
      <w:pPr>
        <w:spacing w:after="0" w:line="51" w:lineRule="exact"/>
        <w:rPr>
          <w:rFonts w:ascii="Times New Roman" w:cs="Times New Roman" w:eastAsia="Times New Roman" w:hAnsi="Times New Roman"/>
          <w:sz w:val="20"/>
          <w:szCs w:val="20"/>
          <w:color w:val="auto"/>
        </w:rPr>
      </w:pPr>
    </w:p>
    <w:p>
      <w:pPr>
        <w:ind w:left="2268" w:hanging="648"/>
        <w:spacing w:after="0" w:line="258" w:lineRule="auto"/>
        <w:tabs>
          <w:tab w:leader="none" w:pos="2069" w:val="left"/>
        </w:tabs>
        <w:numPr>
          <w:ilvl w:val="3"/>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fails to comply with or to perform any covenant set forth herein and such failure continues for 10 Business Days after the earlier of (i) the date on which an officer of the Borrower becomes aware, or through the exercise of reasonable diligence should have become aware, of such failure and (ii) the date on which notice shall have been given to the Borrower from the Lender;</w:t>
      </w:r>
    </w:p>
    <w:p>
      <w:pPr>
        <w:spacing w:after="0" w:line="50" w:lineRule="exact"/>
        <w:rPr>
          <w:rFonts w:ascii="Times New Roman" w:cs="Times New Roman" w:eastAsia="Times New Roman" w:hAnsi="Times New Roman"/>
          <w:sz w:val="20"/>
          <w:szCs w:val="20"/>
          <w:color w:val="auto"/>
        </w:rPr>
      </w:pPr>
    </w:p>
    <w:p>
      <w:pPr>
        <w:ind w:left="2268" w:hanging="648"/>
        <w:spacing w:after="0" w:line="261" w:lineRule="auto"/>
        <w:tabs>
          <w:tab w:leader="none" w:pos="2199" w:val="left"/>
        </w:tabs>
        <w:numPr>
          <w:ilvl w:val="3"/>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representations and warranties set forth in this Note shall be untrue or shall be incorrect in any material respect when made or deemed made and in the case of any such misrepresentations that is capable of being cured such misrepresentation continues for 10 Business Days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8"/>
          </w:cols>
          <w:pgMar w:left="652" w:top="1413" w:right="339" w:bottom="1440" w:gutter="0" w:footer="0" w:header="0"/>
        </w:sectPr>
      </w:pPr>
    </w:p>
    <w:bookmarkStart w:id="458" w:name="page459"/>
    <w:bookmarkEnd w:id="458"/>
    <w:p>
      <w:pPr>
        <w:jc w:val="both"/>
        <w:ind w:left="2268"/>
        <w:spacing w:after="0" w:line="261" w:lineRule="auto"/>
        <w:rPr>
          <w:sz w:val="20"/>
          <w:szCs w:val="20"/>
          <w:color w:val="auto"/>
        </w:rPr>
      </w:pPr>
      <w:r>
        <w:rPr>
          <w:rFonts w:ascii="Times New Roman" w:cs="Times New Roman" w:eastAsia="Times New Roman" w:hAnsi="Times New Roman"/>
          <w:sz w:val="20"/>
          <w:szCs w:val="20"/>
          <w:color w:val="auto"/>
        </w:rPr>
        <w:t>the earlier of (i) the date on which an officer of the Borrower becomes aware, or through the exercise of reasonable diligence should have become aware, of such failure and (ii) the date on which notice shall have been given to the Borrower from the Lender; or</w:t>
      </w:r>
    </w:p>
    <w:p>
      <w:pPr>
        <w:spacing w:after="0" w:line="46" w:lineRule="exact"/>
        <w:rPr>
          <w:sz w:val="20"/>
          <w:szCs w:val="20"/>
          <w:color w:val="auto"/>
        </w:rPr>
      </w:pPr>
    </w:p>
    <w:p>
      <w:pPr>
        <w:jc w:val="both"/>
        <w:ind w:left="2268" w:hanging="648"/>
        <w:spacing w:after="0" w:line="258" w:lineRule="auto"/>
        <w:tabs>
          <w:tab w:leader="none" w:pos="2212" w:val="left"/>
        </w:tabs>
        <w:numPr>
          <w:ilvl w:val="2"/>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institution by or against the Borrower of insolvency, receivership or bankruptcy proceedings or any other proceedings for the settlement of debts, making an assignment for the benefit of the Borrower’s creditors or the Borrower’s dissolution, winding down, liquidation or ceasing to do business, in each case, that remain in effect for 30 days.</w:t>
      </w:r>
    </w:p>
    <w:p>
      <w:pPr>
        <w:spacing w:after="0" w:line="50" w:lineRule="exact"/>
        <w:rPr>
          <w:rFonts w:ascii="Times New Roman" w:cs="Times New Roman" w:eastAsia="Times New Roman" w:hAnsi="Times New Roman"/>
          <w:sz w:val="20"/>
          <w:szCs w:val="20"/>
          <w:color w:val="auto"/>
        </w:rPr>
      </w:pPr>
    </w:p>
    <w:p>
      <w:pPr>
        <w:ind w:left="1408" w:hanging="436"/>
        <w:spacing w:after="0"/>
        <w:tabs>
          <w:tab w:leader="none" w:pos="1408" w:val="left"/>
        </w:tabs>
        <w:numPr>
          <w:ilvl w:val="1"/>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If an Event of Default has occurred and is continuing:</w:t>
      </w:r>
    </w:p>
    <w:p>
      <w:pPr>
        <w:spacing w:after="0" w:line="107" w:lineRule="exact"/>
        <w:rPr>
          <w:rFonts w:ascii="Times New Roman" w:cs="Times New Roman" w:eastAsia="Times New Roman" w:hAnsi="Times New Roman"/>
          <w:sz w:val="20"/>
          <w:szCs w:val="20"/>
          <w:color w:val="auto"/>
        </w:rPr>
      </w:pPr>
    </w:p>
    <w:p>
      <w:pPr>
        <w:ind w:left="2268" w:hanging="648"/>
        <w:spacing w:after="0" w:line="258" w:lineRule="auto"/>
        <w:tabs>
          <w:tab w:leader="none" w:pos="2146" w:val="left"/>
        </w:tabs>
        <w:numPr>
          <w:ilvl w:val="2"/>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Lender may declare all or any portion of the unpaid Obligations to be immediately due and payable </w:t>
      </w:r>
      <w:r>
        <w:rPr>
          <w:rFonts w:ascii="Times New Roman" w:cs="Times New Roman" w:eastAsia="Times New Roman" w:hAnsi="Times New Roman"/>
          <w:sz w:val="20"/>
          <w:szCs w:val="20"/>
          <w:i w:val="1"/>
          <w:iCs w:val="1"/>
          <w:color w:val="auto"/>
        </w:rPr>
        <w:t xml:space="preserve">(provided, however, </w:t>
      </w:r>
      <w:r>
        <w:rPr>
          <w:rFonts w:ascii="Times New Roman" w:cs="Times New Roman" w:eastAsia="Times New Roman" w:hAnsi="Times New Roman"/>
          <w:sz w:val="20"/>
          <w:szCs w:val="20"/>
          <w:color w:val="auto"/>
        </w:rPr>
        <w:t>that if an Event of Default specified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9(a)(iv)</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above occurs, the entire unpaid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Obligations shall forthwith become and be immediately due and payable without any notice, declaration or other act on the part of the Lender);</w:t>
      </w:r>
    </w:p>
    <w:p>
      <w:pPr>
        <w:spacing w:after="0" w:line="50" w:lineRule="exact"/>
        <w:rPr>
          <w:rFonts w:ascii="Times New Roman" w:cs="Times New Roman" w:eastAsia="Times New Roman" w:hAnsi="Times New Roman"/>
          <w:sz w:val="20"/>
          <w:szCs w:val="20"/>
          <w:color w:val="auto"/>
        </w:rPr>
      </w:pPr>
    </w:p>
    <w:p>
      <w:pPr>
        <w:ind w:left="2068" w:hanging="448"/>
        <w:spacing w:after="0"/>
        <w:tabs>
          <w:tab w:leader="none" w:pos="2068" w:val="left"/>
        </w:tabs>
        <w:numPr>
          <w:ilvl w:val="2"/>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 may elect to apply the Default Rate on any Obligations that are past due; and</w:t>
      </w:r>
    </w:p>
    <w:p>
      <w:pPr>
        <w:spacing w:after="0" w:line="94" w:lineRule="exact"/>
        <w:rPr>
          <w:rFonts w:ascii="Times New Roman" w:cs="Times New Roman" w:eastAsia="Times New Roman" w:hAnsi="Times New Roman"/>
          <w:sz w:val="20"/>
          <w:szCs w:val="20"/>
          <w:color w:val="auto"/>
        </w:rPr>
      </w:pPr>
    </w:p>
    <w:p>
      <w:pPr>
        <w:ind w:left="2268" w:right="20" w:hanging="648"/>
        <w:spacing w:after="0" w:line="283" w:lineRule="auto"/>
        <w:tabs>
          <w:tab w:leader="none" w:pos="2154" w:val="left"/>
        </w:tabs>
        <w:numPr>
          <w:ilvl w:val="2"/>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 shall be entitled to exercise any other rights which the Lender may have been afforded under any contract or agreement at any time and other rights which the Lender may have pursuant to applicable law.</w:t>
      </w:r>
    </w:p>
    <w:p>
      <w:pPr>
        <w:spacing w:after="0" w:line="24" w:lineRule="exact"/>
        <w:rPr>
          <w:rFonts w:ascii="Times New Roman" w:cs="Times New Roman" w:eastAsia="Times New Roman" w:hAnsi="Times New Roman"/>
          <w:sz w:val="20"/>
          <w:szCs w:val="20"/>
          <w:color w:val="auto"/>
        </w:rPr>
      </w:pPr>
    </w:p>
    <w:p>
      <w:pPr>
        <w:ind w:left="328" w:hanging="328"/>
        <w:spacing w:after="0" w:line="269" w:lineRule="auto"/>
        <w:tabs>
          <w:tab w:leader="none" w:pos="319"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The effectiveness of this Note and the obligations of the Borrower and Lender hereunder is subject to satisfaction or waiver of the following conditions precedent on or prior to the date hereof:</w:t>
      </w:r>
    </w:p>
    <w:p>
      <w:pPr>
        <w:spacing w:after="0" w:line="51" w:lineRule="exact"/>
        <w:rPr>
          <w:rFonts w:ascii="Times New Roman" w:cs="Times New Roman" w:eastAsia="Times New Roman" w:hAnsi="Times New Roman"/>
          <w:sz w:val="20"/>
          <w:szCs w:val="20"/>
          <w:color w:val="auto"/>
        </w:rPr>
      </w:pPr>
    </w:p>
    <w:p>
      <w:pPr>
        <w:ind w:left="1388" w:hanging="416"/>
        <w:spacing w:after="0"/>
        <w:tabs>
          <w:tab w:leader="none" w:pos="1388"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the Lender shall execute the Note Documents; and</w:t>
      </w:r>
    </w:p>
    <w:p>
      <w:pPr>
        <w:spacing w:after="0" w:line="94" w:lineRule="exact"/>
        <w:rPr>
          <w:rFonts w:ascii="Times New Roman" w:cs="Times New Roman" w:eastAsia="Times New Roman" w:hAnsi="Times New Roman"/>
          <w:sz w:val="20"/>
          <w:szCs w:val="20"/>
          <w:color w:val="auto"/>
        </w:rPr>
      </w:pPr>
    </w:p>
    <w:p>
      <w:pPr>
        <w:ind w:left="1408" w:hanging="436"/>
        <w:spacing w:after="0"/>
        <w:tabs>
          <w:tab w:leader="none" w:pos="1408"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fees and expenses required to be paid pursuant to the Note shall have been paid by the Borrower.</w:t>
      </w:r>
    </w:p>
    <w:p>
      <w:pPr>
        <w:spacing w:after="0" w:line="94" w:lineRule="exact"/>
        <w:rPr>
          <w:rFonts w:ascii="Times New Roman" w:cs="Times New Roman" w:eastAsia="Times New Roman" w:hAnsi="Times New Roman"/>
          <w:sz w:val="20"/>
          <w:szCs w:val="20"/>
          <w:color w:val="auto"/>
        </w:rPr>
      </w:pPr>
    </w:p>
    <w:p>
      <w:pPr>
        <w:jc w:val="both"/>
        <w:ind w:left="328" w:hanging="328"/>
        <w:spacing w:after="0" w:line="261" w:lineRule="auto"/>
        <w:tabs>
          <w:tab w:leader="none" w:pos="311"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and Waiver</w:t>
      </w:r>
      <w:r>
        <w:rPr>
          <w:rFonts w:ascii="Times New Roman" w:cs="Times New Roman" w:eastAsia="Times New Roman" w:hAnsi="Times New Roman"/>
          <w:sz w:val="20"/>
          <w:szCs w:val="20"/>
          <w:color w:val="auto"/>
        </w:rPr>
        <w:t>. Except as otherwise expressly provided herein, the provisions of this Note may be amended or waived and the Borrower may take any action herein prohibited, or omit to perform any act herein required to be performed by it, only if the Borrower has obtained the written consent of the Lender.</w:t>
      </w:r>
    </w:p>
    <w:p>
      <w:pPr>
        <w:spacing w:after="0" w:line="59" w:lineRule="exact"/>
        <w:rPr>
          <w:rFonts w:ascii="Times New Roman" w:cs="Times New Roman" w:eastAsia="Times New Roman" w:hAnsi="Times New Roman"/>
          <w:sz w:val="20"/>
          <w:szCs w:val="20"/>
          <w:color w:val="auto"/>
        </w:rPr>
      </w:pPr>
    </w:p>
    <w:p>
      <w:pPr>
        <w:jc w:val="both"/>
        <w:ind w:left="328" w:hanging="328"/>
        <w:spacing w:after="0" w:line="253" w:lineRule="auto"/>
        <w:tabs>
          <w:tab w:leader="none" w:pos="319"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Transfer</w:t>
      </w:r>
      <w:r>
        <w:rPr>
          <w:rFonts w:ascii="Times New Roman" w:cs="Times New Roman" w:eastAsia="Times New Roman" w:hAnsi="Times New Roman"/>
          <w:sz w:val="20"/>
          <w:szCs w:val="20"/>
          <w:color w:val="auto"/>
        </w:rPr>
        <w:t xml:space="preserve">. The rights and obligations of the Borrower and the Lender shall be binding upon and benefit the successors and permitted assigns and transferees of the Borrower and the Lender. Neither the Lender nor the Borrower shall be permitted to assign its respective rights or obligations under this Note without the prior written consent of the other, and any such prohibited assignment shall be null and void </w:t>
      </w:r>
      <w:r>
        <w:rPr>
          <w:rFonts w:ascii="Times New Roman" w:cs="Times New Roman" w:eastAsia="Times New Roman" w:hAnsi="Times New Roman"/>
          <w:sz w:val="20"/>
          <w:szCs w:val="20"/>
          <w:i w:val="1"/>
          <w:iCs w:val="1"/>
          <w:color w:val="auto"/>
        </w:rPr>
        <w:t>ab initio; provided</w:t>
      </w:r>
      <w:r>
        <w:rPr>
          <w:rFonts w:ascii="Times New Roman" w:cs="Times New Roman" w:eastAsia="Times New Roman" w:hAnsi="Times New Roman"/>
          <w:sz w:val="20"/>
          <w:szCs w:val="20"/>
          <w:color w:val="auto"/>
        </w:rPr>
        <w:t xml:space="preserve"> that the Lender may assign its rights and obligations under this Note without the consent of the Borrower: (i) to its Affiliates or (ii) if an Event of Default has occurred and is continuing.</w:t>
      </w:r>
    </w:p>
    <w:p>
      <w:pPr>
        <w:spacing w:after="0" w:line="56" w:lineRule="exact"/>
        <w:rPr>
          <w:rFonts w:ascii="Times New Roman" w:cs="Times New Roman" w:eastAsia="Times New Roman" w:hAnsi="Times New Roman"/>
          <w:sz w:val="20"/>
          <w:szCs w:val="20"/>
          <w:color w:val="auto"/>
        </w:rPr>
      </w:pPr>
    </w:p>
    <w:p>
      <w:pPr>
        <w:jc w:val="both"/>
        <w:ind w:left="328" w:hanging="328"/>
        <w:spacing w:after="0" w:line="261" w:lineRule="auto"/>
        <w:tabs>
          <w:tab w:leader="none" w:pos="319"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Cancellation</w:t>
      </w:r>
      <w:r>
        <w:rPr>
          <w:rFonts w:ascii="Times New Roman" w:cs="Times New Roman" w:eastAsia="Times New Roman" w:hAnsi="Times New Roman"/>
          <w:sz w:val="20"/>
          <w:szCs w:val="20"/>
          <w:color w:val="auto"/>
        </w:rPr>
        <w:t>. Immediately after all principal and accrued interest at any time owed on this Note has been paid in full, in cash (excluding, for the avoidance of doubt, any inchoate indemnity and reimbursement obligations) (“</w:t>
      </w:r>
      <w:r>
        <w:rPr>
          <w:rFonts w:ascii="Times New Roman" w:cs="Times New Roman" w:eastAsia="Times New Roman" w:hAnsi="Times New Roman"/>
          <w:sz w:val="20"/>
          <w:szCs w:val="20"/>
          <w:u w:val="single" w:color="auto"/>
          <w:color w:val="auto"/>
        </w:rPr>
        <w:t>Payment in Full</w:t>
      </w:r>
      <w:r>
        <w:rPr>
          <w:rFonts w:ascii="Times New Roman" w:cs="Times New Roman" w:eastAsia="Times New Roman" w:hAnsi="Times New Roman"/>
          <w:sz w:val="20"/>
          <w:szCs w:val="20"/>
          <w:color w:val="auto"/>
        </w:rPr>
        <w:t>”), this Note shall be automatically and irrevocably canceled and the Lender shall immediately surrender this Note to the Borrower for cancellation.</w:t>
      </w:r>
    </w:p>
    <w:p>
      <w:pPr>
        <w:spacing w:after="0" w:line="59" w:lineRule="exact"/>
        <w:rPr>
          <w:rFonts w:ascii="Times New Roman" w:cs="Times New Roman" w:eastAsia="Times New Roman" w:hAnsi="Times New Roman"/>
          <w:sz w:val="20"/>
          <w:szCs w:val="20"/>
          <w:color w:val="auto"/>
        </w:rPr>
      </w:pPr>
    </w:p>
    <w:p>
      <w:pPr>
        <w:jc w:val="both"/>
        <w:ind w:left="328" w:hanging="328"/>
        <w:spacing w:after="0" w:line="261" w:lineRule="auto"/>
        <w:tabs>
          <w:tab w:leader="none" w:pos="319"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w:t>
      </w:r>
      <w:r>
        <w:rPr>
          <w:rFonts w:ascii="Times New Roman" w:cs="Times New Roman" w:eastAsia="Times New Roman" w:hAnsi="Times New Roman"/>
          <w:sz w:val="20"/>
          <w:szCs w:val="20"/>
          <w:color w:val="auto"/>
        </w:rPr>
        <w:t>. Upon receipt of evidence reasonably satisfactory to the Borrower of the loss, theft, destruction or mutilation of this Note and, in the case of any such loss, theft or destruction of this Note, upon receipt of an indemnity reasonably satisfactory to the Borrower or, in the case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8"/>
          </w:cols>
          <w:pgMar w:left="652" w:top="1413" w:right="339" w:bottom="1440" w:gutter="0" w:footer="0" w:header="0"/>
        </w:sectPr>
      </w:pPr>
    </w:p>
    <w:bookmarkStart w:id="459" w:name="page460"/>
    <w:bookmarkEnd w:id="459"/>
    <w:p>
      <w:pPr>
        <w:jc w:val="both"/>
        <w:ind w:left="328"/>
        <w:spacing w:after="0" w:line="261" w:lineRule="auto"/>
        <w:rPr>
          <w:sz w:val="20"/>
          <w:szCs w:val="20"/>
          <w:color w:val="auto"/>
        </w:rPr>
      </w:pPr>
      <w:r>
        <w:rPr>
          <w:rFonts w:ascii="Times New Roman" w:cs="Times New Roman" w:eastAsia="Times New Roman" w:hAnsi="Times New Roman"/>
          <w:sz w:val="20"/>
          <w:szCs w:val="20"/>
          <w:color w:val="auto"/>
        </w:rPr>
        <w:t>such mutilation, upon the surrender and cancellation of this Note, the Borrower shall execute and deliver, in lieu thereof, a new Note of like tenor and dated the date of such lost, stolen, destroyed or mutilated Note. Any Note in lieu of which any such new Note has been so executed and delivered by the Borrower shall not be deemed to be an outstanding Note and shall be deemed cancelled.</w:t>
      </w:r>
    </w:p>
    <w:p>
      <w:pPr>
        <w:spacing w:after="0" w:line="46" w:lineRule="exact"/>
        <w:rPr>
          <w:sz w:val="20"/>
          <w:szCs w:val="20"/>
          <w:color w:val="auto"/>
        </w:rPr>
      </w:pPr>
    </w:p>
    <w:p>
      <w:pPr>
        <w:ind w:left="328" w:hanging="328"/>
        <w:spacing w:after="0" w:line="283" w:lineRule="auto"/>
        <w:tabs>
          <w:tab w:leader="none" w:pos="319"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Treatment</w:t>
      </w:r>
      <w:r>
        <w:rPr>
          <w:rFonts w:ascii="Times New Roman" w:cs="Times New Roman" w:eastAsia="Times New Roman" w:hAnsi="Times New Roman"/>
          <w:sz w:val="20"/>
          <w:szCs w:val="20"/>
          <w:color w:val="auto"/>
        </w:rPr>
        <w:t>. The parties hereto agree that for all applicable income tax purposes, the issue price and fair market value of this Note is the stated principal amount hereof.</w:t>
      </w:r>
    </w:p>
    <w:p>
      <w:pPr>
        <w:spacing w:after="0" w:line="24" w:lineRule="exact"/>
        <w:rPr>
          <w:rFonts w:ascii="Times New Roman" w:cs="Times New Roman" w:eastAsia="Times New Roman" w:hAnsi="Times New Roman"/>
          <w:sz w:val="20"/>
          <w:szCs w:val="20"/>
          <w:color w:val="auto"/>
        </w:rPr>
      </w:pPr>
    </w:p>
    <w:p>
      <w:pPr>
        <w:jc w:val="both"/>
        <w:ind w:left="328" w:hanging="328"/>
        <w:spacing w:after="0" w:line="261" w:lineRule="auto"/>
        <w:tabs>
          <w:tab w:leader="none" w:pos="319"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requests and other communications hereunder shall be in writing and shall be deemed to have been duly given if delivered personally against written receipt, by electronic mail if transmitted without indication of a delivery failure mailed by international overnight courier prepaid, to the parties at the following addresses and electronic mail addresses:</w:t>
      </w:r>
    </w:p>
    <w:p>
      <w:pPr>
        <w:spacing w:after="0" w:line="276" w:lineRule="exact"/>
        <w:rPr>
          <w:sz w:val="20"/>
          <w:szCs w:val="20"/>
          <w:color w:val="auto"/>
        </w:rPr>
      </w:pPr>
    </w:p>
    <w:p>
      <w:pPr>
        <w:ind w:left="948"/>
        <w:spacing w:after="0"/>
        <w:rPr>
          <w:sz w:val="20"/>
          <w:szCs w:val="20"/>
          <w:color w:val="auto"/>
        </w:rPr>
      </w:pPr>
      <w:r>
        <w:rPr>
          <w:rFonts w:ascii="Times New Roman" w:cs="Times New Roman" w:eastAsia="Times New Roman" w:hAnsi="Times New Roman"/>
          <w:sz w:val="20"/>
          <w:szCs w:val="20"/>
          <w:u w:val="single" w:color="auto"/>
          <w:color w:val="auto"/>
        </w:rPr>
        <w:t>If to the Lender</w:t>
      </w:r>
      <w:r>
        <w:rPr>
          <w:rFonts w:ascii="Times New Roman" w:cs="Times New Roman" w:eastAsia="Times New Roman" w:hAnsi="Times New Roman"/>
          <w:sz w:val="20"/>
          <w:szCs w:val="20"/>
          <w:color w:val="auto"/>
        </w:rPr>
        <w:t>:</w:t>
      </w:r>
    </w:p>
    <w:p>
      <w:pPr>
        <w:spacing w:after="0" w:line="324" w:lineRule="exact"/>
        <w:rPr>
          <w:sz w:val="20"/>
          <w:szCs w:val="20"/>
          <w:color w:val="auto"/>
        </w:rPr>
      </w:pPr>
    </w:p>
    <w:p>
      <w:pPr>
        <w:ind w:left="948"/>
        <w:spacing w:after="0"/>
        <w:rPr>
          <w:sz w:val="20"/>
          <w:szCs w:val="20"/>
          <w:color w:val="auto"/>
        </w:rPr>
      </w:pPr>
      <w:r>
        <w:rPr>
          <w:rFonts w:ascii="Times New Roman" w:cs="Times New Roman" w:eastAsia="Times New Roman" w:hAnsi="Times New Roman"/>
          <w:sz w:val="20"/>
          <w:szCs w:val="20"/>
          <w:color w:val="auto"/>
        </w:rPr>
        <w:t>Figure Technologies, Inc.</w:t>
      </w:r>
    </w:p>
    <w:p>
      <w:pPr>
        <w:spacing w:after="0" w:line="28" w:lineRule="exact"/>
        <w:rPr>
          <w:sz w:val="20"/>
          <w:szCs w:val="20"/>
          <w:color w:val="auto"/>
        </w:rPr>
      </w:pPr>
    </w:p>
    <w:p>
      <w:pPr>
        <w:ind w:left="948"/>
        <w:spacing w:after="0"/>
        <w:rPr>
          <w:sz w:val="20"/>
          <w:szCs w:val="20"/>
          <w:color w:val="auto"/>
        </w:rPr>
      </w:pPr>
      <w:r>
        <w:rPr>
          <w:rFonts w:ascii="Times New Roman" w:cs="Times New Roman" w:eastAsia="Times New Roman" w:hAnsi="Times New Roman"/>
          <w:sz w:val="20"/>
          <w:szCs w:val="20"/>
          <w:color w:val="auto"/>
        </w:rPr>
        <w:t>650 California Street</w:t>
      </w:r>
    </w:p>
    <w:p>
      <w:pPr>
        <w:spacing w:after="0" w:line="13" w:lineRule="exact"/>
        <w:rPr>
          <w:sz w:val="20"/>
          <w:szCs w:val="20"/>
          <w:color w:val="auto"/>
        </w:rPr>
      </w:pPr>
    </w:p>
    <w:p>
      <w:pPr>
        <w:ind w:left="948"/>
        <w:spacing w:after="0"/>
        <w:rPr>
          <w:sz w:val="20"/>
          <w:szCs w:val="20"/>
          <w:color w:val="auto"/>
        </w:rPr>
      </w:pPr>
      <w:r>
        <w:rPr>
          <w:rFonts w:ascii="Times New Roman" w:cs="Times New Roman" w:eastAsia="Times New Roman" w:hAnsi="Times New Roman"/>
          <w:sz w:val="20"/>
          <w:szCs w:val="20"/>
          <w:color w:val="auto"/>
        </w:rPr>
        <w:t>Suite 2700</w:t>
      </w:r>
    </w:p>
    <w:p>
      <w:pPr>
        <w:spacing w:after="0" w:line="6" w:lineRule="exact"/>
        <w:rPr>
          <w:sz w:val="20"/>
          <w:szCs w:val="20"/>
          <w:color w:val="auto"/>
        </w:rPr>
      </w:pPr>
    </w:p>
    <w:p>
      <w:pPr>
        <w:ind w:left="948"/>
        <w:spacing w:after="0"/>
        <w:rPr>
          <w:sz w:val="20"/>
          <w:szCs w:val="20"/>
          <w:color w:val="auto"/>
        </w:rPr>
      </w:pPr>
      <w:r>
        <w:rPr>
          <w:rFonts w:ascii="Times New Roman" w:cs="Times New Roman" w:eastAsia="Times New Roman" w:hAnsi="Times New Roman"/>
          <w:sz w:val="20"/>
          <w:szCs w:val="20"/>
          <w:color w:val="auto"/>
        </w:rPr>
        <w:t>San Francisco, CA 94108</w:t>
      </w:r>
    </w:p>
    <w:p>
      <w:pPr>
        <w:spacing w:after="0" w:line="6" w:lineRule="exact"/>
        <w:rPr>
          <w:sz w:val="20"/>
          <w:szCs w:val="20"/>
          <w:color w:val="auto"/>
        </w:rPr>
      </w:pPr>
    </w:p>
    <w:p>
      <w:pPr>
        <w:ind w:left="948"/>
        <w:spacing w:after="0"/>
        <w:rPr>
          <w:sz w:val="20"/>
          <w:szCs w:val="20"/>
          <w:color w:val="auto"/>
        </w:rPr>
      </w:pPr>
      <w:r>
        <w:rPr>
          <w:rFonts w:ascii="Times New Roman" w:cs="Times New Roman" w:eastAsia="Times New Roman" w:hAnsi="Times New Roman"/>
          <w:sz w:val="20"/>
          <w:szCs w:val="20"/>
          <w:color w:val="auto"/>
        </w:rPr>
        <w:t>Email: legal@figure.com</w:t>
      </w:r>
    </w:p>
    <w:p>
      <w:pPr>
        <w:spacing w:after="0" w:line="6" w:lineRule="exact"/>
        <w:rPr>
          <w:sz w:val="20"/>
          <w:szCs w:val="20"/>
          <w:color w:val="auto"/>
        </w:rPr>
      </w:pPr>
    </w:p>
    <w:p>
      <w:pPr>
        <w:ind w:left="948"/>
        <w:spacing w:after="0"/>
        <w:rPr>
          <w:sz w:val="20"/>
          <w:szCs w:val="20"/>
          <w:color w:val="auto"/>
        </w:rPr>
      </w:pPr>
      <w:r>
        <w:rPr>
          <w:rFonts w:ascii="Times New Roman" w:cs="Times New Roman" w:eastAsia="Times New Roman" w:hAnsi="Times New Roman"/>
          <w:sz w:val="20"/>
          <w:szCs w:val="20"/>
          <w:color w:val="auto"/>
        </w:rPr>
        <w:t>Attention: Legal Department</w:t>
      </w:r>
    </w:p>
    <w:p>
      <w:pPr>
        <w:spacing w:after="0" w:line="315" w:lineRule="exact"/>
        <w:rPr>
          <w:sz w:val="20"/>
          <w:szCs w:val="20"/>
          <w:color w:val="auto"/>
        </w:rPr>
      </w:pPr>
    </w:p>
    <w:p>
      <w:pPr>
        <w:ind w:left="948"/>
        <w:spacing w:after="0"/>
        <w:rPr>
          <w:sz w:val="20"/>
          <w:szCs w:val="20"/>
          <w:color w:val="auto"/>
        </w:rPr>
      </w:pPr>
      <w:r>
        <w:rPr>
          <w:rFonts w:ascii="Times New Roman" w:cs="Times New Roman" w:eastAsia="Times New Roman" w:hAnsi="Times New Roman"/>
          <w:sz w:val="20"/>
          <w:szCs w:val="20"/>
          <w:u w:val="single" w:color="auto"/>
          <w:color w:val="auto"/>
        </w:rPr>
        <w:t>If to Borrower</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948"/>
        <w:spacing w:after="0"/>
        <w:rPr>
          <w:sz w:val="20"/>
          <w:szCs w:val="20"/>
          <w:color w:val="auto"/>
        </w:rPr>
      </w:pPr>
      <w:r>
        <w:rPr>
          <w:rFonts w:ascii="Times New Roman" w:cs="Times New Roman" w:eastAsia="Times New Roman" w:hAnsi="Times New Roman"/>
          <w:sz w:val="20"/>
          <w:szCs w:val="20"/>
          <w:color w:val="auto"/>
        </w:rPr>
        <w:t>Provenance Blockchain Foundation Inc.</w:t>
      </w:r>
    </w:p>
    <w:p>
      <w:pPr>
        <w:spacing w:after="0" w:line="28" w:lineRule="exact"/>
        <w:rPr>
          <w:sz w:val="20"/>
          <w:szCs w:val="20"/>
          <w:color w:val="auto"/>
        </w:rPr>
      </w:pPr>
    </w:p>
    <w:p>
      <w:pPr>
        <w:ind w:left="948"/>
        <w:spacing w:after="0"/>
        <w:rPr>
          <w:sz w:val="20"/>
          <w:szCs w:val="20"/>
          <w:color w:val="auto"/>
        </w:rPr>
      </w:pPr>
      <w:r>
        <w:rPr>
          <w:rFonts w:ascii="Times New Roman" w:cs="Times New Roman" w:eastAsia="Times New Roman" w:hAnsi="Times New Roman"/>
          <w:sz w:val="20"/>
          <w:szCs w:val="20"/>
          <w:color w:val="auto"/>
        </w:rPr>
        <w:t>237 Kearny ST, #122</w:t>
      </w:r>
    </w:p>
    <w:p>
      <w:pPr>
        <w:spacing w:after="0" w:line="13" w:lineRule="exact"/>
        <w:rPr>
          <w:sz w:val="20"/>
          <w:szCs w:val="20"/>
          <w:color w:val="auto"/>
        </w:rPr>
      </w:pPr>
    </w:p>
    <w:p>
      <w:pPr>
        <w:ind w:left="948"/>
        <w:spacing w:after="0"/>
        <w:rPr>
          <w:sz w:val="20"/>
          <w:szCs w:val="20"/>
          <w:color w:val="auto"/>
        </w:rPr>
      </w:pPr>
      <w:r>
        <w:rPr>
          <w:rFonts w:ascii="Times New Roman" w:cs="Times New Roman" w:eastAsia="Times New Roman" w:hAnsi="Times New Roman"/>
          <w:sz w:val="20"/>
          <w:szCs w:val="20"/>
          <w:color w:val="auto"/>
        </w:rPr>
        <w:t>San Francisco, CA 94108</w:t>
      </w:r>
    </w:p>
    <w:p>
      <w:pPr>
        <w:spacing w:after="0" w:line="6" w:lineRule="exact"/>
        <w:rPr>
          <w:sz w:val="20"/>
          <w:szCs w:val="20"/>
          <w:color w:val="auto"/>
        </w:rPr>
      </w:pPr>
    </w:p>
    <w:p>
      <w:pPr>
        <w:ind w:left="948"/>
        <w:spacing w:after="0"/>
        <w:rPr>
          <w:sz w:val="20"/>
          <w:szCs w:val="20"/>
          <w:color w:val="auto"/>
        </w:rPr>
      </w:pPr>
      <w:r>
        <w:rPr>
          <w:rFonts w:ascii="Times New Roman" w:cs="Times New Roman" w:eastAsia="Times New Roman" w:hAnsi="Times New Roman"/>
          <w:sz w:val="20"/>
          <w:szCs w:val="20"/>
          <w:color w:val="auto"/>
        </w:rPr>
        <w:t>Email: AMoro@provenance.io</w:t>
      </w:r>
    </w:p>
    <w:p>
      <w:pPr>
        <w:spacing w:after="0" w:line="6" w:lineRule="exact"/>
        <w:rPr>
          <w:sz w:val="20"/>
          <w:szCs w:val="20"/>
          <w:color w:val="auto"/>
        </w:rPr>
      </w:pPr>
    </w:p>
    <w:p>
      <w:pPr>
        <w:ind w:left="948"/>
        <w:spacing w:after="0"/>
        <w:rPr>
          <w:sz w:val="20"/>
          <w:szCs w:val="20"/>
          <w:color w:val="auto"/>
        </w:rPr>
      </w:pPr>
      <w:r>
        <w:rPr>
          <w:rFonts w:ascii="Times New Roman" w:cs="Times New Roman" w:eastAsia="Times New Roman" w:hAnsi="Times New Roman"/>
          <w:sz w:val="20"/>
          <w:szCs w:val="20"/>
          <w:color w:val="auto"/>
        </w:rPr>
        <w:t>Attention: Chief Executive Officer</w:t>
      </w:r>
    </w:p>
    <w:p>
      <w:pPr>
        <w:spacing w:after="0" w:line="308" w:lineRule="exact"/>
        <w:rPr>
          <w:sz w:val="20"/>
          <w:szCs w:val="20"/>
          <w:color w:val="auto"/>
        </w:rPr>
      </w:pPr>
    </w:p>
    <w:p>
      <w:pPr>
        <w:jc w:val="both"/>
        <w:ind w:left="328"/>
        <w:spacing w:after="0" w:line="253" w:lineRule="auto"/>
        <w:rPr>
          <w:sz w:val="20"/>
          <w:szCs w:val="20"/>
          <w:color w:val="auto"/>
        </w:rPr>
      </w:pPr>
      <w:r>
        <w:rPr>
          <w:rFonts w:ascii="Times New Roman" w:cs="Times New Roman" w:eastAsia="Times New Roman" w:hAnsi="Times New Roman"/>
          <w:sz w:val="20"/>
          <w:szCs w:val="20"/>
          <w:color w:val="auto"/>
        </w:rPr>
        <w:t xml:space="preserve">All such notices, requests and other communications will (a) if delivered personally to the address as provided in this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xml:space="preserve"> or by electronic mail transmission to the electronic mail address as provided in this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xml:space="preserve"> be deemed given on the day so delivered, or, if delivered after 5:00 p.m. local time of the recipient or on a day other than a Business Day, then on the next proceeding Business Day, and (b) if delivered by international overnight courier to the address as provided for in this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xml:space="preserve"> be deemed given upon receipt, in each case regardless of whether such notice, request or other communication is received by any other Person to whom a copy of such notice is to be delivered pursuant to this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Any the Borrower or the Lender from time to time may change its address, electronic mail address or other information for the purpose of notices to such Person by giving notice specifying such change to the other party hereto.</w:t>
      </w:r>
    </w:p>
    <w:p>
      <w:pPr>
        <w:spacing w:after="0" w:line="59" w:lineRule="exact"/>
        <w:rPr>
          <w:sz w:val="20"/>
          <w:szCs w:val="20"/>
          <w:color w:val="auto"/>
        </w:rPr>
      </w:pPr>
    </w:p>
    <w:p>
      <w:pPr>
        <w:jc w:val="both"/>
        <w:ind w:left="328" w:hanging="328"/>
        <w:spacing w:after="0" w:line="261" w:lineRule="auto"/>
        <w:tabs>
          <w:tab w:leader="none" w:pos="319"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Days</w:t>
      </w:r>
      <w:r>
        <w:rPr>
          <w:rFonts w:ascii="Times New Roman" w:cs="Times New Roman" w:eastAsia="Times New Roman" w:hAnsi="Times New Roman"/>
          <w:sz w:val="20"/>
          <w:szCs w:val="20"/>
          <w:color w:val="auto"/>
        </w:rPr>
        <w:t>. If any payment is due, or any time period for giving notice or taking action expires, on a day which is not a Business Day, the payment shall be due and payable on, and the time period shall automatically be extended to, the next succeeding Business Day, and interest shall continue to accrue at the required rate hereunder until any such payment is made.</w:t>
      </w:r>
    </w:p>
    <w:p>
      <w:pPr>
        <w:spacing w:after="0" w:line="46" w:lineRule="exact"/>
        <w:rPr>
          <w:rFonts w:ascii="Times New Roman" w:cs="Times New Roman" w:eastAsia="Times New Roman" w:hAnsi="Times New Roman"/>
          <w:sz w:val="20"/>
          <w:szCs w:val="20"/>
          <w:color w:val="auto"/>
        </w:rPr>
      </w:pPr>
    </w:p>
    <w:p>
      <w:pPr>
        <w:ind w:left="328" w:right="20" w:hanging="328"/>
        <w:spacing w:after="0" w:line="283" w:lineRule="auto"/>
        <w:tabs>
          <w:tab w:leader="none" w:pos="319"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Presentment. Demand and Dishonor</w:t>
      </w:r>
      <w:r>
        <w:rPr>
          <w:rFonts w:ascii="Times New Roman" w:cs="Times New Roman" w:eastAsia="Times New Roman" w:hAnsi="Times New Roman"/>
          <w:sz w:val="20"/>
          <w:szCs w:val="20"/>
          <w:color w:val="auto"/>
        </w:rPr>
        <w:t>. The Borrower hereby waives presentment for payment, protest, demand, notice of protest, notice of nonpayment and diligence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8"/>
          </w:cols>
          <w:pgMar w:left="652" w:top="1413" w:right="339" w:bottom="1440" w:gutter="0" w:footer="0" w:header="0"/>
        </w:sectPr>
      </w:pPr>
    </w:p>
    <w:bookmarkStart w:id="460" w:name="page461"/>
    <w:bookmarkEnd w:id="460"/>
    <w:p>
      <w:pPr>
        <w:jc w:val="both"/>
        <w:ind w:left="328"/>
        <w:spacing w:after="0" w:line="253" w:lineRule="auto"/>
        <w:rPr>
          <w:sz w:val="20"/>
          <w:szCs w:val="20"/>
          <w:color w:val="auto"/>
        </w:rPr>
      </w:pPr>
      <w:r>
        <w:rPr>
          <w:rFonts w:ascii="Times New Roman" w:cs="Times New Roman" w:eastAsia="Times New Roman" w:hAnsi="Times New Roman"/>
          <w:sz w:val="20"/>
          <w:szCs w:val="20"/>
          <w:color w:val="auto"/>
        </w:rPr>
        <w:t>this Note, and waives and renounces all rights to the benefits of any statute of limitations or any moratorium, appraisement, exemption, or homestead now provided or that hereafter may be provided by any federal or applicable state statute, including but not limited to exemptions provided by or allowed under the Bankruptcy Code, both as to itself and as to all of its Property, whether real or personal, against the enforcement and collection of the Obligations hereunder and any and all extensions, renewals, and modifications hereof.</w:t>
      </w:r>
    </w:p>
    <w:p>
      <w:pPr>
        <w:spacing w:after="0" w:line="70" w:lineRule="exact"/>
        <w:rPr>
          <w:sz w:val="20"/>
          <w:szCs w:val="20"/>
          <w:color w:val="auto"/>
        </w:rPr>
      </w:pPr>
    </w:p>
    <w:p>
      <w:pPr>
        <w:jc w:val="both"/>
        <w:ind w:left="328" w:hanging="328"/>
        <w:spacing w:after="0" w:line="250" w:lineRule="auto"/>
        <w:tabs>
          <w:tab w:leader="none" w:pos="319"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OF THE BORROWER AND THE LENDER UNCONDITIONALLY WAIVES ANY AND ALL RIGHT TO A JURY TRIAL OF ANY CLAIM OR CAUSE OF ACTION BASED UPON OR ARISING OUT OF THIS NOTE, ANY OF THE OTHER NOTE DOCUMENTS, ANY OF THE INDEBTEDNESS EVIDENCED HEREBY, ANY DEALINGS AMONG THE BORROWER AND THE LENDER RELATING TO THE SUBJECT MATTER OF THIS TRANSACTION OR ANY RELATED TRANSACTIONS, AND/OR THE RELATIONSHIP THAT IS BEING ESTABLISHED AMONG THE BORROWER AND THE LENDER. THE SCOPE OF THIS WAIVER IS INTENDED TO BE ALL ENCOMPASSING OF ANY AND ALL DISPUTES THAT MAY BE FILED IN ANY COURT. THIS WAIVER IS IRREVOCABLE. THIS WAIVER MAY NOT BE MODIFIED EITHER ORALLY OR IN WRITING. THE WAIVER ALSO SHALL APPLY TO ANY SUBSEQUENT AMENDMENTS, RENEWALS, SUPPLEMENTS OR MODIFICATIONS TO THIS NOTE, ANY OTHER NOTE DOCUMENTS, OR TO ANY OTHER DOCUMENTS OR AGREEMENTS RELATING TO THIS TRANSACTION OR ANY RELATED TRANSACTION. THIS NOTE MAY BE FILED AS A WRITTEN CONSENT TO A TRIAL BY THE COURT.</w:t>
      </w:r>
    </w:p>
    <w:p>
      <w:pPr>
        <w:spacing w:after="0" w:line="186" w:lineRule="exact"/>
        <w:rPr>
          <w:rFonts w:ascii="Times New Roman" w:cs="Times New Roman" w:eastAsia="Times New Roman" w:hAnsi="Times New Roman"/>
          <w:sz w:val="20"/>
          <w:szCs w:val="20"/>
          <w:color w:val="auto"/>
        </w:rPr>
      </w:pPr>
    </w:p>
    <w:p>
      <w:pPr>
        <w:ind w:left="308" w:hanging="308"/>
        <w:spacing w:after="0"/>
        <w:tabs>
          <w:tab w:leader="none" w:pos="308"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Jurisdiction</w:t>
      </w:r>
      <w:r>
        <w:rPr>
          <w:rFonts w:ascii="Times New Roman" w:cs="Times New Roman" w:eastAsia="Times New Roman" w:hAnsi="Times New Roman"/>
          <w:sz w:val="20"/>
          <w:szCs w:val="20"/>
          <w:color w:val="auto"/>
        </w:rPr>
        <w:t>.</w:t>
      </w:r>
    </w:p>
    <w:p>
      <w:pPr>
        <w:spacing w:after="0" w:line="94" w:lineRule="exact"/>
        <w:rPr>
          <w:rFonts w:ascii="Times New Roman" w:cs="Times New Roman" w:eastAsia="Times New Roman" w:hAnsi="Times New Roman"/>
          <w:sz w:val="20"/>
          <w:szCs w:val="20"/>
          <w:color w:val="auto"/>
        </w:rPr>
      </w:pPr>
    </w:p>
    <w:p>
      <w:pPr>
        <w:jc w:val="both"/>
        <w:ind w:left="1288" w:hanging="316"/>
        <w:spacing w:after="0" w:line="251" w:lineRule="auto"/>
        <w:tabs>
          <w:tab w:leader="none" w:pos="1705"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xml:space="preserve">. THIS NOTE, THE OTHER NOTE DOCUMENTS (EXCLUDING THOSE NOTE DOCUMENTS THAT BY THEIR OWN TERMS ARE EXPRESSLY GOVERNED BY THE LAWS OF ANOTHER JURISDICTION) AND THE RIGHTS AND OBLIGATIONS OF THE PARTIES HEREUNDER AND THEREUNDER SHALL IN ALL RESPECTS BE GOVERNED BY AND CONSTRUED IN ACCORDANCE WITH, THE INTERNAL LAWS OF THE STATE OF NEW YORK (WITHOUT REGARD TO THE CONFLICT OF LAWS PRINCIPLES OF SUCH STATE THAT WOULD RESULT IN THE APPLICATION OF ANY LAW OTHER THAN THE LAW OF THE STATE OF NEW YORK), INCLUDING ALL MATTERS OF CONSTRUCTION, VALIDITY AND PERFORMANCE, REGARDLESS OF THE LOCATION OF THE COLLATERAL, </w:t>
      </w:r>
      <w:r>
        <w:rPr>
          <w:rFonts w:ascii="Times New Roman" w:cs="Times New Roman" w:eastAsia="Times New Roman" w:hAnsi="Times New Roman"/>
          <w:sz w:val="20"/>
          <w:szCs w:val="20"/>
          <w:i w:val="1"/>
          <w:iCs w:val="1"/>
          <w:color w:val="auto"/>
        </w:rPr>
        <w:t>PRODDED</w:t>
      </w:r>
      <w:r>
        <w:rPr>
          <w:rFonts w:ascii="Times New Roman" w:cs="Times New Roman" w:eastAsia="Times New Roman" w:hAnsi="Times New Roman"/>
          <w:sz w:val="20"/>
          <w:szCs w:val="20"/>
          <w:color w:val="auto"/>
        </w:rPr>
        <w:t xml:space="preserve"> THAT IF THE LAWS OF ANY JURISDICTION OTHER THAN NEW YORK SHALL GOVERN IN REGARD TO THE VALIDITY, PERFECTION OR EFFECT OF PERFECTION OF ANY LIEN OR IN REGARD TO PROCEDURAL MATTERS AFFECTING ENFORCEMENT OF ANY LIENS IN COLLATERAL, SUCH LAWS OF SUCH OTHER JURISDICTIONS SHALL CONTINUE TO APPLY TO THAT EXTENT.</w:t>
      </w:r>
    </w:p>
    <w:p>
      <w:pPr>
        <w:spacing w:after="0" w:line="56" w:lineRule="exact"/>
        <w:rPr>
          <w:rFonts w:ascii="Times New Roman" w:cs="Times New Roman" w:eastAsia="Times New Roman" w:hAnsi="Times New Roman"/>
          <w:sz w:val="20"/>
          <w:szCs w:val="20"/>
          <w:color w:val="auto"/>
        </w:rPr>
      </w:pPr>
    </w:p>
    <w:p>
      <w:pPr>
        <w:jc w:val="both"/>
        <w:ind w:left="1288" w:hanging="316"/>
        <w:spacing w:after="0" w:line="257" w:lineRule="auto"/>
        <w:tabs>
          <w:tab w:leader="none" w:pos="1419"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to Jurisdiction</w:t>
      </w:r>
      <w:r>
        <w:rPr>
          <w:rFonts w:ascii="Times New Roman" w:cs="Times New Roman" w:eastAsia="Times New Roman" w:hAnsi="Times New Roman"/>
          <w:sz w:val="20"/>
          <w:szCs w:val="20"/>
          <w:color w:val="auto"/>
        </w:rPr>
        <w:t>. Any legal action or proceeding with respect to the Note Documents (excluding those Note Documents that are by their own terms expressly governed by the laws of another jurisdiction) shall be brought exclusively in the courts of the State of New York located in the City of New York, Borough of Manhattan, or of the United States of America for the Southern District of New York and, by execution and delivery of this Note, each of the Borrower and the Lender hereby accepts for itself and in respect of its Property, generally and unconditionally,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8"/>
          </w:cols>
          <w:pgMar w:left="652" w:top="1413" w:right="339" w:bottom="1440" w:gutter="0" w:footer="0" w:header="0"/>
        </w:sectPr>
      </w:pPr>
    </w:p>
    <w:bookmarkStart w:id="461" w:name="page462"/>
    <w:bookmarkEnd w:id="461"/>
    <w:p>
      <w:pPr>
        <w:jc w:val="both"/>
        <w:ind w:left="1288"/>
        <w:spacing w:after="0" w:line="254" w:lineRule="auto"/>
        <w:rPr>
          <w:sz w:val="20"/>
          <w:szCs w:val="20"/>
          <w:color w:val="auto"/>
        </w:rPr>
      </w:pPr>
      <w:r>
        <w:rPr>
          <w:rFonts w:ascii="Times New Roman" w:cs="Times New Roman" w:eastAsia="Times New Roman" w:hAnsi="Times New Roman"/>
          <w:sz w:val="20"/>
          <w:szCs w:val="20"/>
          <w:color w:val="auto"/>
        </w:rPr>
        <w:t xml:space="preserve">the jurisdiction of the aforesaid courts;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nothing herein shall limit the right of the Lender to commence any proceeding in the federal or state courts of any other jurisdiction to the extent the Lender determines that such action is necessary or appropriate to exercise its rights or remedies under the Note Documents.. Each of the Borrower and the Lender hereby irrevocably waives any objection, including any objection to the laying of venue or based on the grounds of </w:t>
      </w:r>
      <w:r>
        <w:rPr>
          <w:rFonts w:ascii="Times New Roman" w:cs="Times New Roman" w:eastAsia="Times New Roman" w:hAnsi="Times New Roman"/>
          <w:sz w:val="20"/>
          <w:szCs w:val="20"/>
          <w:i w:val="1"/>
          <w:iCs w:val="1"/>
          <w:color w:val="auto"/>
        </w:rPr>
        <w:t>forum non conveniens,</w:t>
      </w:r>
      <w:r>
        <w:rPr>
          <w:rFonts w:ascii="Times New Roman" w:cs="Times New Roman" w:eastAsia="Times New Roman" w:hAnsi="Times New Roman"/>
          <w:sz w:val="20"/>
          <w:szCs w:val="20"/>
          <w:color w:val="auto"/>
        </w:rPr>
        <w:t xml:space="preserve"> that the Borrower or the Lender, as applicable, may now or hereafter have to the bringing of any such action or proceeding in such jurisdictions.</w:t>
      </w:r>
    </w:p>
    <w:p>
      <w:pPr>
        <w:spacing w:after="0" w:line="56" w:lineRule="exact"/>
        <w:rPr>
          <w:sz w:val="20"/>
          <w:szCs w:val="20"/>
          <w:color w:val="auto"/>
        </w:rPr>
      </w:pPr>
    </w:p>
    <w:p>
      <w:pPr>
        <w:jc w:val="both"/>
        <w:ind w:left="1288" w:hanging="316"/>
        <w:spacing w:after="0" w:line="251" w:lineRule="auto"/>
        <w:tabs>
          <w:tab w:leader="none" w:pos="1449" w:val="left"/>
        </w:tabs>
        <w:numPr>
          <w:ilvl w:val="1"/>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of Process</w:t>
      </w:r>
      <w:r>
        <w:rPr>
          <w:rFonts w:ascii="Times New Roman" w:cs="Times New Roman" w:eastAsia="Times New Roman" w:hAnsi="Times New Roman"/>
          <w:sz w:val="20"/>
          <w:szCs w:val="20"/>
          <w:color w:val="auto"/>
        </w:rPr>
        <w:t>. Each of the Borrower and the Lender hereby irrevocably waives personal service of any and all legal process, summons, notices and other documents and other service of process of any kind and consents to such service in any suit, action or proceeding brought in the United States of America with respect to or otherwise arising out of or in connection with any Note Document by any means permitted by applicable Requirements of Law, including by the mailing thereof (by registered or certified mail, postage prepaid) to the address of the Borrower or the Lender, as applicable, specified herein (and shall be effective when such mailing shall be effective, as provided therein). Each of the Borrower and the Lender agrees that a final judgment in any such action or proceeding shall be conclusive and may be enforced in other jurisdictions by suit on the judgment or in any other manner provided by law.</w:t>
      </w:r>
    </w:p>
    <w:p>
      <w:pPr>
        <w:spacing w:after="0" w:line="73" w:lineRule="exact"/>
        <w:rPr>
          <w:rFonts w:ascii="Times New Roman" w:cs="Times New Roman" w:eastAsia="Times New Roman" w:hAnsi="Times New Roman"/>
          <w:sz w:val="20"/>
          <w:szCs w:val="20"/>
          <w:color w:val="auto"/>
        </w:rPr>
      </w:pPr>
    </w:p>
    <w:p>
      <w:pPr>
        <w:jc w:val="both"/>
        <w:ind w:left="1288" w:hanging="316"/>
        <w:spacing w:after="0" w:line="261" w:lineRule="auto"/>
        <w:tabs>
          <w:tab w:leader="none" w:pos="1406" w:val="left"/>
        </w:tabs>
        <w:numPr>
          <w:ilvl w:val="1"/>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Non-exclusive Jurisdiction</w:t>
      </w:r>
      <w:r>
        <w:rPr>
          <w:rFonts w:ascii="Times New Roman" w:cs="Times New Roman" w:eastAsia="Times New Roman" w:hAnsi="Times New Roman"/>
          <w:sz w:val="20"/>
          <w:szCs w:val="20"/>
          <w:color w:val="auto"/>
        </w:rPr>
        <w:t xml:space="preserve">. Nothing contained in this </w:t>
      </w:r>
      <w:r>
        <w:rPr>
          <w:rFonts w:ascii="Times New Roman" w:cs="Times New Roman" w:eastAsia="Times New Roman" w:hAnsi="Times New Roman"/>
          <w:sz w:val="20"/>
          <w:szCs w:val="20"/>
          <w:u w:val="single" w:color="auto"/>
          <w:color w:val="auto"/>
        </w:rPr>
        <w:t>Section 20</w:t>
      </w:r>
      <w:r>
        <w:rPr>
          <w:rFonts w:ascii="Times New Roman" w:cs="Times New Roman" w:eastAsia="Times New Roman" w:hAnsi="Times New Roman"/>
          <w:sz w:val="20"/>
          <w:szCs w:val="20"/>
          <w:color w:val="auto"/>
        </w:rPr>
        <w:t xml:space="preserve"> shall affect the right of the Lender to serve process in any other manner permitted by applicable Requirements of Law or commence legal proceedings or otherwise proceed against the Borrower in any other jurisdiction.</w:t>
      </w:r>
    </w:p>
    <w:p>
      <w:pPr>
        <w:spacing w:after="0" w:line="59" w:lineRule="exact"/>
        <w:rPr>
          <w:rFonts w:ascii="Times New Roman" w:cs="Times New Roman" w:eastAsia="Times New Roman" w:hAnsi="Times New Roman"/>
          <w:sz w:val="20"/>
          <w:szCs w:val="20"/>
          <w:color w:val="auto"/>
        </w:rPr>
      </w:pPr>
    </w:p>
    <w:p>
      <w:pPr>
        <w:ind w:left="308" w:hanging="308"/>
        <w:spacing w:after="0"/>
        <w:tabs>
          <w:tab w:leader="none" w:pos="308"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Expenses; Indemnification; Additional Fees</w:t>
      </w:r>
      <w:r>
        <w:rPr>
          <w:rFonts w:ascii="Times New Roman" w:cs="Times New Roman" w:eastAsia="Times New Roman" w:hAnsi="Times New Roman"/>
          <w:sz w:val="20"/>
          <w:szCs w:val="20"/>
          <w:color w:val="auto"/>
        </w:rPr>
        <w:t>.</w:t>
      </w:r>
    </w:p>
    <w:p>
      <w:pPr>
        <w:spacing w:after="0" w:line="121" w:lineRule="exact"/>
        <w:rPr>
          <w:rFonts w:ascii="Times New Roman" w:cs="Times New Roman" w:eastAsia="Times New Roman" w:hAnsi="Times New Roman"/>
          <w:sz w:val="20"/>
          <w:szCs w:val="20"/>
          <w:color w:val="auto"/>
        </w:rPr>
      </w:pPr>
    </w:p>
    <w:p>
      <w:pPr>
        <w:jc w:val="both"/>
        <w:ind w:left="1288" w:hanging="316"/>
        <w:spacing w:after="0" w:line="267" w:lineRule="auto"/>
        <w:tabs>
          <w:tab w:leader="none" w:pos="1383" w:val="left"/>
        </w:tabs>
        <w:numPr>
          <w:ilvl w:val="1"/>
          <w:numId w:val="2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agrees to pay or reimburse upon demand for all reasonable and documented out-of-pocket fees, costs and expenses incurred by the Lender (including all such reasonable fees, costs and expenses of any legal counsel and other reasonable professional consultants retained by the Lender in connection with the Note Documents) in connection with</w:t>
      </w:r>
    </w:p>
    <w:p>
      <w:pPr>
        <w:spacing w:after="0" w:line="1" w:lineRule="exact"/>
        <w:rPr>
          <w:rFonts w:ascii="Times New Roman" w:cs="Times New Roman" w:eastAsia="Times New Roman" w:hAnsi="Times New Roman"/>
          <w:sz w:val="19"/>
          <w:szCs w:val="19"/>
          <w:color w:val="auto"/>
        </w:rPr>
      </w:pPr>
    </w:p>
    <w:p>
      <w:pPr>
        <w:jc w:val="both"/>
        <w:ind w:left="1288" w:firstLine="8"/>
        <w:spacing w:after="0" w:line="264" w:lineRule="auto"/>
        <w:tabs>
          <w:tab w:leader="none" w:pos="1541" w:val="left"/>
        </w:tabs>
        <w:numPr>
          <w:ilvl w:val="2"/>
          <w:numId w:val="2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investigation, preparation, negotiation, execution, administration of, or any amendment, modification, waiver or termination of, any Note Document, (ii) any legal advice relating to the Lender’s rights or responsibilities under any Note Document, (iii) the administration of the loans hereunder and any other transaction contemplated under any Note Document and (iv) the enforcement, assertion, defense or preservation of the Lender’s rights and remedies under the Note Documents, including, without limitation, preparation for and/or response to any subpoena or request for document production relating thereto, in each case of clauses (i) through (iv), including, without limitation, reasonable attorneys’ fees and expenses, reasonable fees and expenses of consultants, auditors (including internal auditors) and appraisers, internal audit reviews and field examinations and other corporate search and filing fees and wire transfer fees.</w:t>
      </w:r>
    </w:p>
    <w:p>
      <w:pPr>
        <w:spacing w:after="0" w:line="73" w:lineRule="exact"/>
        <w:rPr>
          <w:rFonts w:ascii="Times New Roman" w:cs="Times New Roman" w:eastAsia="Times New Roman" w:hAnsi="Times New Roman"/>
          <w:sz w:val="19"/>
          <w:szCs w:val="19"/>
          <w:color w:val="auto"/>
        </w:rPr>
      </w:pPr>
    </w:p>
    <w:p>
      <w:pPr>
        <w:jc w:val="both"/>
        <w:ind w:left="1288" w:hanging="316"/>
        <w:spacing w:after="0" w:line="253" w:lineRule="auto"/>
        <w:tabs>
          <w:tab w:leader="none" w:pos="1406" w:val="left"/>
        </w:tabs>
        <w:numPr>
          <w:ilvl w:val="1"/>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fullest extent permitted by applicable law, the Borrower agrees that it will indemnify, defend, and hold harmless each of the Lender and each of its Related Persons (each an “</w:t>
      </w:r>
      <w:r>
        <w:rPr>
          <w:rFonts w:ascii="Times New Roman" w:cs="Times New Roman" w:eastAsia="Times New Roman" w:hAnsi="Times New Roman"/>
          <w:sz w:val="20"/>
          <w:szCs w:val="20"/>
          <w:u w:val="single" w:color="auto"/>
          <w:color w:val="auto"/>
        </w:rPr>
        <w:t>Indemnified Person</w:t>
      </w:r>
      <w:r>
        <w:rPr>
          <w:rFonts w:ascii="Times New Roman" w:cs="Times New Roman" w:eastAsia="Times New Roman" w:hAnsi="Times New Roman"/>
          <w:sz w:val="20"/>
          <w:szCs w:val="20"/>
          <w:color w:val="auto"/>
        </w:rPr>
        <w:t>”) from and against (i) any and all losses, claims, damages, obligations, penalties, judgments, awards, liabilities, costs, expenses and disbursements, (ii) any and all actions, suits, proceedings and investigations in respect thereof, and (iii) any and all reasonable legal or other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8"/>
          </w:cols>
          <w:pgMar w:left="652" w:top="1409" w:right="339" w:bottom="1440" w:gutter="0" w:footer="0" w:header="0"/>
        </w:sectPr>
      </w:pPr>
    </w:p>
    <w:bookmarkStart w:id="462" w:name="page463"/>
    <w:bookmarkEnd w:id="462"/>
    <w:p>
      <w:pPr>
        <w:jc w:val="both"/>
        <w:ind w:left="500"/>
        <w:spacing w:after="0" w:line="250" w:lineRule="auto"/>
        <w:rPr>
          <w:sz w:val="20"/>
          <w:szCs w:val="20"/>
          <w:color w:val="auto"/>
        </w:rPr>
      </w:pPr>
      <w:r>
        <w:rPr>
          <w:rFonts w:ascii="Times New Roman" w:cs="Times New Roman" w:eastAsia="Times New Roman" w:hAnsi="Times New Roman"/>
          <w:sz w:val="20"/>
          <w:szCs w:val="20"/>
          <w:color w:val="auto"/>
        </w:rPr>
        <w:t xml:space="preserve">expenses or disbursements in giving testimony or furnishing documents in response to a subpoena or otherwise (including, without limitation, the reasonable costs, expenses and disbursements, as and when incurred, of investigating, preparing or defending any such action, proceeding or investigation (whether or not in connection with litigation in which any of the Indemnified Persons is a party) and including, without limitation, any and all losses, claims, damages, obligations, penalties, judgments, awards, liabilities, costs, expenses and disbursements, resulting from any act or omission of any of the Indemnified Persons), in each case, directly or indirectly caused by, relating to, based upon, arising out of or in connection with this Note;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such indemnity agreement shall not apply to any portion of any such loss, claim, damage, obligation, penalty, judgment, award, liability, cost, expense or disbursement of an Indemnified Person to the extent it is found in a final, non-appealable judgment by a court of competent jurisdiction to have resulted primarily from the gross negligence or willful misconduct of such Indemnified Person. This Section 21 shall be in addition to any agreed-to liability which the Borrower may have to the Indemnified Persons. Notwithstanding anything herein to the contrary, this Section 21 shall not apply with respect to taxes other than any taxes that represent losses, claims, damages, etc., arising from any non-tax claim.</w:t>
      </w:r>
    </w:p>
    <w:p>
      <w:pPr>
        <w:spacing w:after="0" w:line="85" w:lineRule="exact"/>
        <w:rPr>
          <w:sz w:val="20"/>
          <w:szCs w:val="20"/>
          <w:color w:val="auto"/>
        </w:rPr>
      </w:pPr>
    </w:p>
    <w:p>
      <w:pPr>
        <w:jc w:val="both"/>
        <w:ind w:left="500" w:hanging="316"/>
        <w:spacing w:after="0" w:line="249" w:lineRule="auto"/>
        <w:tabs>
          <w:tab w:leader="none" w:pos="630"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action, suit, proceeding or investigation is commenced, as to which any of the Indemnified Persons proposes to demand indemnification, it shall notify the Borrower with reasonable promptness;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any failure by any of the Indemnified Persons to so notify the Borrower shall not relieve the Borrower from its obligations hereunder. The Lender shall have the right to retain one counsel of its choice to represent the Lender and its Indemnified Persons (and, in each case, one local counsel for each of the Lender and its Indemnified Persons in each relevant jurisdiction and one regulatory counsel for the Lender and its Indemnified Persons (and, solely, in the event of a conflict of interest, in each case, one additional local counsel in each relevant jurisdiction and one additional regulatory counsel, in each case, to each group of similarly situated affected Indemnified Persons)), and the Borrower shall pay the reasonable and documented fees, costs, expenses, and disbursement of such counsel, and such counsel shall, to the extent consistent with its professional responsibilities, cooperate with the Borrower and any counsel designated by the Borrower. The Borrower shall be liable for any settlement of any claim against any of the Indemnified Persons made with the Borrower’s written consent, which consent shall not be unreasonably withheld.</w:t>
      </w:r>
    </w:p>
    <w:p>
      <w:pPr>
        <w:spacing w:after="0" w:line="93" w:lineRule="exact"/>
        <w:rPr>
          <w:rFonts w:ascii="Times New Roman" w:cs="Times New Roman" w:eastAsia="Times New Roman" w:hAnsi="Times New Roman"/>
          <w:sz w:val="20"/>
          <w:szCs w:val="20"/>
          <w:color w:val="auto"/>
        </w:rPr>
      </w:pPr>
    </w:p>
    <w:p>
      <w:pPr>
        <w:jc w:val="both"/>
        <w:ind w:left="500" w:hanging="316"/>
        <w:spacing w:after="0" w:line="251" w:lineRule="auto"/>
        <w:tabs>
          <w:tab w:leader="none" w:pos="681"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the prior written consent of the Lender (which consent shall not be unreasonable withheld or delayed), the Borrower shall not settle or compromise any claim, or consent to the entry of any judgment in respect thereof, unless such settlement, compromise or consent to the entry of any judgment in respect thereof (i) includes an unconditional release of such Indemnified Person in form and substance reasonably satisfactory to such Indemnified Person from all liability or claims that are the subject matter of such proceedings, (ii) does not include any statement as to or any admission of fault, culpability, wrong doing or a failure to act by or on behalf of any Indemnified Person and (iii) contains customary confidentiality provisions with respect to the terms of such settlement.</w:t>
      </w:r>
    </w:p>
    <w:p>
      <w:pPr>
        <w:spacing w:after="0" w:line="71" w:lineRule="exact"/>
        <w:rPr>
          <w:rFonts w:ascii="Times New Roman" w:cs="Times New Roman" w:eastAsia="Times New Roman" w:hAnsi="Times New Roman"/>
          <w:sz w:val="20"/>
          <w:szCs w:val="20"/>
          <w:color w:val="auto"/>
        </w:rPr>
      </w:pPr>
    </w:p>
    <w:p>
      <w:pPr>
        <w:ind w:left="500" w:hanging="316"/>
        <w:spacing w:after="0" w:line="295" w:lineRule="auto"/>
        <w:tabs>
          <w:tab w:leader="none" w:pos="603" w:val="left"/>
        </w:tabs>
        <w:numPr>
          <w:ilvl w:val="0"/>
          <w:numId w:val="3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order to provide for just and equitable contribution, if a claim for indemnification pursuant to the provisions set forth in this Section 21 is made but is found by a final, non-appealable judgment of a court of competent jurisdiction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120"/>
          </w:cols>
          <w:pgMar w:left="1440" w:top="1413" w:right="339" w:bottom="1440" w:gutter="0" w:footer="0" w:header="0"/>
        </w:sectPr>
      </w:pPr>
    </w:p>
    <w:bookmarkStart w:id="463" w:name="page464"/>
    <w:bookmarkEnd w:id="463"/>
    <w:p>
      <w:pPr>
        <w:jc w:val="both"/>
        <w:ind w:left="1288"/>
        <w:spacing w:after="0" w:line="251" w:lineRule="auto"/>
        <w:rPr>
          <w:sz w:val="20"/>
          <w:szCs w:val="20"/>
          <w:color w:val="auto"/>
        </w:rPr>
      </w:pPr>
      <w:r>
        <w:rPr>
          <w:rFonts w:ascii="Times New Roman" w:cs="Times New Roman" w:eastAsia="Times New Roman" w:hAnsi="Times New Roman"/>
          <w:sz w:val="20"/>
          <w:szCs w:val="20"/>
          <w:color w:val="auto"/>
        </w:rPr>
        <w:t>indemnification may not be enforced in such case, even though the express provisions hereof provide for indemnification in such case, then the Borrower, on the one hand, and the Indemnified Persons, on the other hand, shall contribute to the losses, claims, damages, obligations, penalties, judgments, awards, liabilities, costs, expenses and disbursements to which the Indemnified Persons may be subject in accordance with the relative benefits received by the Borrower, on the one hand, and the Indemnified Persons, on the other hand, and also the relative fault of the Borrower, on the one hand, and the Indemnified Persons collectively and in the aggregate, on the other hand, in connection with the statements, acts or omissions which resulted in such losses, claims, damages, obligations, penalties, judgments, awards, liabilities, costs, expenses and disbursements and the relevant equitable considerations shall also be considered. No Person found liable for a fraudulent misrepresentation shall be entitled to contribution from any other person or entity who is not also found liable for such fraudulent misrepresentation. Notwithstanding anything herein or in any other Note Document to the contrary, the provisions of this Section 21 shall survive the occurrence of the payment in full of the Obligations, and shall remain operative and continue in full force and effect.</w:t>
      </w:r>
    </w:p>
    <w:p>
      <w:pPr>
        <w:spacing w:after="0" w:line="57" w:lineRule="exact"/>
        <w:rPr>
          <w:sz w:val="20"/>
          <w:szCs w:val="20"/>
          <w:color w:val="auto"/>
        </w:rPr>
      </w:pPr>
    </w:p>
    <w:p>
      <w:pPr>
        <w:jc w:val="both"/>
        <w:ind w:left="328" w:hanging="328"/>
        <w:spacing w:after="0" w:line="252" w:lineRule="auto"/>
        <w:tabs>
          <w:tab w:leader="none" w:pos="319"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Waiver</w:t>
      </w:r>
      <w:r>
        <w:rPr>
          <w:rFonts w:ascii="Times New Roman" w:cs="Times New Roman" w:eastAsia="Times New Roman" w:hAnsi="Times New Roman"/>
          <w:sz w:val="20"/>
          <w:szCs w:val="20"/>
          <w:color w:val="auto"/>
        </w:rPr>
        <w:t>. The rights and remedies of the Lender expressly set forth in this Note are cumulative and in addition to, and not exclusive of, all other rights and remedies available at law, in equity or otherwise. No failure or delay on the part of the Lender in exercising any right, power or privilege shall operate as a waiver thereof, nor shall any single or partial exercise of any such right, power or privilege preclude any other or further exercise thereof or the exercise of any other right, power or privilege or be construed to be a waiver of any Event of Default. No course of dealing between the Borrower and the Lender or their agents or employees shall be effective to amend, modify or discharge any provision of this Note or to constitute a waiver of any Event of Default. No notice to or demand upon Borrower in any case shall entitle Borrower to any other or further notice or demand in similar or other circumstances or constitute a waiver of the right of the Lender to exercise any right or remedy or take any other or further action in any circumstances without notice or demand.</w:t>
      </w:r>
    </w:p>
    <w:p>
      <w:pPr>
        <w:spacing w:after="0" w:line="216" w:lineRule="exact"/>
        <w:rPr>
          <w:rFonts w:ascii="Times New Roman" w:cs="Times New Roman" w:eastAsia="Times New Roman" w:hAnsi="Times New Roman"/>
          <w:sz w:val="20"/>
          <w:szCs w:val="20"/>
          <w:color w:val="auto"/>
        </w:rPr>
      </w:pPr>
    </w:p>
    <w:p>
      <w:pPr>
        <w:jc w:val="both"/>
        <w:ind w:left="328" w:hanging="328"/>
        <w:spacing w:after="0" w:line="252" w:lineRule="auto"/>
        <w:tabs>
          <w:tab w:leader="none" w:pos="319"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Usury Laws</w:t>
      </w:r>
      <w:r>
        <w:rPr>
          <w:rFonts w:ascii="Times New Roman" w:cs="Times New Roman" w:eastAsia="Times New Roman" w:hAnsi="Times New Roman"/>
          <w:sz w:val="20"/>
          <w:szCs w:val="20"/>
          <w:color w:val="auto"/>
        </w:rPr>
        <w:t>. It is the intention of the Borrower and the Lender to conform strictly to all applicable usury laws now or hereafter in force, and any interest payable under this Note shall be subject to reduction to the amount not in excess of the maximum legal amount allowed under the applicable usury laws as now or hereafter construed by the courts having jurisdiction over such matters. The aggregate of all interest contracted for, chargeable, or receivable under this Note shall under no circumstances exceed the maximum legal rate upon the unpaid principal balance of this Note remaining unpaid from time to time. If such interest does exceed the maximum legal rate, it shall be deemed a mistake and such excess shall be canceled automatically and, if theretofore paid, at the option of the Borrower either, within five (5) days, refunded by the Lender to the Borrower or immediately credited against any remaining unpaid principal amount of this Note, or if this Note has been repaid, then such excess shall, within five (5) Business Days, be refunded by the Lender to the Borrower.</w:t>
      </w:r>
    </w:p>
    <w:p>
      <w:pPr>
        <w:spacing w:after="0" w:line="54" w:lineRule="exact"/>
        <w:rPr>
          <w:rFonts w:ascii="Times New Roman" w:cs="Times New Roman" w:eastAsia="Times New Roman" w:hAnsi="Times New Roman"/>
          <w:sz w:val="20"/>
          <w:szCs w:val="20"/>
          <w:color w:val="auto"/>
        </w:rPr>
      </w:pPr>
    </w:p>
    <w:p>
      <w:pPr>
        <w:jc w:val="both"/>
        <w:ind w:left="328" w:hanging="328"/>
        <w:spacing w:after="0" w:line="253" w:lineRule="auto"/>
        <w:tabs>
          <w:tab w:leader="none" w:pos="319"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Construction</w:t>
      </w:r>
      <w:r>
        <w:rPr>
          <w:rFonts w:ascii="Times New Roman" w:cs="Times New Roman" w:eastAsia="Times New Roman" w:hAnsi="Times New Roman"/>
          <w:sz w:val="20"/>
          <w:szCs w:val="20"/>
          <w:color w:val="auto"/>
        </w:rPr>
        <w:t>. The headings of the various sections and subsections of this Agreement have been inserted for convenience only and shall not in any way affect the meaning or construction of any of the provisions hereof. Unless the context otherwise requires, words in the singular include the plural and words in the plural include the singular. The Borrower and the Lender have participated jointly in the negotiation and drafting of this Note. In the event an ambiguity or question of intent or interpretation arises, this Note shall be construed as if drafted jointly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8"/>
          </w:cols>
          <w:pgMar w:left="652" w:top="1413" w:right="339" w:bottom="1440" w:gutter="0" w:footer="0" w:header="0"/>
        </w:sectPr>
      </w:pPr>
    </w:p>
    <w:bookmarkStart w:id="464" w:name="page465"/>
    <w:bookmarkEnd w:id="464"/>
    <w:p>
      <w:pPr>
        <w:ind w:left="328"/>
        <w:spacing w:after="0" w:line="283" w:lineRule="auto"/>
        <w:rPr>
          <w:sz w:val="20"/>
          <w:szCs w:val="20"/>
          <w:color w:val="auto"/>
        </w:rPr>
      </w:pPr>
      <w:r>
        <w:rPr>
          <w:rFonts w:ascii="Times New Roman" w:cs="Times New Roman" w:eastAsia="Times New Roman" w:hAnsi="Times New Roman"/>
          <w:sz w:val="20"/>
          <w:szCs w:val="20"/>
          <w:color w:val="auto"/>
        </w:rPr>
        <w:t>Borrower and the Lender, and no presumption or burden of proof shall arise favoring or disfavoring any party by virtue of the authorship of any provision of this Note.</w:t>
      </w:r>
    </w:p>
    <w:p>
      <w:pPr>
        <w:spacing w:after="0" w:line="25" w:lineRule="exact"/>
        <w:rPr>
          <w:sz w:val="20"/>
          <w:szCs w:val="20"/>
          <w:color w:val="auto"/>
        </w:rPr>
      </w:pPr>
    </w:p>
    <w:p>
      <w:pPr>
        <w:jc w:val="both"/>
        <w:ind w:left="328" w:hanging="328"/>
        <w:spacing w:after="0" w:line="251" w:lineRule="auto"/>
        <w:tabs>
          <w:tab w:leader="none" w:pos="319"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 Counterparts</w:t>
      </w:r>
      <w:r>
        <w:rPr>
          <w:rFonts w:ascii="Times New Roman" w:cs="Times New Roman" w:eastAsia="Times New Roman" w:hAnsi="Times New Roman"/>
          <w:sz w:val="20"/>
          <w:szCs w:val="20"/>
          <w:color w:val="auto"/>
        </w:rPr>
        <w:t>. The Note Documents constitute the entire agreement of the parties and supersede all prior agreements and understandings (whether written, verbal or implied) with respect to the subject matter thereof (including, without limitation, any proposal letter or confidentiality agreement between the parties hereto or any of their respective Affiliates relating to a financing of substantially similar form, purpose or effect). This Note may be executed in any number of counterparts and by different parties in separate counterparts, each of which when so executed shall be deemed to be an original and all of which when taken together shall constitute one and the same agreement. Delivery of an executed counterpart of a signature page of this Note by facsimile transmission or electronic transmission shall be as effective as delivery of a manually executed counterpart hereof.</w:t>
      </w:r>
    </w:p>
    <w:p>
      <w:pPr>
        <w:spacing w:after="0" w:line="71" w:lineRule="exact"/>
        <w:rPr>
          <w:rFonts w:ascii="Times New Roman" w:cs="Times New Roman" w:eastAsia="Times New Roman" w:hAnsi="Times New Roman"/>
          <w:sz w:val="20"/>
          <w:szCs w:val="20"/>
          <w:color w:val="auto"/>
        </w:rPr>
      </w:pPr>
    </w:p>
    <w:p>
      <w:pPr>
        <w:jc w:val="both"/>
        <w:ind w:left="328" w:hanging="328"/>
        <w:spacing w:after="0" w:line="251" w:lineRule="auto"/>
        <w:tabs>
          <w:tab w:leader="none" w:pos="319"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Execution of Note Documents</w:t>
      </w:r>
      <w:r>
        <w:rPr>
          <w:rFonts w:ascii="Times New Roman" w:cs="Times New Roman" w:eastAsia="Times New Roman" w:hAnsi="Times New Roman"/>
          <w:sz w:val="20"/>
          <w:szCs w:val="20"/>
          <w:color w:val="auto"/>
        </w:rPr>
        <w:t xml:space="preserve">. The words “execution,” “signed,” “signature,” and words of like import in any Note Document shall in each case be deemed to include electronic signatures, signatures exchanged by electronic transmission,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of the Borrower or the Lender may request, and upon any such request the other party shall be obligated to provide, manually executed “wet ink” signatures to any Note Document.</w:t>
      </w:r>
    </w:p>
    <w:p>
      <w:pPr>
        <w:spacing w:after="0" w:line="60" w:lineRule="exact"/>
        <w:rPr>
          <w:rFonts w:ascii="Times New Roman" w:cs="Times New Roman" w:eastAsia="Times New Roman" w:hAnsi="Times New Roman"/>
          <w:sz w:val="20"/>
          <w:szCs w:val="20"/>
          <w:color w:val="auto"/>
        </w:rPr>
      </w:pPr>
    </w:p>
    <w:p>
      <w:pPr>
        <w:jc w:val="both"/>
        <w:ind w:left="328" w:hanging="328"/>
        <w:spacing w:after="0" w:line="253" w:lineRule="auto"/>
        <w:tabs>
          <w:tab w:leader="none" w:pos="319"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any one or more of the provisions contained in this Note should be held invalid, illegal or unenforceable in any respect, the validity, legality and enforceability of the remaining provisions contained herein and therein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29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i w:val="1"/>
          <w:iCs w:val="1"/>
          <w:u w:val="single" w:color="auto"/>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8"/>
          </w:cols>
          <w:pgMar w:left="652" w:top="1413" w:right="339" w:bottom="1440" w:gutter="0" w:footer="0" w:header="0"/>
        </w:sectPr>
      </w:pPr>
    </w:p>
    <w:bookmarkStart w:id="465" w:name="page466"/>
    <w:bookmarkEnd w:id="465"/>
    <w:p>
      <w:pPr>
        <w:spacing w:after="0"/>
        <w:rPr>
          <w:sz w:val="20"/>
          <w:szCs w:val="20"/>
          <w:color w:val="auto"/>
        </w:rPr>
      </w:pPr>
      <w:r>
        <w:rPr>
          <w:rFonts w:ascii="Times New Roman" w:cs="Times New Roman" w:eastAsia="Times New Roman" w:hAnsi="Times New Roman"/>
          <w:sz w:val="19"/>
          <w:szCs w:val="19"/>
          <w:color w:val="auto"/>
        </w:rPr>
        <w:t>IN WITNESS WHEREOF, the Borrower has executed and delivered this Note on the date first above written.</w:t>
      </w:r>
    </w:p>
    <w:p>
      <w:pPr>
        <w:spacing w:after="0" w:line="27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24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color w:val="auto"/>
        </w:rPr>
        <w:t>PROVENANCE BLOCKCHAIN FOUNDATION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500"/>
        <w:spacing w:after="0"/>
        <w:tabs>
          <w:tab w:leader="none" w:pos="4060" w:val="left"/>
        </w:tabs>
        <w:rPr>
          <w:sz w:val="20"/>
          <w:szCs w:val="20"/>
          <w:color w:val="auto"/>
        </w:rPr>
      </w:pPr>
      <w:r>
        <w:rPr>
          <w:rFonts w:ascii="Times New Roman" w:cs="Times New Roman" w:eastAsia="Times New Roman" w:hAnsi="Times New Roman"/>
          <w:sz w:val="20"/>
          <w:szCs w:val="20"/>
          <w:color w:val="auto"/>
        </w:rPr>
        <w:t>By:</w:t>
        <w:tab/>
        <w:t>/s/ Anthony Moro</w:t>
      </w:r>
    </w:p>
    <w:p>
      <w:pPr>
        <w:spacing w:after="0" w:line="2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color w:val="auto"/>
        </w:rPr>
        <w:t>Name: Anthony Moro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-140335</wp:posOffset>
            </wp:positionV>
            <wp:extent cx="29832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color w:val="auto"/>
        </w:rPr>
        <w:t>Its: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[Signature Page to Term Note]</w:t>
      </w:r>
    </w:p>
    <w:p>
      <w:pPr>
        <w:sectPr>
          <w:pgSz w:w="11900" w:h="16838" w:orient="portrait"/>
          <w:cols w:equalWidth="0" w:num="1">
            <w:col w:w="9479"/>
          </w:cols>
          <w:pgMar w:left="980" w:top="1413" w:right="1440" w:bottom="1440" w:gutter="0" w:footer="0" w:header="0"/>
        </w:sectPr>
      </w:pPr>
    </w:p>
    <w:bookmarkStart w:id="466" w:name="page467"/>
    <w:bookmarkEnd w:id="466"/>
    <w:p>
      <w:pPr>
        <w:spacing w:after="0" w:line="1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Agreed and Acknowledged:</w:t>
      </w:r>
    </w:p>
    <w:p>
      <w:pPr>
        <w:spacing w:after="0" w:line="27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b w:val="1"/>
          <w:bCs w:val="1"/>
          <w:color w:val="auto"/>
        </w:rPr>
        <w:t>LENDER:</w:t>
      </w:r>
    </w:p>
    <w:p>
      <w:pPr>
        <w:spacing w:after="0" w:line="24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FIGURE TECHNOLOGIES,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40"/>
        <w:spacing w:after="0"/>
        <w:tabs>
          <w:tab w:leader="none" w:pos="3600" w:val="left"/>
        </w:tabs>
        <w:rPr>
          <w:sz w:val="20"/>
          <w:szCs w:val="20"/>
          <w:color w:val="auto"/>
        </w:rPr>
      </w:pPr>
      <w:r>
        <w:rPr>
          <w:rFonts w:ascii="Times New Roman" w:cs="Times New Roman" w:eastAsia="Times New Roman" w:hAnsi="Times New Roman"/>
          <w:sz w:val="20"/>
          <w:szCs w:val="20"/>
          <w:color w:val="auto"/>
        </w:rPr>
        <w:t>By:</w:t>
        <w:tab/>
        <w:t>/s/ Dan Grueter</w:t>
      </w:r>
    </w:p>
    <w:p>
      <w:pPr>
        <w:spacing w:after="0" w:line="2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color w:val="auto"/>
        </w:rPr>
        <w:t>Name: Dan Grueter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-140335</wp:posOffset>
            </wp:positionV>
            <wp:extent cx="30175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7" w:lineRule="exact"/>
        <w:rPr>
          <w:sz w:val="20"/>
          <w:szCs w:val="20"/>
          <w:color w:val="auto"/>
        </w:rPr>
      </w:pPr>
    </w:p>
    <w:p>
      <w:pPr>
        <w:jc w:val="right"/>
        <w:ind w:right="919"/>
        <w:spacing w:after="0"/>
        <w:rPr>
          <w:sz w:val="20"/>
          <w:szCs w:val="20"/>
          <w:color w:val="auto"/>
        </w:rPr>
      </w:pPr>
      <w:r>
        <w:rPr>
          <w:rFonts w:ascii="Times New Roman" w:cs="Times New Roman" w:eastAsia="Times New Roman" w:hAnsi="Times New Roman"/>
          <w:sz w:val="20"/>
          <w:szCs w:val="20"/>
          <w:color w:val="auto"/>
        </w:rPr>
        <w:t>Its: Chief Financial Officer, Figure Markets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Second Amended and Restated Term Note]</w:t>
      </w:r>
    </w:p>
    <w:p>
      <w:pPr>
        <w:sectPr>
          <w:pgSz w:w="11900" w:h="16838" w:orient="portrait"/>
          <w:cols w:equalWidth="0" w:num="1">
            <w:col w:w="9019"/>
          </w:cols>
          <w:pgMar w:left="1440" w:top="1440" w:right="1440" w:bottom="1440" w:gutter="0" w:footer="0" w:header="0"/>
        </w:sectPr>
      </w:pPr>
    </w:p>
    <w:bookmarkStart w:id="467" w:name="page468"/>
    <w:bookmarkEnd w:id="467"/>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ANNEX A</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344"/>
        </w:trPr>
        <w:tc>
          <w:tcPr>
            <w:tcW w:w="3760" w:type="dxa"/>
            <w:vAlign w:val="bottom"/>
            <w:tcBorders>
              <w:top w:val="single" w:sz="8" w:color="auto"/>
              <w:left w:val="single" w:sz="8" w:color="auto"/>
              <w:right w:val="single" w:sz="8" w:color="auto"/>
            </w:tcBorders>
            <w:shd w:val="clear" w:color="auto" w:fill="D9D9D9"/>
          </w:tcPr>
          <w:p>
            <w:pPr>
              <w:ind w:left="1100"/>
              <w:spacing w:after="0"/>
              <w:rPr>
                <w:sz w:val="20"/>
                <w:szCs w:val="20"/>
                <w:color w:val="auto"/>
              </w:rPr>
            </w:pPr>
            <w:r>
              <w:rPr>
                <w:rFonts w:ascii="Times New Roman" w:cs="Times New Roman" w:eastAsia="Times New Roman" w:hAnsi="Times New Roman"/>
                <w:sz w:val="20"/>
                <w:szCs w:val="20"/>
                <w:b w:val="1"/>
                <w:bCs w:val="1"/>
                <w:color w:val="auto"/>
              </w:rPr>
              <w:t>Date of Borrowing</w:t>
            </w:r>
          </w:p>
        </w:tc>
        <w:tc>
          <w:tcPr>
            <w:tcW w:w="3740" w:type="dxa"/>
            <w:vAlign w:val="bottom"/>
            <w:tcBorders>
              <w:top w:val="single" w:sz="8" w:color="auto"/>
              <w:right w:val="single" w:sz="8" w:color="auto"/>
            </w:tcBorders>
            <w:shd w:val="clear" w:color="auto" w:fill="D9D9D9"/>
          </w:tcPr>
          <w:p>
            <w:pPr>
              <w:ind w:left="740"/>
              <w:spacing w:after="0"/>
              <w:rPr>
                <w:sz w:val="20"/>
                <w:szCs w:val="20"/>
                <w:color w:val="auto"/>
              </w:rPr>
            </w:pPr>
            <w:r>
              <w:rPr>
                <w:rFonts w:ascii="Times New Roman" w:cs="Times New Roman" w:eastAsia="Times New Roman" w:hAnsi="Times New Roman"/>
                <w:sz w:val="20"/>
                <w:szCs w:val="20"/>
                <w:b w:val="1"/>
                <w:bCs w:val="1"/>
                <w:color w:val="auto"/>
              </w:rPr>
              <w:t>Principal Amount of Loan</w:t>
            </w:r>
          </w:p>
        </w:tc>
        <w:tc>
          <w:tcPr>
            <w:tcW w:w="3760" w:type="dxa"/>
            <w:vAlign w:val="bottom"/>
            <w:tcBorders>
              <w:top w:val="single" w:sz="8" w:color="auto"/>
              <w:right w:val="single" w:sz="8" w:color="auto"/>
            </w:tcBorders>
            <w:shd w:val="clear" w:color="auto" w:fill="D9D9D9"/>
          </w:tcPr>
          <w:p>
            <w:pPr>
              <w:ind w:left="320"/>
              <w:spacing w:after="0"/>
              <w:rPr>
                <w:sz w:val="20"/>
                <w:szCs w:val="20"/>
                <w:color w:val="auto"/>
              </w:rPr>
            </w:pPr>
            <w:r>
              <w:rPr>
                <w:rFonts w:ascii="Times New Roman" w:cs="Times New Roman" w:eastAsia="Times New Roman" w:hAnsi="Times New Roman"/>
                <w:sz w:val="20"/>
                <w:szCs w:val="20"/>
                <w:b w:val="1"/>
                <w:bCs w:val="1"/>
                <w:color w:val="auto"/>
              </w:rPr>
              <w:t>Total Principal Amount Outstanding</w:t>
            </w:r>
          </w:p>
        </w:tc>
      </w:tr>
      <w:tr>
        <w:trPr>
          <w:trHeight w:val="102"/>
        </w:trPr>
        <w:tc>
          <w:tcPr>
            <w:tcW w:w="376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3740" w:type="dxa"/>
            <w:vAlign w:val="bottom"/>
            <w:tcBorders>
              <w:bottom w:val="single" w:sz="8" w:color="auto"/>
              <w:right w:val="single" w:sz="8" w:color="auto"/>
            </w:tcBorders>
            <w:shd w:val="clear" w:color="auto" w:fill="D9D9D9"/>
          </w:tcPr>
          <w:p>
            <w:pPr>
              <w:spacing w:after="0"/>
              <w:rPr>
                <w:sz w:val="8"/>
                <w:szCs w:val="8"/>
                <w:color w:val="auto"/>
              </w:rPr>
            </w:pPr>
          </w:p>
        </w:tc>
        <w:tc>
          <w:tcPr>
            <w:tcW w:w="3760" w:type="dxa"/>
            <w:vAlign w:val="bottom"/>
            <w:tcBorders>
              <w:bottom w:val="single" w:sz="8" w:color="auto"/>
              <w:right w:val="single" w:sz="8" w:color="auto"/>
            </w:tcBorders>
            <w:shd w:val="clear" w:color="auto" w:fill="D9D9D9"/>
          </w:tcPr>
          <w:p>
            <w:pPr>
              <w:spacing w:after="0"/>
              <w:rPr>
                <w:sz w:val="8"/>
                <w:szCs w:val="8"/>
                <w:color w:val="auto"/>
              </w:rPr>
            </w:pPr>
          </w:p>
        </w:tc>
      </w:tr>
      <w:tr>
        <w:trPr>
          <w:trHeight w:val="412"/>
        </w:trPr>
        <w:tc>
          <w:tcPr>
            <w:tcW w:w="3760" w:type="dxa"/>
            <w:vAlign w:val="bottom"/>
            <w:tcBorders>
              <w:left w:val="single" w:sz="8" w:color="auto"/>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r>
      <w:tr>
        <w:trPr>
          <w:trHeight w:val="412"/>
        </w:trPr>
        <w:tc>
          <w:tcPr>
            <w:tcW w:w="3760" w:type="dxa"/>
            <w:vAlign w:val="bottom"/>
            <w:tcBorders>
              <w:left w:val="single" w:sz="8" w:color="auto"/>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r>
      <w:tr>
        <w:trPr>
          <w:trHeight w:val="412"/>
        </w:trPr>
        <w:tc>
          <w:tcPr>
            <w:tcW w:w="3760" w:type="dxa"/>
            <w:vAlign w:val="bottom"/>
            <w:tcBorders>
              <w:left w:val="single" w:sz="8" w:color="auto"/>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[Signature Page to Term Note]</w:t>
      </w:r>
    </w:p>
    <w:sectPr>
      <w:pgSz w:w="11900" w:h="16838" w:orient="portrait"/>
      <w:cols w:equalWidth="0" w:num="1">
        <w:col w:w="11260"/>
      </w:cols>
      <w:pgMar w:left="320" w:top="140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6F2E30"/>
    <w:multiLevelType w:val="hybridMultilevel"/>
    <w:lvl w:ilvl="0">
      <w:lvlJc w:val="left"/>
      <w:lvlText w:val="•"/>
      <w:numFmt w:val="bullet"/>
      <w:start w:val="1"/>
    </w:lvl>
  </w:abstractNum>
  <w:abstractNum w:abstractNumId="1">
    <w:nsid w:val="6FDE8AF6"/>
    <w:multiLevelType w:val="hybridMultilevel"/>
    <w:lvl w:ilvl="0">
      <w:lvlJc w:val="left"/>
      <w:lvlText w:val="•"/>
      <w:numFmt w:val="bullet"/>
      <w:start w:val="1"/>
    </w:lvl>
  </w:abstractNum>
  <w:abstractNum w:abstractNumId="2">
    <w:nsid w:val="3FC32E20"/>
    <w:multiLevelType w:val="hybridMultilevel"/>
    <w:lvl w:ilvl="0">
      <w:lvlJc w:val="left"/>
      <w:lvlText w:val="•"/>
      <w:numFmt w:val="bullet"/>
      <w:start w:val="1"/>
    </w:lvl>
  </w:abstractNum>
  <w:abstractNum w:abstractNumId="3">
    <w:nsid w:val="49C0E823"/>
    <w:multiLevelType w:val="hybridMultilevel"/>
    <w:lvl w:ilvl="0">
      <w:lvlJc w:val="left"/>
      <w:lvlText w:val="•"/>
      <w:numFmt w:val="bullet"/>
      <w:start w:val="1"/>
    </w:lvl>
  </w:abstractNum>
  <w:abstractNum w:abstractNumId="4">
    <w:nsid w:val="14D53685"/>
    <w:multiLevelType w:val="hybridMultilevel"/>
    <w:lvl w:ilvl="0">
      <w:lvlJc w:val="left"/>
      <w:lvlText w:val="•"/>
      <w:numFmt w:val="bullet"/>
      <w:start w:val="1"/>
    </w:lvl>
  </w:abstractNum>
  <w:abstractNum w:abstractNumId="5">
    <w:nsid w:val="230F856C"/>
    <w:multiLevelType w:val="hybridMultilevel"/>
    <w:lvl w:ilvl="0">
      <w:lvlJc w:val="left"/>
      <w:lvlText w:val="•"/>
      <w:numFmt w:val="bullet"/>
      <w:start w:val="1"/>
    </w:lvl>
  </w:abstractNum>
  <w:abstractNum w:abstractNumId="6">
    <w:nsid w:val="6EAA85FB"/>
    <w:multiLevelType w:val="hybridMultilevel"/>
    <w:lvl w:ilvl="0">
      <w:lvlJc w:val="left"/>
      <w:lvlText w:val="•"/>
      <w:numFmt w:val="bullet"/>
      <w:start w:val="1"/>
    </w:lvl>
  </w:abstractNum>
  <w:abstractNum w:abstractNumId="7">
    <w:nsid w:val="3F06ECB2"/>
    <w:multiLevelType w:val="hybridMultilevel"/>
    <w:lvl w:ilvl="0">
      <w:lvlJc w:val="left"/>
      <w:lvlText w:val="•"/>
      <w:numFmt w:val="bullet"/>
      <w:start w:val="1"/>
    </w:lvl>
  </w:abstractNum>
  <w:abstractNum w:abstractNumId="8">
    <w:nsid w:val="3B594807"/>
    <w:multiLevelType w:val="hybridMultilevel"/>
    <w:lvl w:ilvl="0">
      <w:lvlJc w:val="left"/>
      <w:lvlText w:val="$"/>
      <w:numFmt w:val="bullet"/>
      <w:start w:val="1"/>
    </w:lvl>
  </w:abstractNum>
  <w:abstractNum w:abstractNumId="9">
    <w:nsid w:val="6CAA2304"/>
    <w:multiLevelType w:val="hybridMultilevel"/>
    <w:lvl w:ilvl="0">
      <w:lvlJc w:val="left"/>
      <w:lvlText w:val="•"/>
      <w:numFmt w:val="bullet"/>
      <w:start w:val="1"/>
    </w:lvl>
  </w:abstractNum>
  <w:abstractNum w:abstractNumId="10">
    <w:nsid w:val="3F7C2FF4"/>
    <w:multiLevelType w:val="hybridMultilevel"/>
    <w:lvl w:ilvl="0">
      <w:lvlJc w:val="left"/>
      <w:lvlText w:val="•"/>
      <w:numFmt w:val="bullet"/>
      <w:start w:val="1"/>
    </w:lvl>
  </w:abstractNum>
  <w:abstractNum w:abstractNumId="11">
    <w:nsid w:val="25413BEC"/>
    <w:multiLevelType w:val="hybridMultilevel"/>
    <w:lvl w:ilvl="0">
      <w:lvlJc w:val="left"/>
      <w:lvlText w:val="•"/>
      <w:numFmt w:val="bullet"/>
      <w:start w:val="1"/>
    </w:lvl>
  </w:abstractNum>
  <w:abstractNum w:abstractNumId="12">
    <w:nsid w:val="17180B0B"/>
    <w:multiLevelType w:val="hybridMultilevel"/>
    <w:lvl w:ilvl="0">
      <w:lvlJc w:val="left"/>
      <w:lvlText w:val="(%1)"/>
      <w:numFmt w:val="decimal"/>
      <w:start w:val="1"/>
    </w:lvl>
  </w:abstractNum>
  <w:abstractNum w:abstractNumId="13">
    <w:nsid w:val="579328B9"/>
    <w:multiLevelType w:val="hybridMultilevel"/>
    <w:lvl w:ilvl="0">
      <w:lvlJc w:val="left"/>
      <w:lvlText w:val="(%1)"/>
      <w:numFmt w:val="decimal"/>
      <w:start w:val="1"/>
    </w:lvl>
  </w:abstractNum>
  <w:abstractNum w:abstractNumId="14">
    <w:nsid w:val="5D205E20"/>
    <w:multiLevelType w:val="hybridMultilevel"/>
    <w:lvl w:ilvl="0">
      <w:lvlJc w:val="left"/>
      <w:lvlText w:val="$"/>
      <w:numFmt w:val="bullet"/>
      <w:start w:val="1"/>
    </w:lvl>
  </w:abstractNum>
  <w:abstractNum w:abstractNumId="15">
    <w:nsid w:val="11CCA8BA"/>
    <w:multiLevelType w:val="hybridMultilevel"/>
    <w:lvl w:ilvl="0">
      <w:lvlJc w:val="left"/>
      <w:lvlText w:val="(%1)"/>
      <w:numFmt w:val="decimal"/>
      <w:start w:val="1"/>
    </w:lvl>
  </w:abstractNum>
  <w:abstractNum w:abstractNumId="16">
    <w:nsid w:val="4D32AB86"/>
    <w:multiLevelType w:val="hybridMultilevel"/>
    <w:lvl w:ilvl="0">
      <w:lvlJc w:val="left"/>
      <w:lvlText w:val="•"/>
      <w:numFmt w:val="bullet"/>
      <w:start w:val="1"/>
    </w:lvl>
  </w:abstractNum>
  <w:abstractNum w:abstractNumId="17">
    <w:nsid w:val="3F07ACC3"/>
    <w:multiLevelType w:val="hybridMultilevel"/>
    <w:lvl w:ilvl="0">
      <w:lvlJc w:val="left"/>
      <w:lvlText w:val="•"/>
      <w:numFmt w:val="bullet"/>
      <w:start w:val="1"/>
    </w:lvl>
  </w:abstractNum>
  <w:abstractNum w:abstractNumId="18">
    <w:nsid w:val="6B47F63E"/>
    <w:multiLevelType w:val="hybridMultilevel"/>
    <w:lvl w:ilvl="0">
      <w:lvlJc w:val="left"/>
      <w:lvlText w:val="•"/>
      <w:numFmt w:val="bullet"/>
      <w:start w:val="1"/>
    </w:lvl>
  </w:abstractNum>
  <w:abstractNum w:abstractNumId="19">
    <w:nsid w:val="5CB44A05"/>
    <w:multiLevelType w:val="hybridMultilevel"/>
    <w:lvl w:ilvl="0">
      <w:lvlJc w:val="left"/>
      <w:lvlText w:val="•"/>
      <w:numFmt w:val="bullet"/>
      <w:start w:val="1"/>
    </w:lvl>
  </w:abstractNum>
  <w:abstractNum w:abstractNumId="20">
    <w:nsid w:val="16CF80F1"/>
    <w:multiLevelType w:val="hybridMultilevel"/>
    <w:lvl w:ilvl="0">
      <w:lvlJc w:val="left"/>
      <w:lvlText w:val="•"/>
      <w:numFmt w:val="bullet"/>
      <w:start w:val="1"/>
    </w:lvl>
  </w:abstractNum>
  <w:abstractNum w:abstractNumId="21">
    <w:nsid w:val="1C695DEC"/>
    <w:multiLevelType w:val="hybridMultilevel"/>
    <w:lvl w:ilvl="0">
      <w:lvlJc w:val="left"/>
      <w:lvlText w:val="•"/>
      <w:numFmt w:val="bullet"/>
      <w:start w:val="1"/>
    </w:lvl>
  </w:abstractNum>
  <w:abstractNum w:abstractNumId="22">
    <w:nsid w:val="3FCFAED9"/>
    <w:multiLevelType w:val="hybridMultilevel"/>
    <w:lvl w:ilvl="0">
      <w:lvlJc w:val="left"/>
      <w:lvlText w:val="•"/>
      <w:numFmt w:val="bullet"/>
      <w:start w:val="1"/>
    </w:lvl>
  </w:abstractNum>
  <w:abstractNum w:abstractNumId="23">
    <w:nsid w:val="F856867"/>
    <w:multiLevelType w:val="hybridMultilevel"/>
    <w:lvl w:ilvl="0">
      <w:lvlJc w:val="left"/>
      <w:lvlText w:val="•"/>
      <w:numFmt w:val="bullet"/>
      <w:start w:val="1"/>
    </w:lvl>
  </w:abstractNum>
  <w:abstractNum w:abstractNumId="24">
    <w:nsid w:val="11B1CC33"/>
    <w:multiLevelType w:val="hybridMultilevel"/>
    <w:lvl w:ilvl="0">
      <w:lvlJc w:val="left"/>
      <w:lvlText w:val="•"/>
      <w:numFmt w:val="bullet"/>
      <w:start w:val="1"/>
    </w:lvl>
  </w:abstractNum>
  <w:abstractNum w:abstractNumId="25">
    <w:nsid w:val="2E22FBB7"/>
    <w:multiLevelType w:val="hybridMultilevel"/>
    <w:lvl w:ilvl="0">
      <w:lvlJc w:val="left"/>
      <w:lvlText w:val="•"/>
      <w:numFmt w:val="bullet"/>
      <w:start w:val="1"/>
    </w:lvl>
  </w:abstractNum>
  <w:abstractNum w:abstractNumId="26">
    <w:nsid w:val="29934699"/>
    <w:multiLevelType w:val="hybridMultilevel"/>
    <w:lvl w:ilvl="0">
      <w:lvlJc w:val="left"/>
      <w:lvlText w:val="•"/>
      <w:numFmt w:val="bullet"/>
      <w:start w:val="1"/>
    </w:lvl>
  </w:abstractNum>
  <w:abstractNum w:abstractNumId="27">
    <w:nsid w:val="77485850"/>
    <w:multiLevelType w:val="hybridMultilevel"/>
    <w:lvl w:ilvl="0">
      <w:lvlJc w:val="left"/>
      <w:lvlText w:val="•"/>
      <w:numFmt w:val="bullet"/>
      <w:start w:val="1"/>
    </w:lvl>
  </w:abstractNum>
  <w:abstractNum w:abstractNumId="28">
    <w:nsid w:val="744939A3"/>
    <w:multiLevelType w:val="hybridMultilevel"/>
    <w:lvl w:ilvl="0">
      <w:lvlJc w:val="left"/>
      <w:lvlText w:val="•"/>
      <w:numFmt w:val="bullet"/>
      <w:start w:val="1"/>
    </w:lvl>
  </w:abstractNum>
  <w:abstractNum w:abstractNumId="29">
    <w:nsid w:val="4FA0D2E3"/>
    <w:multiLevelType w:val="hybridMultilevel"/>
    <w:lvl w:ilvl="0">
      <w:lvlJc w:val="left"/>
      <w:lvlText w:val="•"/>
      <w:numFmt w:val="bullet"/>
      <w:start w:val="1"/>
    </w:lvl>
  </w:abstractNum>
  <w:abstractNum w:abstractNumId="30">
    <w:nsid w:val="6B1D2C14"/>
    <w:multiLevelType w:val="hybridMultilevel"/>
    <w:lvl w:ilvl="0">
      <w:lvlJc w:val="left"/>
      <w:lvlText w:val="•"/>
      <w:numFmt w:val="bullet"/>
      <w:start w:val="1"/>
    </w:lvl>
  </w:abstractNum>
  <w:abstractNum w:abstractNumId="31">
    <w:nsid w:val="68B867D3"/>
    <w:multiLevelType w:val="hybridMultilevel"/>
    <w:lvl w:ilvl="0">
      <w:lvlJc w:val="left"/>
      <w:lvlText w:val="•"/>
      <w:numFmt w:val="bullet"/>
      <w:start w:val="1"/>
    </w:lvl>
  </w:abstractNum>
  <w:abstractNum w:abstractNumId="32">
    <w:nsid w:val="3F7F5DD9"/>
    <w:multiLevelType w:val="hybridMultilevel"/>
    <w:lvl w:ilvl="0">
      <w:lvlJc w:val="left"/>
      <w:lvlText w:val="•"/>
      <w:numFmt w:val="bullet"/>
      <w:start w:val="1"/>
    </w:lvl>
  </w:abstractNum>
  <w:abstractNum w:abstractNumId="33">
    <w:nsid w:val="2AE05A34"/>
    <w:multiLevelType w:val="hybridMultilevel"/>
    <w:lvl w:ilvl="0">
      <w:lvlJc w:val="left"/>
      <w:lvlText w:val="•"/>
      <w:numFmt w:val="bullet"/>
      <w:start w:val="1"/>
    </w:lvl>
  </w:abstractNum>
  <w:abstractNum w:abstractNumId="34">
    <w:nsid w:val="32794FF7"/>
    <w:multiLevelType w:val="hybridMultilevel"/>
    <w:lvl w:ilvl="0">
      <w:lvlJc w:val="left"/>
      <w:lvlText w:val="•"/>
      <w:numFmt w:val="bullet"/>
      <w:start w:val="1"/>
    </w:lvl>
  </w:abstractNum>
  <w:abstractNum w:abstractNumId="35">
    <w:nsid w:val="5454945E"/>
    <w:multiLevelType w:val="hybridMultilevel"/>
    <w:lvl w:ilvl="0">
      <w:lvlJc w:val="left"/>
      <w:lvlText w:val="•"/>
      <w:numFmt w:val="bullet"/>
      <w:start w:val="1"/>
    </w:lvl>
  </w:abstractNum>
  <w:abstractNum w:abstractNumId="36">
    <w:nsid w:val="4DEFDFA0"/>
    <w:multiLevelType w:val="hybridMultilevel"/>
    <w:lvl w:ilvl="0">
      <w:lvlJc w:val="left"/>
      <w:lvlText w:val="•"/>
      <w:numFmt w:val="bullet"/>
      <w:start w:val="1"/>
    </w:lvl>
  </w:abstractNum>
  <w:abstractNum w:abstractNumId="37">
    <w:nsid w:val="2123D5F2"/>
    <w:multiLevelType w:val="hybridMultilevel"/>
    <w:lvl w:ilvl="0">
      <w:lvlJc w:val="left"/>
      <w:lvlText w:val="•"/>
      <w:numFmt w:val="bullet"/>
      <w:start w:val="1"/>
    </w:lvl>
  </w:abstractNum>
  <w:abstractNum w:abstractNumId="38">
    <w:nsid w:val="135B8110"/>
    <w:multiLevelType w:val="hybridMultilevel"/>
    <w:lvl w:ilvl="0">
      <w:lvlJc w:val="left"/>
      <w:lvlText w:val="•"/>
      <w:numFmt w:val="bullet"/>
      <w:start w:val="1"/>
    </w:lvl>
  </w:abstractNum>
  <w:abstractNum w:abstractNumId="39">
    <w:nsid w:val="94927A8"/>
    <w:multiLevelType w:val="hybridMultilevel"/>
    <w:lvl w:ilvl="0">
      <w:lvlJc w:val="left"/>
      <w:lvlText w:val="•"/>
      <w:numFmt w:val="bullet"/>
      <w:start w:val="1"/>
    </w:lvl>
  </w:abstractNum>
  <w:abstractNum w:abstractNumId="40">
    <w:nsid w:val="DCDF8F6"/>
    <w:multiLevelType w:val="hybridMultilevel"/>
    <w:lvl w:ilvl="0">
      <w:lvlJc w:val="left"/>
      <w:lvlText w:val="•"/>
      <w:numFmt w:val="bullet"/>
      <w:start w:val="1"/>
    </w:lvl>
  </w:abstractNum>
  <w:abstractNum w:abstractNumId="41">
    <w:nsid w:val="52D7B105"/>
    <w:multiLevelType w:val="hybridMultilevel"/>
    <w:lvl w:ilvl="0">
      <w:lvlJc w:val="left"/>
      <w:lvlText w:val="•"/>
      <w:numFmt w:val="bullet"/>
      <w:start w:val="1"/>
    </w:lvl>
  </w:abstractNum>
  <w:abstractNum w:abstractNumId="42">
    <w:nsid w:val="2E8A6394"/>
    <w:multiLevelType w:val="hybridMultilevel"/>
    <w:lvl w:ilvl="0">
      <w:lvlJc w:val="left"/>
      <w:lvlText w:val="•"/>
      <w:numFmt w:val="bullet"/>
      <w:start w:val="1"/>
    </w:lvl>
  </w:abstractNum>
  <w:abstractNum w:abstractNumId="43">
    <w:nsid w:val="24E60401"/>
    <w:multiLevelType w:val="hybridMultilevel"/>
    <w:lvl w:ilvl="0">
      <w:lvlJc w:val="left"/>
      <w:lvlText w:val="•"/>
      <w:numFmt w:val="bullet"/>
      <w:start w:val="1"/>
    </w:lvl>
  </w:abstractNum>
  <w:abstractNum w:abstractNumId="44">
    <w:nsid w:val="2A6AD9BE"/>
    <w:multiLevelType w:val="hybridMultilevel"/>
    <w:lvl w:ilvl="0">
      <w:lvlJc w:val="left"/>
      <w:lvlText w:val="$"/>
      <w:numFmt w:val="bullet"/>
      <w:start w:val="1"/>
    </w:lvl>
  </w:abstractNum>
  <w:abstractNum w:abstractNumId="45">
    <w:nsid w:val="BAAC1B4"/>
    <w:multiLevelType w:val="hybridMultilevel"/>
    <w:lvl w:ilvl="0">
      <w:lvlJc w:val="left"/>
      <w:lvlText w:val="•"/>
      <w:numFmt w:val="bullet"/>
      <w:start w:val="1"/>
    </w:lvl>
  </w:abstractNum>
  <w:abstractNum w:abstractNumId="46">
    <w:nsid w:val="36B2ACBC"/>
    <w:multiLevelType w:val="hybridMultilevel"/>
    <w:lvl w:ilvl="0">
      <w:lvlJc w:val="left"/>
      <w:lvlText w:val="•"/>
      <w:numFmt w:val="bullet"/>
      <w:start w:val="1"/>
    </w:lvl>
  </w:abstractNum>
  <w:abstractNum w:abstractNumId="47">
    <w:nsid w:val="779D8544"/>
    <w:multiLevelType w:val="hybridMultilevel"/>
    <w:lvl w:ilvl="0">
      <w:lvlJc w:val="left"/>
      <w:lvlText w:val="$"/>
      <w:numFmt w:val="bullet"/>
      <w:start w:val="1"/>
    </w:lvl>
  </w:abstractNum>
  <w:abstractNum w:abstractNumId="48">
    <w:nsid w:val="4AB26E78"/>
    <w:multiLevelType w:val="hybridMultilevel"/>
    <w:lvl w:ilvl="0">
      <w:lvlJc w:val="left"/>
      <w:lvlText w:val="•"/>
      <w:numFmt w:val="bullet"/>
      <w:start w:val="1"/>
    </w:lvl>
  </w:abstractNum>
  <w:abstractNum w:abstractNumId="49">
    <w:nsid w:val="21FAA2FA"/>
    <w:multiLevelType w:val="hybridMultilevel"/>
    <w:lvl w:ilvl="0">
      <w:lvlJc w:val="left"/>
      <w:lvlText w:val="$"/>
      <w:numFmt w:val="bullet"/>
      <w:start w:val="1"/>
    </w:lvl>
  </w:abstractNum>
  <w:abstractNum w:abstractNumId="50">
    <w:nsid w:val="5451CF49"/>
    <w:multiLevelType w:val="hybridMultilevel"/>
    <w:lvl w:ilvl="0">
      <w:lvlJc w:val="left"/>
      <w:lvlText w:val="•"/>
      <w:numFmt w:val="bullet"/>
      <w:start w:val="1"/>
    </w:lvl>
  </w:abstractNum>
  <w:abstractNum w:abstractNumId="51">
    <w:nsid w:val="6181EF69"/>
    <w:multiLevelType w:val="hybridMultilevel"/>
    <w:lvl w:ilvl="0">
      <w:lvlJc w:val="left"/>
      <w:lvlText w:val="(%1)"/>
      <w:numFmt w:val="decimal"/>
      <w:start w:val="1"/>
    </w:lvl>
  </w:abstractNum>
  <w:abstractNum w:abstractNumId="52">
    <w:nsid w:val="3E6400E6"/>
    <w:multiLevelType w:val="hybridMultilevel"/>
    <w:lvl w:ilvl="0">
      <w:lvlJc w:val="left"/>
      <w:lvlText w:val="(%1)"/>
      <w:numFmt w:val="decimal"/>
      <w:start w:val="1"/>
    </w:lvl>
  </w:abstractNum>
  <w:abstractNum w:abstractNumId="53">
    <w:nsid w:val="14217E23"/>
    <w:multiLevelType w:val="hybridMultilevel"/>
    <w:lvl w:ilvl="0">
      <w:lvlJc w:val="left"/>
      <w:lvlText w:val="•"/>
      <w:numFmt w:val="bullet"/>
      <w:start w:val="1"/>
    </w:lvl>
  </w:abstractNum>
  <w:abstractNum w:abstractNumId="54">
    <w:nsid w:val="710757D0"/>
    <w:multiLevelType w:val="hybridMultilevel"/>
    <w:lvl w:ilvl="0">
      <w:lvlJc w:val="left"/>
      <w:lvlText w:val="•"/>
      <w:numFmt w:val="bullet"/>
      <w:start w:val="1"/>
    </w:lvl>
  </w:abstractNum>
  <w:abstractNum w:abstractNumId="55">
    <w:nsid w:val="5015CD1A"/>
    <w:multiLevelType w:val="hybridMultilevel"/>
    <w:lvl w:ilvl="0">
      <w:lvlJc w:val="left"/>
      <w:lvlText w:val="•"/>
      <w:numFmt w:val="bullet"/>
      <w:start w:val="1"/>
    </w:lvl>
  </w:abstractNum>
  <w:abstractNum w:abstractNumId="56">
    <w:nsid w:val="424479DA"/>
    <w:multiLevelType w:val="hybridMultilevel"/>
    <w:lvl w:ilvl="0">
      <w:lvlJc w:val="left"/>
      <w:lvlText w:val="•"/>
      <w:numFmt w:val="bullet"/>
      <w:start w:val="1"/>
    </w:lvl>
  </w:abstractNum>
  <w:abstractNum w:abstractNumId="57">
    <w:nsid w:val="1A9A9E69"/>
    <w:multiLevelType w:val="hybridMultilevel"/>
    <w:lvl w:ilvl="0">
      <w:lvlJc w:val="left"/>
      <w:lvlText w:val="•"/>
      <w:numFmt w:val="bullet"/>
      <w:start w:val="1"/>
    </w:lvl>
  </w:abstractNum>
  <w:abstractNum w:abstractNumId="58">
    <w:nsid w:val="475E256A"/>
    <w:multiLevelType w:val="hybridMultilevel"/>
    <w:lvl w:ilvl="0">
      <w:lvlJc w:val="left"/>
      <w:lvlText w:val="•"/>
      <w:numFmt w:val="bullet"/>
      <w:start w:val="1"/>
    </w:lvl>
  </w:abstractNum>
  <w:abstractNum w:abstractNumId="59">
    <w:nsid w:val="368DB37E"/>
    <w:multiLevelType w:val="hybridMultilevel"/>
    <w:lvl w:ilvl="0">
      <w:lvlJc w:val="left"/>
      <w:lvlText w:val="•"/>
      <w:numFmt w:val="bullet"/>
      <w:start w:val="1"/>
    </w:lvl>
  </w:abstractNum>
  <w:abstractNum w:abstractNumId="60">
    <w:nsid w:val="6A3B714C"/>
    <w:multiLevelType w:val="hybridMultilevel"/>
    <w:lvl w:ilvl="0">
      <w:lvlJc w:val="left"/>
      <w:lvlText w:val="•"/>
      <w:numFmt w:val="bullet"/>
      <w:start w:val="1"/>
    </w:lvl>
  </w:abstractNum>
  <w:abstractNum w:abstractNumId="61">
    <w:nsid w:val="327B517E"/>
    <w:multiLevelType w:val="hybridMultilevel"/>
    <w:lvl w:ilvl="0">
      <w:lvlJc w:val="left"/>
      <w:lvlText w:val="•"/>
      <w:numFmt w:val="bullet"/>
      <w:start w:val="1"/>
    </w:lvl>
  </w:abstractNum>
  <w:abstractNum w:abstractNumId="62">
    <w:nsid w:val="1F461B51"/>
    <w:multiLevelType w:val="hybridMultilevel"/>
    <w:lvl w:ilvl="0">
      <w:lvlJc w:val="left"/>
      <w:lvlText w:val="•"/>
      <w:numFmt w:val="bullet"/>
      <w:start w:val="1"/>
    </w:lvl>
  </w:abstractNum>
  <w:abstractNum w:abstractNumId="63">
    <w:nsid w:val="29BACF25"/>
    <w:multiLevelType w:val="hybridMultilevel"/>
    <w:lvl w:ilvl="0">
      <w:lvlJc w:val="left"/>
      <w:lvlText w:val="•"/>
      <w:numFmt w:val="bullet"/>
      <w:start w:val="1"/>
    </w:lvl>
  </w:abstractNum>
  <w:abstractNum w:abstractNumId="64">
    <w:nsid w:val="5D5BABB3"/>
    <w:multiLevelType w:val="hybridMultilevel"/>
    <w:lvl w:ilvl="0">
      <w:lvlJc w:val="left"/>
      <w:lvlText w:val="•"/>
      <w:numFmt w:val="bullet"/>
      <w:start w:val="1"/>
    </w:lvl>
  </w:abstractNum>
  <w:abstractNum w:abstractNumId="65">
    <w:nsid w:val="51BF6B48"/>
    <w:multiLevelType w:val="hybridMultilevel"/>
    <w:lvl w:ilvl="0">
      <w:lvlJc w:val="left"/>
      <w:lvlText w:val="•"/>
      <w:numFmt w:val="bullet"/>
      <w:start w:val="1"/>
    </w:lvl>
  </w:abstractNum>
  <w:abstractNum w:abstractNumId="66">
    <w:nsid w:val="7E0F6384"/>
    <w:multiLevelType w:val="hybridMultilevel"/>
    <w:lvl w:ilvl="0">
      <w:lvlJc w:val="left"/>
      <w:lvlText w:val="•"/>
      <w:numFmt w:val="bullet"/>
      <w:start w:val="1"/>
    </w:lvl>
  </w:abstractNum>
  <w:abstractNum w:abstractNumId="67">
    <w:nsid w:val="2B4B8B53"/>
    <w:multiLevelType w:val="hybridMultilevel"/>
    <w:lvl w:ilvl="0">
      <w:lvlJc w:val="left"/>
      <w:lvlText w:val="•"/>
      <w:numFmt w:val="bullet"/>
      <w:start w:val="1"/>
    </w:lvl>
  </w:abstractNum>
  <w:abstractNum w:abstractNumId="68">
    <w:nsid w:val="72E3413A"/>
    <w:multiLevelType w:val="hybridMultilevel"/>
    <w:lvl w:ilvl="0">
      <w:lvlJc w:val="left"/>
      <w:lvlText w:val="(%1)"/>
      <w:numFmt w:val="decimal"/>
      <w:start w:val="1"/>
    </w:lvl>
  </w:abstractNum>
  <w:abstractNum w:abstractNumId="69">
    <w:nsid w:val="116AE494"/>
    <w:multiLevelType w:val="hybridMultilevel"/>
    <w:lvl w:ilvl="0">
      <w:lvlJc w:val="left"/>
      <w:lvlText w:val="•"/>
      <w:numFmt w:val="bullet"/>
      <w:start w:val="1"/>
    </w:lvl>
  </w:abstractNum>
  <w:abstractNum w:abstractNumId="70">
    <w:nsid w:val="3494B2FB"/>
    <w:multiLevelType w:val="hybridMultilevel"/>
    <w:lvl w:ilvl="0">
      <w:lvlJc w:val="left"/>
      <w:lvlText w:val="(%1)"/>
      <w:numFmt w:val="decimal"/>
      <w:start w:val="1"/>
    </w:lvl>
  </w:abstractNum>
  <w:abstractNum w:abstractNumId="71">
    <w:nsid w:val="B13A31"/>
    <w:multiLevelType w:val="hybridMultilevel"/>
    <w:lvl w:ilvl="0">
      <w:lvlJc w:val="left"/>
      <w:lvlText w:val="•"/>
      <w:numFmt w:val="bullet"/>
      <w:start w:val="1"/>
    </w:lvl>
  </w:abstractNum>
  <w:abstractNum w:abstractNumId="72">
    <w:nsid w:val="64429599"/>
    <w:multiLevelType w:val="hybridMultilevel"/>
    <w:lvl w:ilvl="0">
      <w:lvlJc w:val="left"/>
      <w:lvlText w:val="(%1)"/>
      <w:numFmt w:val="lowerRoman"/>
      <w:start w:val="1"/>
    </w:lvl>
  </w:abstractNum>
  <w:abstractNum w:abstractNumId="73">
    <w:nsid w:val="631F1690"/>
    <w:multiLevelType w:val="hybridMultilevel"/>
    <w:lvl w:ilvl="0">
      <w:lvlJc w:val="left"/>
      <w:lvlText w:val="•"/>
      <w:numFmt w:val="bullet"/>
      <w:start w:val="1"/>
    </w:lvl>
  </w:abstractNum>
  <w:abstractNum w:abstractNumId="74">
    <w:nsid w:val="25973E32"/>
    <w:multiLevelType w:val="hybridMultilevel"/>
    <w:lvl w:ilvl="0">
      <w:lvlJc w:val="left"/>
      <w:lvlText w:val="•"/>
      <w:numFmt w:val="bullet"/>
      <w:start w:val="1"/>
    </w:lvl>
  </w:abstractNum>
  <w:abstractNum w:abstractNumId="75">
    <w:nsid w:val="EAD6F57"/>
    <w:multiLevelType w:val="hybridMultilevel"/>
    <w:lvl w:ilvl="0">
      <w:lvlJc w:val="left"/>
      <w:lvlText w:val="•"/>
      <w:numFmt w:val="bullet"/>
      <w:start w:val="1"/>
    </w:lvl>
  </w:abstractNum>
  <w:abstractNum w:abstractNumId="76">
    <w:nsid w:val="6EC9D844"/>
    <w:multiLevelType w:val="hybridMultilevel"/>
    <w:lvl w:ilvl="0">
      <w:lvlJc w:val="left"/>
      <w:lvlText w:val="(%1)"/>
      <w:numFmt w:val="lowerRoman"/>
      <w:start w:val="3"/>
    </w:lvl>
  </w:abstractNum>
  <w:abstractNum w:abstractNumId="77">
    <w:nsid w:val="5C49EAEE"/>
    <w:multiLevelType w:val="hybridMultilevel"/>
    <w:lvl w:ilvl="0">
      <w:lvlJc w:val="left"/>
      <w:lvlText w:val="•"/>
      <w:numFmt w:val="bullet"/>
      <w:start w:val="1"/>
    </w:lvl>
  </w:abstractNum>
  <w:abstractNum w:abstractNumId="78">
    <w:nsid w:val="64AF49B"/>
    <w:multiLevelType w:val="hybridMultilevel"/>
    <w:lvl w:ilvl="0">
      <w:lvlJc w:val="left"/>
      <w:lvlText w:val="("/>
      <w:numFmt w:val="bullet"/>
      <w:start w:val="1"/>
    </w:lvl>
  </w:abstractNum>
  <w:abstractNum w:abstractNumId="79">
    <w:nsid w:val="397C46BC"/>
    <w:multiLevelType w:val="hybridMultilevel"/>
    <w:lvl w:ilvl="0">
      <w:lvlJc w:val="left"/>
      <w:lvlText w:val="*"/>
      <w:numFmt w:val="bullet"/>
      <w:start w:val="1"/>
    </w:lvl>
  </w:abstractNum>
  <w:abstractNum w:abstractNumId="80">
    <w:nsid w:val="7E448DE9"/>
    <w:multiLevelType w:val="hybridMultilevel"/>
    <w:lvl w:ilvl="0">
      <w:lvlJc w:val="left"/>
      <w:lvlText w:val="(%1)"/>
      <w:numFmt w:val="decimal"/>
      <w:start w:val="1"/>
    </w:lvl>
  </w:abstractNum>
  <w:abstractNum w:abstractNumId="81">
    <w:nsid w:val="5A9CC3E5"/>
    <w:multiLevelType w:val="hybridMultilevel"/>
    <w:lvl w:ilvl="0">
      <w:lvlJc w:val="left"/>
      <w:lvlText w:val="•"/>
      <w:numFmt w:val="bullet"/>
      <w:start w:val="1"/>
    </w:lvl>
  </w:abstractNum>
  <w:abstractNum w:abstractNumId="82">
    <w:nsid w:val="1AFE3625"/>
    <w:multiLevelType w:val="hybridMultilevel"/>
    <w:lvl w:ilvl="0">
      <w:lvlJc w:val="left"/>
      <w:lvlText w:val="•"/>
      <w:numFmt w:val="bullet"/>
      <w:start w:val="1"/>
    </w:lvl>
  </w:abstractNum>
  <w:abstractNum w:abstractNumId="83">
    <w:nsid w:val="3CA88ECF"/>
    <w:multiLevelType w:val="hybridMultilevel"/>
    <w:lvl w:ilvl="0">
      <w:lvlJc w:val="left"/>
      <w:lvlText w:val="%1."/>
      <w:numFmt w:val="decimal"/>
      <w:start w:val="144"/>
    </w:lvl>
  </w:abstractNum>
  <w:abstractNum w:abstractNumId="84">
    <w:nsid w:val="6EBE4208"/>
    <w:multiLevelType w:val="hybridMultilevel"/>
    <w:lvl w:ilvl="0">
      <w:lvlJc w:val="left"/>
      <w:lvlText w:val="•"/>
      <w:numFmt w:val="bullet"/>
      <w:start w:val="1"/>
    </w:lvl>
  </w:abstractNum>
  <w:abstractNum w:abstractNumId="85">
    <w:nsid w:val="C058DF5"/>
    <w:multiLevelType w:val="hybridMultilevel"/>
    <w:lvl w:ilvl="0">
      <w:lvlJc w:val="left"/>
      <w:lvlText w:val="%1."/>
      <w:numFmt w:val="decimal"/>
      <w:start w:val="144"/>
    </w:lvl>
  </w:abstractNum>
  <w:abstractNum w:abstractNumId="86">
    <w:nsid w:val="CBE5BE9"/>
    <w:multiLevelType w:val="hybridMultilevel"/>
    <w:lvl w:ilvl="0">
      <w:lvlJc w:val="left"/>
      <w:lvlText w:val="%1."/>
      <w:numFmt w:val="decimal"/>
      <w:start w:val="144"/>
    </w:lvl>
  </w:abstractNum>
  <w:abstractNum w:abstractNumId="87">
    <w:nsid w:val="3102BBE2"/>
    <w:multiLevelType w:val="hybridMultilevel"/>
    <w:lvl w:ilvl="0">
      <w:lvlJc w:val="left"/>
      <w:lvlText w:val="•"/>
      <w:numFmt w:val="bullet"/>
      <w:start w:val="1"/>
    </w:lvl>
  </w:abstractNum>
  <w:abstractNum w:abstractNumId="88">
    <w:nsid w:val="26A02C5E"/>
    <w:multiLevelType w:val="hybridMultilevel"/>
    <w:lvl w:ilvl="0">
      <w:lvlJc w:val="left"/>
      <w:lvlText w:val="•"/>
      <w:numFmt w:val="bullet"/>
      <w:start w:val="1"/>
    </w:lvl>
  </w:abstractNum>
  <w:abstractNum w:abstractNumId="89">
    <w:nsid w:val="541C8153"/>
    <w:multiLevelType w:val="hybridMultilevel"/>
    <w:lvl w:ilvl="0">
      <w:lvlJc w:val="left"/>
      <w:lvlText w:val="•"/>
      <w:numFmt w:val="bullet"/>
      <w:start w:val="1"/>
    </w:lvl>
  </w:abstractNum>
  <w:abstractNum w:abstractNumId="90">
    <w:nsid w:val="67906F60"/>
    <w:multiLevelType w:val="hybridMultilevel"/>
    <w:lvl w:ilvl="0">
      <w:lvlJc w:val="left"/>
      <w:lvlText w:val="•"/>
      <w:numFmt w:val="bullet"/>
      <w:start w:val="1"/>
    </w:lvl>
  </w:abstractNum>
  <w:abstractNum w:abstractNumId="91">
    <w:nsid w:val="10DB9DAA"/>
    <w:multiLevelType w:val="hybridMultilevel"/>
    <w:lvl w:ilvl="0">
      <w:lvlJc w:val="left"/>
      <w:lvlText w:val="•"/>
      <w:numFmt w:val="bullet"/>
      <w:start w:val="1"/>
    </w:lvl>
  </w:abstractNum>
  <w:abstractNum w:abstractNumId="92">
    <w:nsid w:val="697D2D2"/>
    <w:multiLevelType w:val="hybridMultilevel"/>
    <w:lvl w:ilvl="0">
      <w:lvlJc w:val="left"/>
      <w:lvlText w:val="•"/>
      <w:numFmt w:val="bullet"/>
      <w:start w:val="1"/>
    </w:lvl>
  </w:abstractNum>
  <w:abstractNum w:abstractNumId="93">
    <w:nsid w:val="6D68AB2"/>
    <w:multiLevelType w:val="hybridMultilevel"/>
    <w:lvl w:ilvl="0">
      <w:lvlJc w:val="left"/>
      <w:lvlText w:val="•"/>
      <w:numFmt w:val="bullet"/>
      <w:start w:val="1"/>
    </w:lvl>
  </w:abstractNum>
  <w:abstractNum w:abstractNumId="94">
    <w:nsid w:val="3A966CD0"/>
    <w:multiLevelType w:val="hybridMultilevel"/>
    <w:lvl w:ilvl="0">
      <w:lvlJc w:val="left"/>
      <w:lvlText w:val="•"/>
      <w:numFmt w:val="bullet"/>
      <w:start w:val="1"/>
    </w:lvl>
  </w:abstractNum>
  <w:abstractNum w:abstractNumId="95">
    <w:nsid w:val="63F37E85"/>
    <w:multiLevelType w:val="hybridMultilevel"/>
    <w:lvl w:ilvl="0">
      <w:lvlJc w:val="left"/>
      <w:lvlText w:val="•"/>
      <w:numFmt w:val="bullet"/>
      <w:start w:val="1"/>
    </w:lvl>
  </w:abstractNum>
  <w:abstractNum w:abstractNumId="96">
    <w:nsid w:val="5895F5FA"/>
    <w:multiLevelType w:val="hybridMultilevel"/>
    <w:lvl w:ilvl="0">
      <w:lvlJc w:val="left"/>
      <w:lvlText w:val="(%1)"/>
      <w:numFmt w:val="upperLetter"/>
      <w:start w:val="1"/>
    </w:lvl>
  </w:abstractNum>
  <w:abstractNum w:abstractNumId="97">
    <w:nsid w:val="38A5D054"/>
    <w:multiLevelType w:val="hybridMultilevel"/>
    <w:lvl w:ilvl="0">
      <w:lvlJc w:val="left"/>
      <w:lvlText w:val="1"/>
      <w:numFmt w:val="bullet"/>
      <w:start w:val="1"/>
    </w:lvl>
  </w:abstractNum>
  <w:abstractNum w:abstractNumId="98">
    <w:nsid w:val="F3F09D8"/>
    <w:multiLevelType w:val="hybridMultilevel"/>
    <w:lvl w:ilvl="0">
      <w:lvlJc w:val="left"/>
      <w:lvlText w:val="2"/>
      <w:numFmt w:val="bullet"/>
      <w:start w:val="1"/>
    </w:lvl>
  </w:abstractNum>
  <w:abstractNum w:abstractNumId="99">
    <w:nsid w:val="4B793735"/>
    <w:multiLevelType w:val="hybridMultilevel"/>
    <w:lvl w:ilvl="0">
      <w:lvlJc w:val="left"/>
      <w:lvlText w:val="3"/>
      <w:numFmt w:val="bullet"/>
      <w:start w:val="1"/>
    </w:lvl>
  </w:abstractNum>
  <w:abstractNum w:abstractNumId="100">
    <w:nsid w:val="4A10B4E8"/>
    <w:multiLevelType w:val="hybridMultilevel"/>
    <w:lvl w:ilvl="0">
      <w:lvlJc w:val="left"/>
      <w:lvlText w:val="3"/>
      <w:numFmt w:val="bullet"/>
      <w:start w:val="1"/>
    </w:lvl>
  </w:abstractNum>
  <w:abstractNum w:abstractNumId="101">
    <w:nsid w:val="43D3BCD4"/>
    <w:multiLevelType w:val="hybridMultilevel"/>
    <w:lvl w:ilvl="0">
      <w:lvlJc w:val="left"/>
      <w:lvlText w:val="•"/>
      <w:numFmt w:val="bullet"/>
      <w:start w:val="1"/>
    </w:lvl>
  </w:abstractNum>
  <w:abstractNum w:abstractNumId="102">
    <w:nsid w:val="4C2A7166"/>
    <w:multiLevelType w:val="hybridMultilevel"/>
    <w:lvl w:ilvl="0">
      <w:lvlJc w:val="left"/>
      <w:lvlText w:val="•"/>
      <w:numFmt w:val="bullet"/>
      <w:start w:val="1"/>
    </w:lvl>
  </w:abstractNum>
  <w:abstractNum w:abstractNumId="103">
    <w:nsid w:val="2E534A82"/>
    <w:multiLevelType w:val="hybridMultilevel"/>
    <w:lvl w:ilvl="0">
      <w:lvlJc w:val="left"/>
      <w:lvlText w:val="(%1)"/>
      <w:numFmt w:val="upperLetter"/>
      <w:start w:val="1"/>
    </w:lvl>
    <w:lvl w:ilvl="1">
      <w:lvlJc w:val="left"/>
      <w:lvlText w:val="•"/>
      <w:numFmt w:val="bullet"/>
      <w:start w:val="1"/>
    </w:lvl>
  </w:abstractNum>
  <w:abstractNum w:abstractNumId="104">
    <w:nsid w:val="26F2D364"/>
    <w:multiLevelType w:val="hybridMultilevel"/>
    <w:lvl w:ilvl="0">
      <w:lvlJc w:val="left"/>
      <w:lvlText w:val="•"/>
      <w:numFmt w:val="bullet"/>
      <w:start w:val="1"/>
    </w:lvl>
  </w:abstractNum>
  <w:abstractNum w:abstractNumId="105">
    <w:nsid w:val="71C1AF98"/>
    <w:multiLevelType w:val="hybridMultilevel"/>
    <w:lvl w:ilvl="0">
      <w:lvlJc w:val="left"/>
      <w:lvlText w:val="(%1)"/>
      <w:numFmt w:val="upperLetter"/>
      <w:start w:val="1"/>
    </w:lvl>
  </w:abstractNum>
  <w:abstractNum w:abstractNumId="106">
    <w:nsid w:val="3D00B9D9"/>
    <w:multiLevelType w:val="hybridMultilevel"/>
    <w:lvl w:ilvl="0">
      <w:lvlJc w:val="left"/>
      <w:lvlText w:val="(%1)"/>
      <w:numFmt w:val="upperLetter"/>
      <w:start w:val="1"/>
    </w:lvl>
  </w:abstractNum>
  <w:abstractNum w:abstractNumId="107">
    <w:nsid w:val="15BCABA8"/>
    <w:multiLevelType w:val="hybridMultilevel"/>
    <w:lvl w:ilvl="0">
      <w:lvlJc w:val="left"/>
      <w:lvlText w:val="(%1)"/>
      <w:numFmt w:val="upperLetter"/>
      <w:start w:val="1"/>
    </w:lvl>
  </w:abstractNum>
  <w:abstractNum w:abstractNumId="108">
    <w:nsid w:val="4E0B9A87"/>
    <w:multiLevelType w:val="hybridMultilevel"/>
    <w:lvl w:ilvl="0">
      <w:lvlJc w:val="left"/>
      <w:lvlText w:val="(%1)"/>
      <w:numFmt w:val="upperLetter"/>
      <w:start w:val="1"/>
    </w:lvl>
  </w:abstractNum>
  <w:abstractNum w:abstractNumId="109">
    <w:nsid w:val="434BAE75"/>
    <w:multiLevelType w:val="hybridMultilevel"/>
    <w:lvl w:ilvl="0">
      <w:lvlJc w:val="left"/>
      <w:lvlText w:val="(%1)"/>
      <w:numFmt w:val="upperLetter"/>
      <w:start w:val="3"/>
    </w:lvl>
  </w:abstractNum>
  <w:abstractNum w:abstractNumId="110">
    <w:nsid w:val="4F38F265"/>
    <w:multiLevelType w:val="hybridMultilevel"/>
    <w:lvl w:ilvl="0">
      <w:lvlJc w:val="left"/>
      <w:lvlText w:val="(%1)"/>
      <w:numFmt w:val="upperLetter"/>
      <w:start w:val="1"/>
    </w:lvl>
  </w:abstractNum>
  <w:abstractNum w:abstractNumId="111">
    <w:nsid w:val="4C502870"/>
    <w:multiLevelType w:val="hybridMultilevel"/>
    <w:lvl w:ilvl="0">
      <w:lvlJc w:val="left"/>
      <w:lvlText w:val="(%1)"/>
      <w:numFmt w:val="upperLetter"/>
      <w:start w:val="1"/>
    </w:lvl>
  </w:abstractNum>
  <w:abstractNum w:abstractNumId="112">
    <w:nsid w:val="1DE8725A"/>
    <w:multiLevelType w:val="hybridMultilevel"/>
    <w:lvl w:ilvl="0">
      <w:lvlJc w:val="left"/>
      <w:lvlText w:val="(%1)"/>
      <w:numFmt w:val="upperLetter"/>
      <w:start w:val="1"/>
    </w:lvl>
  </w:abstractNum>
  <w:abstractNum w:abstractNumId="113">
    <w:nsid w:val="6A37288A"/>
    <w:multiLevelType w:val="hybridMultilevel"/>
    <w:lvl w:ilvl="0">
      <w:lvlJc w:val="left"/>
      <w:lvlText w:val="(%1)"/>
      <w:numFmt w:val="upperLetter"/>
      <w:start w:val="1"/>
    </w:lvl>
  </w:abstractNum>
  <w:abstractNum w:abstractNumId="114">
    <w:nsid w:val="8F8B73F"/>
    <w:multiLevelType w:val="hybridMultilevel"/>
    <w:lvl w:ilvl="0">
      <w:lvlJc w:val="left"/>
      <w:lvlText w:val="$"/>
      <w:numFmt w:val="bullet"/>
      <w:start w:val="1"/>
    </w:lvl>
  </w:abstractNum>
  <w:abstractNum w:abstractNumId="115">
    <w:nsid w:val="CA6B462"/>
    <w:multiLevelType w:val="hybridMultilevel"/>
    <w:lvl w:ilvl="0">
      <w:lvlJc w:val="left"/>
      <w:lvlText w:val="$"/>
      <w:numFmt w:val="bullet"/>
      <w:start w:val="1"/>
    </w:lvl>
  </w:abstractNum>
  <w:abstractNum w:abstractNumId="116">
    <w:nsid w:val="763CB680"/>
    <w:multiLevelType w:val="hybridMultilevel"/>
    <w:lvl w:ilvl="0">
      <w:lvlJc w:val="left"/>
      <w:lvlText w:val="$"/>
      <w:numFmt w:val="bullet"/>
      <w:start w:val="1"/>
    </w:lvl>
  </w:abstractNum>
  <w:abstractNum w:abstractNumId="117">
    <w:nsid w:val="15B71329"/>
    <w:multiLevelType w:val="hybridMultilevel"/>
    <w:lvl w:ilvl="0">
      <w:lvlJc w:val="left"/>
      <w:lvlText w:val="$"/>
      <w:numFmt w:val="bullet"/>
      <w:start w:val="1"/>
    </w:lvl>
  </w:abstractNum>
  <w:abstractNum w:abstractNumId="118">
    <w:nsid w:val="3DA97044"/>
    <w:multiLevelType w:val="hybridMultilevel"/>
    <w:lvl w:ilvl="0">
      <w:lvlJc w:val="left"/>
      <w:lvlText w:val="(%1)"/>
      <w:numFmt w:val="upperLetter"/>
      <w:start w:val="1"/>
    </w:lvl>
  </w:abstractNum>
  <w:abstractNum w:abstractNumId="119">
    <w:nsid w:val="1CDCE2DE"/>
    <w:multiLevelType w:val="hybridMultilevel"/>
    <w:lvl w:ilvl="0">
      <w:lvlJc w:val="left"/>
      <w:lvlText w:val="(%1)"/>
      <w:numFmt w:val="upperLetter"/>
      <w:start w:val="1"/>
    </w:lvl>
  </w:abstractNum>
  <w:abstractNum w:abstractNumId="120">
    <w:nsid w:val="69D3947C"/>
    <w:multiLevelType w:val="hybridMultilevel"/>
    <w:lvl w:ilvl="0">
      <w:lvlJc w:val="left"/>
      <w:lvlText w:val="(%1)"/>
      <w:numFmt w:val="upperLetter"/>
      <w:start w:val="1"/>
    </w:lvl>
  </w:abstractNum>
  <w:abstractNum w:abstractNumId="121">
    <w:nsid w:val="2539DFA5"/>
    <w:multiLevelType w:val="hybridMultilevel"/>
    <w:lvl w:ilvl="0">
      <w:lvlJc w:val="left"/>
      <w:lvlText w:val="(%1)"/>
      <w:numFmt w:val="upperLetter"/>
      <w:start w:val="1"/>
    </w:lvl>
  </w:abstractNum>
  <w:abstractNum w:abstractNumId="122">
    <w:nsid w:val="2DB88089"/>
    <w:multiLevelType w:val="hybridMultilevel"/>
    <w:lvl w:ilvl="0">
      <w:lvlJc w:val="left"/>
      <w:lvlText w:val="(%1)"/>
      <w:numFmt w:val="upperLetter"/>
      <w:start w:val="5"/>
    </w:lvl>
  </w:abstractNum>
  <w:abstractNum w:abstractNumId="123">
    <w:nsid w:val="706B674E"/>
    <w:multiLevelType w:val="hybridMultilevel"/>
    <w:lvl w:ilvl="0">
      <w:lvlJc w:val="left"/>
      <w:lvlText w:val="(%1)"/>
      <w:numFmt w:val="upperLetter"/>
      <w:start w:val="1"/>
    </w:lvl>
  </w:abstractNum>
  <w:abstractNum w:abstractNumId="124">
    <w:nsid w:val="2C106A57"/>
    <w:multiLevelType w:val="hybridMultilevel"/>
    <w:lvl w:ilvl="0">
      <w:lvlJc w:val="left"/>
      <w:lvlText w:val="(%1)"/>
      <w:numFmt w:val="upperLetter"/>
      <w:start w:val="1"/>
    </w:lvl>
  </w:abstractNum>
  <w:abstractNum w:abstractNumId="125">
    <w:nsid w:val="684EED59"/>
    <w:multiLevelType w:val="hybridMultilevel"/>
    <w:lvl w:ilvl="0">
      <w:lvlJc w:val="left"/>
      <w:lvlText w:val="(%1)"/>
      <w:numFmt w:val="lowerLetter"/>
      <w:start w:val="2"/>
    </w:lvl>
  </w:abstractNum>
  <w:abstractNum w:abstractNumId="126">
    <w:nsid w:val="545EE5D3"/>
    <w:multiLevelType w:val="hybridMultilevel"/>
    <w:lvl w:ilvl="0">
      <w:lvlJc w:val="left"/>
      <w:lvlText w:val="(%1)"/>
      <w:numFmt w:val="upperLetter"/>
      <w:start w:val="1"/>
    </w:lvl>
  </w:abstractNum>
  <w:abstractNum w:abstractNumId="127">
    <w:nsid w:val="4A66051"/>
    <w:multiLevelType w:val="hybridMultilevel"/>
    <w:lvl w:ilvl="0">
      <w:lvlJc w:val="left"/>
      <w:lvlText w:val="(%1)"/>
      <w:numFmt w:val="upperLetter"/>
      <w:start w:val="1"/>
    </w:lvl>
  </w:abstractNum>
  <w:abstractNum w:abstractNumId="128">
    <w:nsid w:val="20F4BDAD"/>
    <w:multiLevelType w:val="hybridMultilevel"/>
    <w:lvl w:ilvl="0">
      <w:lvlJc w:val="left"/>
      <w:lvlText w:val="(%1)"/>
      <w:numFmt w:val="upperLetter"/>
      <w:start w:val="1"/>
    </w:lvl>
  </w:abstractNum>
  <w:abstractNum w:abstractNumId="129">
    <w:nsid w:val="639DEFAC"/>
    <w:multiLevelType w:val="hybridMultilevel"/>
    <w:lvl w:ilvl="0">
      <w:lvlJc w:val="left"/>
      <w:lvlText w:val="(%1)"/>
      <w:numFmt w:val="upperLetter"/>
      <w:start w:val="1"/>
    </w:lvl>
  </w:abstractNum>
  <w:abstractNum w:abstractNumId="130">
    <w:nsid w:val="501F9786"/>
    <w:multiLevelType w:val="hybridMultilevel"/>
    <w:lvl w:ilvl="0">
      <w:lvlJc w:val="left"/>
      <w:lvlText w:val="(%1)"/>
      <w:numFmt w:val="upperLetter"/>
      <w:start w:val="1"/>
    </w:lvl>
  </w:abstractNum>
  <w:abstractNum w:abstractNumId="131">
    <w:nsid w:val="6B057295"/>
    <w:multiLevelType w:val="hybridMultilevel"/>
    <w:lvl w:ilvl="0">
      <w:lvlJc w:val="left"/>
      <w:lvlText w:val="(%1)"/>
      <w:numFmt w:val="upperLetter"/>
      <w:start w:val="1"/>
    </w:lvl>
  </w:abstractNum>
  <w:abstractNum w:abstractNumId="132">
    <w:nsid w:val="2771AC80"/>
    <w:multiLevelType w:val="hybridMultilevel"/>
    <w:lvl w:ilvl="0">
      <w:lvlJc w:val="left"/>
      <w:lvlText w:val="(%1)"/>
      <w:numFmt w:val="upperLetter"/>
      <w:start w:val="1"/>
    </w:lvl>
  </w:abstractNum>
  <w:abstractNum w:abstractNumId="133">
    <w:nsid w:val="1C4A08EC"/>
    <w:multiLevelType w:val="hybridMultilevel"/>
    <w:lvl w:ilvl="0">
      <w:lvlJc w:val="left"/>
      <w:lvlText w:val="•"/>
      <w:numFmt w:val="bullet"/>
      <w:start w:val="1"/>
    </w:lvl>
  </w:abstractNum>
  <w:abstractNum w:abstractNumId="134">
    <w:nsid w:val="1958BD17"/>
    <w:multiLevelType w:val="hybridMultilevel"/>
    <w:lvl w:ilvl="0">
      <w:lvlJc w:val="left"/>
      <w:lvlText w:val="1"/>
      <w:numFmt w:val="bullet"/>
      <w:start w:val="1"/>
    </w:lvl>
  </w:abstractNum>
  <w:abstractNum w:abstractNumId="135">
    <w:nsid w:val="4E647FE4"/>
    <w:multiLevelType w:val="hybridMultilevel"/>
    <w:lvl w:ilvl="0">
      <w:lvlJc w:val="left"/>
      <w:lvlText w:val="2"/>
      <w:numFmt w:val="bullet"/>
      <w:start w:val="1"/>
    </w:lvl>
  </w:abstractNum>
  <w:abstractNum w:abstractNumId="136">
    <w:nsid w:val="E0BB885"/>
    <w:multiLevelType w:val="hybridMultilevel"/>
    <w:lvl w:ilvl="0">
      <w:lvlJc w:val="left"/>
      <w:lvlText w:val="3"/>
      <w:numFmt w:val="bullet"/>
      <w:start w:val="1"/>
    </w:lvl>
  </w:abstractNum>
  <w:abstractNum w:abstractNumId="137">
    <w:nsid w:val="565976F1"/>
    <w:multiLevelType w:val="hybridMultilevel"/>
    <w:lvl w:ilvl="0">
      <w:lvlJc w:val="left"/>
      <w:lvlText w:val="3"/>
      <w:numFmt w:val="bullet"/>
      <w:start w:val="1"/>
    </w:lvl>
  </w:abstractNum>
  <w:abstractNum w:abstractNumId="138">
    <w:nsid w:val="64212B8C"/>
    <w:multiLevelType w:val="hybridMultilevel"/>
    <w:lvl w:ilvl="0">
      <w:lvlJc w:val="left"/>
      <w:lvlText w:val="•"/>
      <w:numFmt w:val="bullet"/>
      <w:start w:val="1"/>
    </w:lvl>
  </w:abstractNum>
  <w:abstractNum w:abstractNumId="139">
    <w:nsid w:val="5C17530C"/>
    <w:multiLevelType w:val="hybridMultilevel"/>
    <w:lvl w:ilvl="0">
      <w:lvlJc w:val="left"/>
      <w:lvlText w:val="•"/>
      <w:numFmt w:val="bullet"/>
      <w:start w:val="1"/>
    </w:lvl>
  </w:abstractNum>
  <w:abstractNum w:abstractNumId="140">
    <w:nsid w:val="19A52566"/>
    <w:multiLevelType w:val="hybridMultilevel"/>
    <w:lvl w:ilvl="0">
      <w:lvlJc w:val="left"/>
      <w:lvlText w:val="(%1)"/>
      <w:numFmt w:val="upperLetter"/>
      <w:start w:val="1"/>
    </w:lvl>
    <w:lvl w:ilvl="1">
      <w:lvlJc w:val="left"/>
      <w:lvlText w:val="•"/>
      <w:numFmt w:val="bullet"/>
      <w:start w:val="1"/>
    </w:lvl>
  </w:abstractNum>
  <w:abstractNum w:abstractNumId="141">
    <w:nsid w:val="335A1DF1"/>
    <w:multiLevelType w:val="hybridMultilevel"/>
    <w:lvl w:ilvl="0">
      <w:lvlJc w:val="left"/>
      <w:lvlText w:val="•"/>
      <w:numFmt w:val="bullet"/>
      <w:start w:val="1"/>
    </w:lvl>
  </w:abstractNum>
  <w:abstractNum w:abstractNumId="142">
    <w:nsid w:val="28677B7C"/>
    <w:multiLevelType w:val="hybridMultilevel"/>
    <w:lvl w:ilvl="0">
      <w:lvlJc w:val="left"/>
      <w:lvlText w:val="•"/>
      <w:numFmt w:val="bullet"/>
      <w:start w:val="1"/>
    </w:lvl>
  </w:abstractNum>
  <w:abstractNum w:abstractNumId="143">
    <w:nsid w:val="378D97C0"/>
    <w:multiLevelType w:val="hybridMultilevel"/>
    <w:lvl w:ilvl="0">
      <w:lvlJc w:val="left"/>
      <w:lvlText w:val="(%1)"/>
      <w:numFmt w:val="upperLetter"/>
      <w:start w:val="1"/>
    </w:lvl>
  </w:abstractNum>
  <w:abstractNum w:abstractNumId="144">
    <w:nsid w:val="1D91467C"/>
    <w:multiLevelType w:val="hybridMultilevel"/>
    <w:lvl w:ilvl="0">
      <w:lvlJc w:val="left"/>
      <w:lvlText w:val="(%1)"/>
      <w:numFmt w:val="upperLetter"/>
      <w:start w:val="1"/>
    </w:lvl>
  </w:abstractNum>
  <w:abstractNum w:abstractNumId="145">
    <w:nsid w:val="316032BB"/>
    <w:multiLevelType w:val="hybridMultilevel"/>
    <w:lvl w:ilvl="0">
      <w:lvlJc w:val="left"/>
      <w:lvlText w:val="(%1)"/>
      <w:numFmt w:val="upperLetter"/>
      <w:start w:val="1"/>
    </w:lvl>
  </w:abstractNum>
  <w:abstractNum w:abstractNumId="146">
    <w:nsid w:val="44344C22"/>
    <w:multiLevelType w:val="hybridMultilevel"/>
    <w:lvl w:ilvl="0">
      <w:lvlJc w:val="left"/>
      <w:lvlText w:val="(%1)"/>
      <w:numFmt w:val="upperLetter"/>
      <w:start w:val="1"/>
    </w:lvl>
  </w:abstractNum>
  <w:abstractNum w:abstractNumId="147">
    <w:nsid w:val="13CDFCFC"/>
    <w:multiLevelType w:val="hybridMultilevel"/>
    <w:lvl w:ilvl="0">
      <w:lvlJc w:val="left"/>
      <w:lvlText w:val="(%1)"/>
      <w:numFmt w:val="upperLetter"/>
      <w:start w:val="1"/>
    </w:lvl>
  </w:abstractNum>
  <w:abstractNum w:abstractNumId="148">
    <w:nsid w:val="471745E4"/>
    <w:multiLevelType w:val="hybridMultilevel"/>
    <w:lvl w:ilvl="0">
      <w:lvlJc w:val="left"/>
      <w:lvlText w:val="(%1)"/>
      <w:numFmt w:val="upperLetter"/>
      <w:start w:val="1"/>
    </w:lvl>
  </w:abstractNum>
  <w:abstractNum w:abstractNumId="149">
    <w:nsid w:val="1DDBC66"/>
    <w:multiLevelType w:val="hybridMultilevel"/>
    <w:lvl w:ilvl="0">
      <w:lvlJc w:val="left"/>
      <w:lvlText w:val="(%1)"/>
      <w:numFmt w:val="upperLetter"/>
      <w:start w:val="1"/>
    </w:lvl>
  </w:abstractNum>
  <w:abstractNum w:abstractNumId="150">
    <w:nsid w:val="30AADFDA"/>
    <w:multiLevelType w:val="hybridMultilevel"/>
    <w:lvl w:ilvl="0">
      <w:lvlJc w:val="left"/>
      <w:lvlText w:val="(%1)"/>
      <w:numFmt w:val="upperLetter"/>
      <w:start w:val="1"/>
    </w:lvl>
  </w:abstractNum>
  <w:abstractNum w:abstractNumId="151">
    <w:nsid w:val="30EADA61"/>
    <w:multiLevelType w:val="hybridMultilevel"/>
    <w:lvl w:ilvl="0">
      <w:lvlJc w:val="left"/>
      <w:lvlText w:val="$"/>
      <w:numFmt w:val="bullet"/>
      <w:start w:val="1"/>
    </w:lvl>
  </w:abstractNum>
  <w:abstractNum w:abstractNumId="152">
    <w:nsid w:val="27179C0B"/>
    <w:multiLevelType w:val="hybridMultilevel"/>
    <w:lvl w:ilvl="0">
      <w:lvlJc w:val="left"/>
      <w:lvlText w:val="$"/>
      <w:numFmt w:val="bullet"/>
      <w:start w:val="1"/>
    </w:lvl>
  </w:abstractNum>
  <w:abstractNum w:abstractNumId="153">
    <w:nsid w:val="5E636063"/>
    <w:multiLevelType w:val="hybridMultilevel"/>
    <w:lvl w:ilvl="0">
      <w:lvlJc w:val="left"/>
      <w:lvlText w:val="(%1)"/>
      <w:numFmt w:val="upperLetter"/>
      <w:start w:val="1"/>
    </w:lvl>
  </w:abstractNum>
  <w:abstractNum w:abstractNumId="154">
    <w:nsid w:val="215641AF"/>
    <w:multiLevelType w:val="hybridMultilevel"/>
    <w:lvl w:ilvl="0">
      <w:lvlJc w:val="left"/>
      <w:lvlText w:val="(%1)"/>
      <w:numFmt w:val="upperLetter"/>
      <w:start w:val="1"/>
    </w:lvl>
  </w:abstractNum>
  <w:abstractNum w:abstractNumId="155">
    <w:nsid w:val="53280662"/>
    <w:multiLevelType w:val="hybridMultilevel"/>
    <w:lvl w:ilvl="0">
      <w:lvlJc w:val="left"/>
      <w:lvlText w:val="(%1)"/>
      <w:numFmt w:val="upperLetter"/>
      <w:start w:val="1"/>
    </w:lvl>
  </w:abstractNum>
  <w:abstractNum w:abstractNumId="156">
    <w:nsid w:val="46B24DBC"/>
    <w:multiLevelType w:val="hybridMultilevel"/>
    <w:lvl w:ilvl="0">
      <w:lvlJc w:val="left"/>
      <w:lvlText w:val="(%1)"/>
      <w:numFmt w:val="upperLetter"/>
      <w:start w:val="1"/>
    </w:lvl>
  </w:abstractNum>
  <w:abstractNum w:abstractNumId="157">
    <w:nsid w:val="75B52783"/>
    <w:multiLevelType w:val="hybridMultilevel"/>
    <w:lvl w:ilvl="0">
      <w:lvlJc w:val="left"/>
      <w:lvlText w:val="(%1)"/>
      <w:numFmt w:val="upperLetter"/>
      <w:start w:val="10"/>
    </w:lvl>
  </w:abstractNum>
  <w:abstractNum w:abstractNumId="158">
    <w:nsid w:val="57CE66B4"/>
    <w:multiLevelType w:val="hybridMultilevel"/>
    <w:lvl w:ilvl="0">
      <w:lvlJc w:val="left"/>
      <w:lvlText w:val="(%1)"/>
      <w:numFmt w:val="upperLetter"/>
      <w:start w:val="1"/>
    </w:lvl>
  </w:abstractNum>
  <w:abstractNum w:abstractNumId="159">
    <w:nsid w:val="67A70B69"/>
    <w:multiLevelType w:val="hybridMultilevel"/>
    <w:lvl w:ilvl="0">
      <w:lvlJc w:val="left"/>
      <w:lvlText w:val="(%1)"/>
      <w:numFmt w:val="upperLetter"/>
      <w:start w:val="1"/>
    </w:lvl>
  </w:abstractNum>
  <w:abstractNum w:abstractNumId="160">
    <w:nsid w:val="5953172F"/>
    <w:multiLevelType w:val="hybridMultilevel"/>
    <w:lvl w:ilvl="0">
      <w:lvlJc w:val="left"/>
      <w:lvlText w:val="(%1)"/>
      <w:numFmt w:val="upperLetter"/>
      <w:start w:val="1"/>
    </w:lvl>
  </w:abstractNum>
  <w:abstractNum w:abstractNumId="161">
    <w:nsid w:val="27EDFE3A"/>
    <w:multiLevelType w:val="hybridMultilevel"/>
    <w:lvl w:ilvl="0">
      <w:lvlJc w:val="left"/>
      <w:lvlText w:val="(%1)"/>
      <w:numFmt w:val="upperLetter"/>
      <w:start w:val="1"/>
    </w:lvl>
  </w:abstractNum>
  <w:abstractNum w:abstractNumId="162">
    <w:nsid w:val="52AC7DFF"/>
    <w:multiLevelType w:val="hybridMultilevel"/>
    <w:lvl w:ilvl="0">
      <w:lvlJc w:val="left"/>
      <w:lvlText w:val="(%1)"/>
      <w:numFmt w:val="upperLetter"/>
      <w:start w:val="1"/>
    </w:lvl>
  </w:abstractNum>
  <w:abstractNum w:abstractNumId="163">
    <w:nsid w:val="C4C3AF"/>
    <w:multiLevelType w:val="hybridMultilevel"/>
    <w:lvl w:ilvl="0">
      <w:lvlJc w:val="left"/>
      <w:lvlText w:val="(%1)"/>
      <w:numFmt w:val="upperLetter"/>
      <w:start w:val="1"/>
    </w:lvl>
  </w:abstractNum>
  <w:abstractNum w:abstractNumId="164">
    <w:nsid w:val="44380727"/>
    <w:multiLevelType w:val="hybridMultilevel"/>
    <w:lvl w:ilvl="0">
      <w:lvlJc w:val="left"/>
      <w:lvlText w:val="(%1)"/>
      <w:numFmt w:val="upperLetter"/>
      <w:start w:val="1"/>
    </w:lvl>
  </w:abstractNum>
  <w:abstractNum w:abstractNumId="165">
    <w:nsid w:val="6C053B16"/>
    <w:multiLevelType w:val="hybridMultilevel"/>
    <w:lvl w:ilvl="0">
      <w:lvlJc w:val="left"/>
      <w:lvlText w:val="(%1)"/>
      <w:numFmt w:val="upperLetter"/>
      <w:start w:val="1"/>
    </w:lvl>
  </w:abstractNum>
  <w:abstractNum w:abstractNumId="166">
    <w:nsid w:val="4F294393"/>
    <w:multiLevelType w:val="hybridMultilevel"/>
    <w:lvl w:ilvl="0">
      <w:lvlJc w:val="left"/>
      <w:lvlText w:val="(%1)"/>
      <w:numFmt w:val="upperLetter"/>
      <w:start w:val="1"/>
    </w:lvl>
  </w:abstractNum>
  <w:abstractNum w:abstractNumId="167">
    <w:nsid w:val="5243BFAC"/>
    <w:multiLevelType w:val="hybridMultilevel"/>
    <w:lvl w:ilvl="0">
      <w:lvlJc w:val="left"/>
      <w:lvlText w:val="(%1)"/>
      <w:numFmt w:val="upperLetter"/>
      <w:start w:val="1"/>
    </w:lvl>
  </w:abstractNum>
  <w:abstractNum w:abstractNumId="168">
    <w:nsid w:val="425EB207"/>
    <w:multiLevelType w:val="hybridMultilevel"/>
    <w:lvl w:ilvl="0">
      <w:lvlJc w:val="left"/>
      <w:lvlText w:val="(%1)"/>
      <w:numFmt w:val="upperLetter"/>
      <w:start w:val="1"/>
    </w:lvl>
  </w:abstractNum>
  <w:abstractNum w:abstractNumId="169">
    <w:nsid w:val="334A6F1F"/>
    <w:multiLevelType w:val="hybridMultilevel"/>
    <w:lvl w:ilvl="0">
      <w:lvlJc w:val="left"/>
      <w:lvlText w:val="(%1)"/>
      <w:numFmt w:val="upperLetter"/>
      <w:start w:val="2"/>
    </w:lvl>
  </w:abstractNum>
  <w:abstractNum w:abstractNumId="170">
    <w:nsid w:val="2E5B12B8"/>
    <w:multiLevelType w:val="hybridMultilevel"/>
    <w:lvl w:ilvl="0">
      <w:lvlJc w:val="left"/>
      <w:lvlText w:val="(%1)"/>
      <w:numFmt w:val="upperLetter"/>
      <w:start w:val="1"/>
    </w:lvl>
  </w:abstractNum>
  <w:abstractNum w:abstractNumId="171">
    <w:nsid w:val="5C03D76D"/>
    <w:multiLevelType w:val="hybridMultilevel"/>
    <w:lvl w:ilvl="0">
      <w:lvlJc w:val="left"/>
      <w:lvlText w:val="(%1)"/>
      <w:numFmt w:val="upperLetter"/>
      <w:start w:val="1"/>
    </w:lvl>
  </w:abstractNum>
  <w:abstractNum w:abstractNumId="172">
    <w:nsid w:val="66A48D11"/>
    <w:multiLevelType w:val="hybridMultilevel"/>
    <w:lvl w:ilvl="0">
      <w:lvlJc w:val="left"/>
      <w:lvlText w:val="(%1)"/>
      <w:numFmt w:val="upperLetter"/>
      <w:start w:val="1"/>
    </w:lvl>
  </w:abstractNum>
  <w:abstractNum w:abstractNumId="173">
    <w:nsid w:val="56C28E34"/>
    <w:multiLevelType w:val="hybridMultilevel"/>
    <w:lvl w:ilvl="0">
      <w:lvlJc w:val="left"/>
      <w:lvlText w:val="*"/>
      <w:numFmt w:val="bullet"/>
      <w:start w:val="1"/>
    </w:lvl>
  </w:abstractNum>
  <w:abstractNum w:abstractNumId="174">
    <w:nsid w:val="13916F2D"/>
    <w:multiLevelType w:val="hybridMultilevel"/>
    <w:lvl w:ilvl="0">
      <w:lvlJc w:val="left"/>
      <w:lvlText w:val="(%1)"/>
      <w:numFmt w:val="decimal"/>
      <w:start w:val="1"/>
    </w:lvl>
  </w:abstractNum>
  <w:abstractNum w:abstractNumId="175">
    <w:nsid w:val="435D38D"/>
    <w:multiLevelType w:val="hybridMultilevel"/>
    <w:lvl w:ilvl="0">
      <w:lvlJc w:val="left"/>
      <w:lvlText w:val="+"/>
      <w:numFmt w:val="bullet"/>
      <w:start w:val="1"/>
    </w:lvl>
  </w:abstractNum>
  <w:abstractNum w:abstractNumId="176">
    <w:nsid w:val="822C0EF"/>
    <w:multiLevelType w:val="hybridMultilevel"/>
    <w:lvl w:ilvl="0">
      <w:lvlJc w:val="left"/>
      <w:lvlText w:val="(%1)"/>
      <w:numFmt w:val="lowerLetter"/>
      <w:start w:val="1"/>
    </w:lvl>
  </w:abstractNum>
  <w:abstractNum w:abstractNumId="177">
    <w:nsid w:val="57C5BB4F"/>
    <w:multiLevelType w:val="hybridMultilevel"/>
    <w:lvl w:ilvl="0">
      <w:lvlJc w:val="left"/>
      <w:lvlText w:val="(%1)"/>
      <w:numFmt w:val="lowerLetter"/>
      <w:start w:val="4"/>
    </w:lvl>
  </w:abstractNum>
  <w:abstractNum w:abstractNumId="178">
    <w:nsid w:val="1803D089"/>
    <w:multiLevelType w:val="hybridMultilevel"/>
    <w:lvl w:ilvl="0">
      <w:lvlJc w:val="left"/>
      <w:lvlText w:val="(%1)"/>
      <w:numFmt w:val="lowerLetter"/>
      <w:start w:val="13"/>
    </w:lvl>
  </w:abstractNum>
  <w:abstractNum w:abstractNumId="179">
    <w:nsid w:val="4F3A06D4"/>
    <w:multiLevelType w:val="hybridMultilevel"/>
    <w:lvl w:ilvl="0">
      <w:lvlJc w:val="left"/>
      <w:lvlText w:val="(%1)"/>
      <w:numFmt w:val="lowerRoman"/>
      <w:start w:val="5"/>
    </w:lvl>
  </w:abstractNum>
  <w:abstractNum w:abstractNumId="180">
    <w:nsid w:val="59A377B6"/>
    <w:multiLevelType w:val="hybridMultilevel"/>
    <w:lvl w:ilvl="0">
      <w:lvlJc w:val="left"/>
      <w:lvlText w:val="(%1)"/>
      <w:numFmt w:val="lowerLetter"/>
      <w:start w:val="1"/>
    </w:lvl>
  </w:abstractNum>
  <w:abstractNum w:abstractNumId="181">
    <w:nsid w:val="48AEB063"/>
    <w:multiLevelType w:val="hybridMultilevel"/>
    <w:lvl w:ilvl="0">
      <w:lvlJc w:val="left"/>
      <w:lvlText w:val="(%1)"/>
      <w:numFmt w:val="lowerLetter"/>
      <w:start w:val="1"/>
    </w:lvl>
  </w:abstractNum>
  <w:abstractNum w:abstractNumId="182">
    <w:nsid w:val="24E135"/>
    <w:multiLevelType w:val="hybridMultilevel"/>
    <w:lvl w:ilvl="0">
      <w:lvlJc w:val="left"/>
      <w:lvlText w:val="(%1)"/>
      <w:numFmt w:val="lowerLetter"/>
      <w:start w:val="3"/>
    </w:lvl>
  </w:abstractNum>
  <w:abstractNum w:abstractNumId="183">
    <w:nsid w:val="BB13C1"/>
    <w:multiLevelType w:val="hybridMultilevel"/>
    <w:lvl w:ilvl="0">
      <w:lvlJc w:val="left"/>
      <w:lvlText w:val="(%1)"/>
      <w:numFmt w:val="lowerLetter"/>
      <w:start w:val="2"/>
    </w:lvl>
  </w:abstractNum>
  <w:abstractNum w:abstractNumId="184">
    <w:nsid w:val="271210C7"/>
    <w:multiLevelType w:val="hybridMultilevel"/>
    <w:lvl w:ilvl="0">
      <w:lvlJc w:val="left"/>
      <w:lvlText w:val="(%1)"/>
      <w:numFmt w:val="lowerLetter"/>
      <w:start w:val="1"/>
    </w:lvl>
  </w:abstractNum>
  <w:abstractNum w:abstractNumId="185">
    <w:nsid w:val="217B22E4"/>
    <w:multiLevelType w:val="hybridMultilevel"/>
    <w:lvl w:ilvl="0">
      <w:lvlJc w:val="left"/>
      <w:lvlText w:val="(%1)"/>
      <w:numFmt w:val="lowerLetter"/>
      <w:start w:val="1"/>
    </w:lvl>
  </w:abstractNum>
  <w:abstractNum w:abstractNumId="186">
    <w:nsid w:val="53E31A24"/>
    <w:multiLevelType w:val="hybridMultilevel"/>
    <w:lvl w:ilvl="0">
      <w:lvlJc w:val="left"/>
      <w:lvlText w:val="(%1)"/>
      <w:numFmt w:val="lowerLetter"/>
      <w:start w:val="7"/>
    </w:lvl>
  </w:abstractNum>
  <w:abstractNum w:abstractNumId="187">
    <w:nsid w:val="6DC45E83"/>
    <w:multiLevelType w:val="hybridMultilevel"/>
    <w:lvl w:ilvl="0">
      <w:lvlJc w:val="left"/>
      <w:lvlText w:val="(%1)"/>
      <w:numFmt w:val="decimal"/>
      <w:start w:val="30"/>
    </w:lvl>
  </w:abstractNum>
  <w:abstractNum w:abstractNumId="188">
    <w:nsid w:val="17304A67"/>
    <w:multiLevelType w:val="hybridMultilevel"/>
    <w:lvl w:ilvl="0">
      <w:lvlJc w:val="left"/>
      <w:lvlText w:val="(%1)"/>
      <w:numFmt w:val="decimal"/>
      <w:start w:val="30"/>
    </w:lvl>
  </w:abstractNum>
  <w:abstractNum w:abstractNumId="189">
    <w:nsid w:val="2BB180D8"/>
    <w:multiLevelType w:val="hybridMultilevel"/>
    <w:lvl w:ilvl="0">
      <w:lvlJc w:val="left"/>
      <w:lvlText w:val="(%1)"/>
      <w:numFmt w:val="lowerLetter"/>
      <w:start w:val="1"/>
    </w:lvl>
  </w:abstractNum>
  <w:abstractNum w:abstractNumId="190">
    <w:nsid w:val="556B69ED"/>
    <w:multiLevelType w:val="hybridMultilevel"/>
    <w:lvl w:ilvl="0">
      <w:lvlJc w:val="left"/>
      <w:lvlText w:val="(%1)"/>
      <w:numFmt w:val="lowerLetter"/>
      <w:start w:val="1"/>
    </w:lvl>
  </w:abstractNum>
  <w:abstractNum w:abstractNumId="191">
    <w:nsid w:val="70836196"/>
    <w:multiLevelType w:val="hybridMultilevel"/>
    <w:lvl w:ilvl="0">
      <w:lvlJc w:val="left"/>
      <w:lvlText w:val="(%1)"/>
      <w:numFmt w:val="lowerLetter"/>
      <w:start w:val="1"/>
    </w:lvl>
    <w:lvl w:ilvl="1">
      <w:lvlJc w:val="left"/>
      <w:lvlText w:val="(%2)"/>
      <w:numFmt w:val="lowerLetter"/>
      <w:start w:val="9"/>
    </w:lvl>
  </w:abstractNum>
  <w:abstractNum w:abstractNumId="192">
    <w:nsid w:val="539F7F12"/>
    <w:multiLevelType w:val="hybridMultilevel"/>
    <w:lvl w:ilvl="0">
      <w:lvlJc w:val="left"/>
      <w:lvlText w:val="(%1)"/>
      <w:numFmt w:val="lowerRoman"/>
      <w:start w:val="2"/>
    </w:lvl>
  </w:abstractNum>
  <w:abstractNum w:abstractNumId="193">
    <w:nsid w:val="2817E7EC"/>
    <w:multiLevelType w:val="hybridMultilevel"/>
    <w:lvl w:ilvl="0">
      <w:lvlJc w:val="left"/>
      <w:lvlText w:val="(%1)"/>
      <w:numFmt w:val="lowerRoman"/>
      <w:start w:val="3"/>
    </w:lvl>
  </w:abstractNum>
  <w:abstractNum w:abstractNumId="194">
    <w:nsid w:val="71482545"/>
    <w:multiLevelType w:val="hybridMultilevel"/>
    <w:lvl w:ilvl="0">
      <w:lvlJc w:val="left"/>
      <w:lvlText w:val="(%1)"/>
      <w:numFmt w:val="lowerLetter"/>
      <w:start w:val="1"/>
    </w:lvl>
  </w:abstractNum>
  <w:abstractNum w:abstractNumId="195">
    <w:nsid w:val="17D78639"/>
    <w:multiLevelType w:val="hybridMultilevel"/>
    <w:lvl w:ilvl="0">
      <w:lvlJc w:val="left"/>
      <w:lvlText w:val="(%1)"/>
      <w:numFmt w:val="lowerLetter"/>
      <w:start w:val="2"/>
    </w:lvl>
  </w:abstractNum>
  <w:abstractNum w:abstractNumId="196">
    <w:nsid w:val="141D2302"/>
    <w:multiLevelType w:val="hybridMultilevel"/>
    <w:lvl w:ilvl="0">
      <w:lvlJc w:val="left"/>
      <w:lvlText w:val="(%1)"/>
      <w:numFmt w:val="lowerLetter"/>
      <w:start w:val="1"/>
    </w:lvl>
    <w:lvl w:ilvl="1">
      <w:lvlJc w:val="left"/>
      <w:lvlText w:val="(%2)"/>
      <w:numFmt w:val="lowerRoman"/>
      <w:start w:val="1"/>
    </w:lvl>
  </w:abstractNum>
  <w:abstractNum w:abstractNumId="197">
    <w:nsid w:val="407168D8"/>
    <w:multiLevelType w:val="hybridMultilevel"/>
    <w:lvl w:ilvl="0">
      <w:lvlJc w:val="left"/>
      <w:lvlText w:val="(%1)"/>
      <w:numFmt w:val="lowerRoman"/>
      <w:start w:val="4"/>
    </w:lvl>
  </w:abstractNum>
  <w:abstractNum w:abstractNumId="198">
    <w:nsid w:val="6A1B45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199">
    <w:nsid w:val="567BD50A"/>
    <w:multiLevelType w:val="hybridMultilevel"/>
    <w:lvl w:ilvl="0">
      <w:lvlJc w:val="left"/>
      <w:lvlText w:val="(%1)"/>
      <w:numFmt w:val="decimal"/>
      <w:start w:val="120"/>
    </w:lvl>
    <w:lvl w:ilvl="1">
      <w:lvlJc w:val="left"/>
      <w:lvlText w:val="(%2)"/>
      <w:numFmt w:val="lowerLetter"/>
      <w:start w:val="1"/>
    </w:lvl>
    <w:lvl w:ilvl="2">
      <w:lvlJc w:val="left"/>
      <w:lvlText w:val="(%3)"/>
      <w:numFmt w:val="lowerRoman"/>
      <w:start w:val="6"/>
    </w:lvl>
  </w:abstractNum>
  <w:abstractNum w:abstractNumId="200">
    <w:nsid w:val="73BBD7F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1">
    <w:nsid w:val="1876589D"/>
    <w:multiLevelType w:val="hybridMultilevel"/>
    <w:lvl w:ilvl="0">
      <w:lvlJc w:val="left"/>
      <w:lvlText w:val="(%1)"/>
      <w:numFmt w:val="lowerLetter"/>
      <w:start w:val="3"/>
    </w:lvl>
  </w:abstractNum>
  <w:abstractNum w:abstractNumId="202">
    <w:nsid w:val="327FAC77"/>
    <w:multiLevelType w:val="hybridMultilevel"/>
    <w:lvl w:ilvl="0">
      <w:lvlJc w:val="left"/>
      <w:lvlText w:val="(%1)"/>
      <w:numFmt w:val="lowerLetter"/>
      <w:start w:val="4"/>
    </w:lvl>
  </w:abstractNum>
  <w:abstractNum w:abstractNumId="203">
    <w:nsid w:val="5A606509"/>
    <w:multiLevelType w:val="hybridMultilevel"/>
    <w:lvl w:ilvl="0">
      <w:lvlJc w:val="left"/>
      <w:lvlText w:val="(%1)"/>
      <w:numFmt w:val="lowerLetter"/>
      <w:start w:val="1"/>
    </w:lvl>
  </w:abstractNum>
  <w:abstractNum w:abstractNumId="204">
    <w:nsid w:val="6F38E6D1"/>
    <w:multiLevelType w:val="hybridMultilevel"/>
    <w:lvl w:ilvl="0">
      <w:lvlJc w:val="left"/>
      <w:lvlText w:val="(%1)"/>
      <w:numFmt w:val="lowerLetter"/>
      <w:start w:val="2"/>
    </w:lvl>
  </w:abstractNum>
  <w:abstractNum w:abstractNumId="205">
    <w:nsid w:val="46111BA5"/>
    <w:multiLevelType w:val="hybridMultilevel"/>
    <w:lvl w:ilvl="0">
      <w:lvlJc w:val="left"/>
      <w:lvlText w:val="(%1)"/>
      <w:numFmt w:val="lowerLetter"/>
      <w:start w:val="4"/>
    </w:lvl>
  </w:abstractNum>
  <w:abstractNum w:abstractNumId="206">
    <w:nsid w:val="5E963896"/>
    <w:multiLevelType w:val="hybridMultilevel"/>
    <w:lvl w:ilvl="0">
      <w:lvlJc w:val="left"/>
      <w:lvlText w:val="(%1)"/>
      <w:numFmt w:val="lowerLetter"/>
      <w:start w:val="5"/>
    </w:lvl>
  </w:abstractNum>
  <w:abstractNum w:abstractNumId="207">
    <w:nsid w:val="775BA7C1"/>
    <w:multiLevelType w:val="hybridMultilevel"/>
    <w:lvl w:ilvl="0">
      <w:lvlJc w:val="left"/>
      <w:lvlText w:val="(%1)"/>
      <w:numFmt w:val="lowerLetter"/>
      <w:start w:val="1"/>
    </w:lvl>
  </w:abstractNum>
  <w:abstractNum w:abstractNumId="208">
    <w:nsid w:val="1DD6D6F4"/>
    <w:multiLevelType w:val="hybridMultilevel"/>
    <w:lvl w:ilvl="0">
      <w:lvlJc w:val="left"/>
      <w:lvlText w:val="(%1)"/>
      <w:numFmt w:val="lowerLetter"/>
      <w:start w:val="1"/>
    </w:lvl>
  </w:abstractNum>
  <w:abstractNum w:abstractNumId="209">
    <w:nsid w:val="769A091F"/>
    <w:multiLevelType w:val="hybridMultilevel"/>
    <w:lvl w:ilvl="0">
      <w:lvlJc w:val="left"/>
      <w:lvlText w:val="(%1)"/>
      <w:numFmt w:val="lowerLetter"/>
      <w:start w:val="2"/>
    </w:lvl>
  </w:abstractNum>
  <w:abstractNum w:abstractNumId="210">
    <w:nsid w:val="4695AE95"/>
    <w:multiLevelType w:val="hybridMultilevel"/>
    <w:lvl w:ilvl="0">
      <w:lvlJc w:val="left"/>
      <w:lvlText w:val="(%1)"/>
      <w:numFmt w:val="lowerLetter"/>
      <w:start w:val="1"/>
    </w:lvl>
  </w:abstractNum>
  <w:abstractNum w:abstractNumId="211">
    <w:nsid w:val="777A4EAA"/>
    <w:multiLevelType w:val="hybridMultilevel"/>
    <w:lvl w:ilvl="0">
      <w:lvlJc w:val="left"/>
      <w:lvlText w:val="(%1)"/>
      <w:numFmt w:val="lowerLetter"/>
      <w:start w:val="1"/>
    </w:lvl>
  </w:abstractNum>
  <w:abstractNum w:abstractNumId="212">
    <w:nsid w:val="3F48B982"/>
    <w:multiLevelType w:val="hybridMultilevel"/>
    <w:lvl w:ilvl="0">
      <w:lvlJc w:val="left"/>
      <w:lvlText w:val="(%1)"/>
      <w:numFmt w:val="lowerLetter"/>
      <w:start w:val="2"/>
    </w:lvl>
  </w:abstractNum>
  <w:abstractNum w:abstractNumId="213">
    <w:nsid w:val="46BA8FCA"/>
    <w:multiLevelType w:val="hybridMultilevel"/>
    <w:lvl w:ilvl="0">
      <w:lvlJc w:val="left"/>
      <w:lvlText w:val="(%1)"/>
      <w:numFmt w:val="lowerLetter"/>
      <w:start w:val="1"/>
    </w:lvl>
  </w:abstractNum>
  <w:abstractNum w:abstractNumId="214">
    <w:nsid w:val="7835626C"/>
    <w:multiLevelType w:val="hybridMultilevel"/>
    <w:lvl w:ilvl="0">
      <w:lvlJc w:val="left"/>
      <w:lvlText w:val="(%1)"/>
      <w:numFmt w:val="lowerLetter"/>
      <w:start w:val="1"/>
    </w:lvl>
  </w:abstractNum>
  <w:abstractNum w:abstractNumId="215">
    <w:nsid w:val="665ACA49"/>
    <w:multiLevelType w:val="hybridMultilevel"/>
    <w:lvl w:ilvl="0">
      <w:lvlJc w:val="left"/>
      <w:lvlText w:val="(%1)"/>
      <w:numFmt w:val="lowerLetter"/>
      <w:start w:val="3"/>
    </w:lvl>
  </w:abstractNum>
  <w:abstractNum w:abstractNumId="216">
    <w:nsid w:val="6835B2AE"/>
    <w:multiLevelType w:val="hybridMultilevel"/>
    <w:lvl w:ilvl="0">
      <w:lvlJc w:val="left"/>
      <w:lvlText w:val="(%1)"/>
      <w:numFmt w:val="lowerLetter"/>
      <w:start w:val="1"/>
    </w:lvl>
  </w:abstractNum>
  <w:abstractNum w:abstractNumId="217">
    <w:nsid w:val="4C187C90"/>
    <w:multiLevelType w:val="hybridMultilevel"/>
    <w:lvl w:ilvl="0">
      <w:lvlJc w:val="left"/>
      <w:lvlText w:val="(%1)"/>
      <w:numFmt w:val="lowerLetter"/>
      <w:start w:val="5"/>
    </w:lvl>
  </w:abstractNum>
  <w:abstractNum w:abstractNumId="218">
    <w:nsid w:val="541F28CD"/>
    <w:multiLevelType w:val="hybridMultilevel"/>
    <w:lvl w:ilvl="0">
      <w:lvlJc w:val="left"/>
      <w:lvlText w:val="(%1)"/>
      <w:numFmt w:val="lowerLetter"/>
      <w:start w:val="1"/>
    </w:lvl>
  </w:abstractNum>
  <w:abstractNum w:abstractNumId="219">
    <w:nsid w:val="7F65FD16"/>
    <w:multiLevelType w:val="hybridMultilevel"/>
    <w:lvl w:ilvl="0">
      <w:lvlJc w:val="left"/>
      <w:lvlText w:val="%1"/>
      <w:numFmt w:val="lowerLetter"/>
      <w:start w:val="1"/>
    </w:lvl>
    <w:lvl w:ilvl="1">
      <w:lvlJc w:val="left"/>
      <w:lvlText w:val="(%2)"/>
      <w:numFmt w:val="lowerLetter"/>
      <w:start w:val="1"/>
    </w:lvl>
  </w:abstractNum>
  <w:abstractNum w:abstractNumId="220">
    <w:nsid w:val="77C9FD68"/>
    <w:multiLevelType w:val="hybridMultilevel"/>
    <w:lvl w:ilvl="0">
      <w:lvlJc w:val="left"/>
      <w:lvlText w:val="(%1)"/>
      <w:numFmt w:val="lowerLetter"/>
      <w:start w:val="35"/>
    </w:lvl>
    <w:lvl w:ilvl="1">
      <w:lvlJc w:val="left"/>
      <w:lvlText w:val="(%2)"/>
      <w:numFmt w:val="lowerLetter"/>
      <w:start w:val="2"/>
    </w:lvl>
  </w:abstractNum>
  <w:abstractNum w:abstractNumId="221">
    <w:nsid w:val="298A92BA"/>
    <w:multiLevelType w:val="hybridMultilevel"/>
    <w:lvl w:ilvl="0">
      <w:lvlJc w:val="left"/>
      <w:lvlText w:val="(%1)"/>
      <w:numFmt w:val="lowerLetter"/>
      <w:start w:val="35"/>
    </w:lvl>
    <w:lvl w:ilvl="1">
      <w:lvlJc w:val="left"/>
      <w:lvlText w:val="(%2)"/>
      <w:numFmt w:val="lowerLetter"/>
      <w:start w:val="3"/>
    </w:lvl>
  </w:abstractNum>
  <w:abstractNum w:abstractNumId="222">
    <w:nsid w:val="6FE95EAC"/>
    <w:multiLevelType w:val="hybridMultilevel"/>
    <w:lvl w:ilvl="0">
      <w:lvlJc w:val="left"/>
      <w:lvlText w:val="(%1)"/>
      <w:numFmt w:val="lowerLetter"/>
      <w:start w:val="4"/>
    </w:lvl>
  </w:abstractNum>
  <w:abstractNum w:abstractNumId="223">
    <w:nsid w:val="4B697C7A"/>
    <w:multiLevelType w:val="hybridMultilevel"/>
    <w:lvl w:ilvl="0">
      <w:lvlJc w:val="left"/>
      <w:lvlText w:val="(%1)"/>
      <w:numFmt w:val="lowerLetter"/>
      <w:start w:val="7"/>
    </w:lvl>
  </w:abstractNum>
  <w:abstractNum w:abstractNumId="224">
    <w:nsid w:val="51A27AA6"/>
    <w:multiLevelType w:val="hybridMultilevel"/>
    <w:lvl w:ilvl="0">
      <w:lvlJc w:val="left"/>
      <w:lvlText w:val="(%1)"/>
      <w:numFmt w:val="lowerLetter"/>
      <w:start w:val="1"/>
    </w:lvl>
    <w:lvl w:ilvl="1">
      <w:lvlJc w:val="left"/>
      <w:lvlText w:val="(%2)"/>
      <w:numFmt w:val="lowerRoman"/>
      <w:start w:val="1"/>
    </w:lvl>
  </w:abstractNum>
  <w:abstractNum w:abstractNumId="225">
    <w:nsid w:val="613183F2"/>
    <w:multiLevelType w:val="hybridMultilevel"/>
    <w:lvl w:ilvl="0">
      <w:lvlJc w:val="left"/>
      <w:lvlText w:val="%1"/>
      <w:numFmt w:val="lowerLetter"/>
      <w:start w:val="1"/>
    </w:lvl>
    <w:lvl w:ilvl="1">
      <w:lvlJc w:val="left"/>
      <w:lvlText w:val="(%2)"/>
      <w:numFmt w:val="lowerRoman"/>
      <w:start w:val="4"/>
    </w:lvl>
  </w:abstractNum>
  <w:abstractNum w:abstractNumId="226">
    <w:nsid w:val="634102B4"/>
    <w:multiLevelType w:val="hybridMultilevel"/>
    <w:lvl w:ilvl="0">
      <w:lvlJc w:val="left"/>
      <w:lvlText w:val="(%1)"/>
      <w:numFmt w:val="lowerLetter"/>
      <w:start w:val="2"/>
    </w:lvl>
    <w:lvl w:ilvl="1">
      <w:lvlJc w:val="left"/>
      <w:lvlText w:val="(%2)"/>
      <w:numFmt w:val="lowerRoman"/>
      <w:start w:val="1"/>
    </w:lvl>
  </w:abstractNum>
  <w:abstractNum w:abstractNumId="227">
    <w:nsid w:val="65BF9DA8"/>
    <w:multiLevelType w:val="hybridMultilevel"/>
    <w:lvl w:ilvl="0">
      <w:lvlJc w:val="left"/>
      <w:lvlText w:val="(%1)"/>
      <w:numFmt w:val="lowerLetter"/>
      <w:start w:val="5"/>
    </w:lvl>
  </w:abstractNum>
  <w:abstractNum w:abstractNumId="228">
    <w:nsid w:val="21A2ECCA"/>
    <w:multiLevelType w:val="hybridMultilevel"/>
    <w:lvl w:ilvl="0">
      <w:lvlJc w:val="left"/>
      <w:lvlText w:val="(%1)"/>
      <w:numFmt w:val="lowerLetter"/>
      <w:start w:val="1"/>
    </w:lvl>
    <w:lvl w:ilvl="1">
      <w:lvlJc w:val="left"/>
      <w:lvlText w:val="(%2)"/>
      <w:numFmt w:val="lowerRoman"/>
      <w:start w:val="1"/>
    </w:lvl>
  </w:abstractNum>
  <w:abstractNum w:abstractNumId="229">
    <w:nsid w:val="4D5C4899"/>
    <w:multiLevelType w:val="hybridMultilevel"/>
    <w:lvl w:ilvl="0">
      <w:lvlJc w:val="left"/>
      <w:lvlText w:val="(%1)"/>
      <w:numFmt w:val="lowerRoman"/>
      <w:start w:val="7"/>
    </w:lvl>
  </w:abstractNum>
  <w:abstractNum w:abstractNumId="230">
    <w:nsid w:val="3C3B72B2"/>
    <w:multiLevelType w:val="hybridMultilevel"/>
    <w:lvl w:ilvl="0">
      <w:lvlJc w:val="left"/>
      <w:lvlText w:val="(%1)"/>
      <w:numFmt w:val="lowerRoman"/>
      <w:start w:val="13"/>
    </w:lvl>
  </w:abstractNum>
  <w:abstractNum w:abstractNumId="231">
    <w:nsid w:val="155EC4C2"/>
    <w:multiLevelType w:val="hybridMultilevel"/>
    <w:lvl w:ilvl="0">
      <w:lvlJc w:val="left"/>
      <w:lvlText w:val="(%1)"/>
      <w:numFmt w:val="lowerRoman"/>
      <w:start w:val="16"/>
    </w:lvl>
  </w:abstractNum>
  <w:abstractNum w:abstractNumId="232">
    <w:nsid w:val="65D2A137"/>
    <w:multiLevelType w:val="hybridMultilevel"/>
    <w:lvl w:ilvl="0">
      <w:lvlJc w:val="left"/>
      <w:lvlText w:val="(%1)"/>
      <w:numFmt w:val="lowerRoman"/>
      <w:start w:val="22"/>
    </w:lvl>
  </w:abstractNum>
  <w:abstractNum w:abstractNumId="233">
    <w:nsid w:val="6EBB1F2A"/>
    <w:multiLevelType w:val="hybridMultilevel"/>
    <w:lvl w:ilvl="0">
      <w:lvlJc w:val="left"/>
      <w:lvlText w:val="%1"/>
      <w:numFmt w:val="lowerRoman"/>
      <w:start w:val="1"/>
    </w:lvl>
    <w:lvl w:ilvl="1">
      <w:lvlJc w:val="left"/>
      <w:lvlText w:val="(%2)"/>
      <w:numFmt w:val="lowerRoman"/>
      <w:start w:val="32"/>
    </w:lvl>
  </w:abstractNum>
  <w:abstractNum w:abstractNumId="234">
    <w:nsid w:val="6FBF29CB"/>
    <w:multiLevelType w:val="hybridMultilevel"/>
    <w:lvl w:ilvl="0">
      <w:lvlJc w:val="left"/>
      <w:lvlText w:val="(%1)"/>
      <w:numFmt w:val="lowerRoman"/>
      <w:start w:val="1"/>
    </w:lvl>
    <w:lvl w:ilvl="1">
      <w:lvlJc w:val="left"/>
      <w:lvlText w:val="%2"/>
      <w:numFmt w:val="lowerRoman"/>
      <w:start w:val="1"/>
    </w:lvl>
  </w:abstractNum>
  <w:abstractNum w:abstractNumId="235">
    <w:nsid w:val="550B8808"/>
    <w:multiLevelType w:val="hybridMultilevel"/>
    <w:lvl w:ilvl="0">
      <w:lvlJc w:val="left"/>
      <w:lvlText w:val="(%1)"/>
      <w:numFmt w:val="lowerRoman"/>
      <w:start w:val="38"/>
    </w:lvl>
  </w:abstractNum>
  <w:abstractNum w:abstractNumId="236">
    <w:nsid w:val="34CC3ACF"/>
    <w:multiLevelType w:val="hybridMultilevel"/>
    <w:lvl w:ilvl="0">
      <w:lvlJc w:val="left"/>
      <w:lvlText w:val="(%1)"/>
      <w:numFmt w:val="lowerLetter"/>
      <w:start w:val="2"/>
    </w:lvl>
  </w:abstractNum>
  <w:abstractNum w:abstractNumId="237">
    <w:nsid w:val="4E556261"/>
    <w:multiLevelType w:val="hybridMultilevel"/>
    <w:lvl w:ilvl="0">
      <w:lvlJc w:val="left"/>
      <w:lvlText w:val="(%1)"/>
      <w:numFmt w:val="lowerLetter"/>
      <w:start w:val="1"/>
    </w:lvl>
  </w:abstractNum>
  <w:abstractNum w:abstractNumId="238">
    <w:nsid w:val="4C672FC9"/>
    <w:multiLevelType w:val="hybridMultilevel"/>
    <w:lvl w:ilvl="0">
      <w:lvlJc w:val="left"/>
      <w:lvlText w:val="(%1)"/>
      <w:numFmt w:val="lowerLetter"/>
      <w:start w:val="2"/>
    </w:lvl>
  </w:abstractNum>
  <w:abstractNum w:abstractNumId="239">
    <w:nsid w:val="52A311C3"/>
    <w:multiLevelType w:val="hybridMultilevel"/>
    <w:lvl w:ilvl="0">
      <w:lvlJc w:val="left"/>
      <w:lvlText w:val="(%1)"/>
      <w:numFmt w:val="lowerLetter"/>
      <w:start w:val="7"/>
    </w:lvl>
  </w:abstractNum>
  <w:abstractNum w:abstractNumId="240">
    <w:nsid w:val="44EF6B80"/>
    <w:multiLevelType w:val="hybridMultilevel"/>
    <w:lvl w:ilvl="0">
      <w:lvlJc w:val="left"/>
      <w:lvlText w:val="(%1)"/>
      <w:numFmt w:val="lowerLetter"/>
      <w:start w:val="10"/>
    </w:lvl>
  </w:abstractNum>
  <w:abstractNum w:abstractNumId="241">
    <w:nsid w:val="12FCDE5E"/>
    <w:multiLevelType w:val="hybridMultilevel"/>
    <w:lvl w:ilvl="0">
      <w:lvlJc w:val="left"/>
      <w:lvlText w:val="(%1)"/>
      <w:numFmt w:val="lowerLetter"/>
      <w:start w:val="1"/>
    </w:lvl>
  </w:abstractNum>
  <w:abstractNum w:abstractNumId="242">
    <w:nsid w:val="4A1D606E"/>
    <w:multiLevelType w:val="hybridMultilevel"/>
    <w:lvl w:ilvl="0">
      <w:lvlJc w:val="left"/>
      <w:lvlText w:val="(%1)"/>
      <w:numFmt w:val="lowerLetter"/>
      <w:start w:val="1"/>
    </w:lvl>
  </w:abstractNum>
  <w:abstractNum w:abstractNumId="243">
    <w:nsid w:val="4382503"/>
    <w:multiLevelType w:val="hybridMultilevel"/>
    <w:lvl w:ilvl="0">
      <w:lvlJc w:val="left"/>
      <w:lvlText w:val="(%1)"/>
      <w:numFmt w:val="lowerLetter"/>
      <w:start w:val="61"/>
    </w:lvl>
    <w:lvl w:ilvl="1">
      <w:lvlJc w:val="left"/>
      <w:lvlText w:val="(%2)"/>
      <w:numFmt w:val="lowerLetter"/>
      <w:start w:val="2"/>
    </w:lvl>
  </w:abstractNum>
  <w:abstractNum w:abstractNumId="244">
    <w:nsid w:val="59B76E28"/>
    <w:multiLevelType w:val="hybridMultilevel"/>
    <w:lvl w:ilvl="0">
      <w:lvlJc w:val="left"/>
      <w:lvlText w:val="(%1)"/>
      <w:numFmt w:val="lowerLetter"/>
      <w:start w:val="1"/>
    </w:lvl>
  </w:abstractNum>
  <w:abstractNum w:abstractNumId="245">
    <w:nsid w:val="4252C2DA"/>
    <w:multiLevelType w:val="hybridMultilevel"/>
    <w:lvl w:ilvl="0">
      <w:lvlJc w:val="left"/>
      <w:lvlText w:val="%1"/>
      <w:numFmt w:val="lowerLetter"/>
      <w:start w:val="1"/>
    </w:lvl>
    <w:lvl w:ilvl="1">
      <w:lvlJc w:val="left"/>
      <w:lvlText w:val="(%2)"/>
      <w:numFmt w:val="lowerLetter"/>
      <w:start w:val="2"/>
    </w:lvl>
  </w:abstractNum>
  <w:abstractNum w:abstractNumId="246">
    <w:nsid w:val="6A92EF4C"/>
    <w:multiLevelType w:val="hybridMultilevel"/>
    <w:lvl w:ilvl="0">
      <w:lvlJc w:val="left"/>
      <w:lvlText w:val="(%1)"/>
      <w:numFmt w:val="lowerLetter"/>
      <w:start w:val="24"/>
    </w:lvl>
    <w:lvl w:ilvl="1">
      <w:lvlJc w:val="left"/>
      <w:lvlText w:val="%2"/>
      <w:numFmt w:val="lowerLetter"/>
      <w:start w:val="1"/>
    </w:lvl>
  </w:abstractNum>
  <w:abstractNum w:abstractNumId="247">
    <w:nsid w:val="41ED20D7"/>
    <w:multiLevelType w:val="hybridMultilevel"/>
    <w:lvl w:ilvl="0">
      <w:lvlJc w:val="left"/>
      <w:lvlText w:val="(%1)"/>
      <w:numFmt w:val="lowerLetter"/>
      <w:start w:val="1"/>
    </w:lvl>
  </w:abstractNum>
  <w:abstractNum w:abstractNumId="248">
    <w:nsid w:val="E6B3F6A"/>
    <w:multiLevelType w:val="hybridMultilevel"/>
    <w:lvl w:ilvl="0">
      <w:lvlJc w:val="left"/>
      <w:lvlText w:val="(%1)"/>
      <w:numFmt w:val="lowerLetter"/>
      <w:start w:val="1"/>
    </w:lvl>
  </w:abstractNum>
  <w:abstractNum w:abstractNumId="249">
    <w:nsid w:val="3EB21819"/>
    <w:multiLevelType w:val="hybridMultilevel"/>
    <w:lvl w:ilvl="0">
      <w:lvlJc w:val="left"/>
      <w:lvlText w:val="(%1)"/>
      <w:numFmt w:val="lowerLetter"/>
      <w:start w:val="1"/>
    </w:lvl>
  </w:abstractNum>
  <w:abstractNum w:abstractNumId="250">
    <w:nsid w:val="41531DED"/>
    <w:multiLevelType w:val="hybridMultilevel"/>
    <w:lvl w:ilvl="0">
      <w:lvlJc w:val="left"/>
      <w:lvlText w:val="(%1)"/>
      <w:numFmt w:val="lowerLetter"/>
      <w:start w:val="6"/>
    </w:lvl>
  </w:abstractNum>
  <w:abstractNum w:abstractNumId="251">
    <w:nsid w:val="6353CD2"/>
    <w:multiLevelType w:val="hybridMultilevel"/>
    <w:lvl w:ilvl="0">
      <w:lvlJc w:val="left"/>
      <w:lvlText w:val="(%1)"/>
      <w:numFmt w:val="lowerLetter"/>
      <w:start w:val="6"/>
    </w:lvl>
    <w:lvl w:ilvl="1">
      <w:lvlJc w:val="left"/>
      <w:lvlText w:val="(%2)"/>
      <w:numFmt w:val="lowerLetter"/>
      <w:start w:val="8"/>
    </w:lvl>
    <w:lvl w:ilvl="2">
      <w:lvlJc w:val="left"/>
      <w:lvlText w:val="(%3)"/>
      <w:numFmt w:val="lowerRoman"/>
      <w:start w:val="1"/>
    </w:lvl>
  </w:abstractNum>
  <w:abstractNum w:abstractNumId="252">
    <w:nsid w:val="683CAAD3"/>
    <w:multiLevelType w:val="hybridMultilevel"/>
    <w:lvl w:ilvl="0">
      <w:lvlJc w:val="left"/>
      <w:lvlText w:val="(%1)"/>
      <w:numFmt w:val="lowerLetter"/>
      <w:start w:val="1"/>
    </w:lvl>
  </w:abstractNum>
  <w:abstractNum w:abstractNumId="253">
    <w:nsid w:val="313C7C99"/>
    <w:multiLevelType w:val="hybridMultilevel"/>
    <w:lvl w:ilvl="0">
      <w:lvlJc w:val="left"/>
      <w:lvlText w:val="(%1)"/>
      <w:numFmt w:val="lowerLetter"/>
      <w:start w:val="2"/>
    </w:lvl>
  </w:abstractNum>
  <w:abstractNum w:abstractNumId="254">
    <w:nsid w:val="519EB94C"/>
    <w:multiLevelType w:val="hybridMultilevel"/>
    <w:lvl w:ilvl="0">
      <w:lvlJc w:val="left"/>
      <w:lvlText w:val="(%1)"/>
      <w:numFmt w:val="lowerLetter"/>
      <w:start w:val="1"/>
    </w:lvl>
    <w:lvl w:ilvl="1">
      <w:lvlJc w:val="left"/>
      <w:lvlText w:val="(%2)"/>
      <w:numFmt w:val="lowerLetter"/>
      <w:start w:val="9"/>
    </w:lvl>
  </w:abstractNum>
  <w:abstractNum w:abstractNumId="255">
    <w:nsid w:val="39DF2579"/>
    <w:multiLevelType w:val="hybridMultilevel"/>
    <w:lvl w:ilvl="0">
      <w:lvlJc w:val="left"/>
      <w:lvlText w:val="%1"/>
      <w:numFmt w:val="lowerLetter"/>
      <w:start w:val="1"/>
    </w:lvl>
    <w:lvl w:ilvl="1">
      <w:lvlJc w:val="left"/>
      <w:lvlText w:val="(%2)"/>
      <w:numFmt w:val="lowerRoman"/>
      <w:start w:val="2"/>
    </w:lvl>
  </w:abstractNum>
  <w:abstractNum w:abstractNumId="256">
    <w:nsid w:val="126E008B"/>
    <w:multiLevelType w:val="hybridMultilevel"/>
    <w:lvl w:ilvl="0">
      <w:lvlJc w:val="left"/>
      <w:lvlText w:val="(%1)"/>
      <w:numFmt w:val="lowerLetter"/>
      <w:start w:val="2"/>
    </w:lvl>
    <w:lvl w:ilvl="1">
      <w:lvlJc w:val="left"/>
      <w:lvlText w:val="%2"/>
      <w:numFmt w:val="lowerRoman"/>
      <w:start w:val="1"/>
    </w:lvl>
  </w:abstractNum>
  <w:abstractNum w:abstractNumId="257">
    <w:nsid w:val="34DFBC00"/>
    <w:multiLevelType w:val="hybridMultilevel"/>
    <w:lvl w:ilvl="0">
      <w:lvlJc w:val="left"/>
      <w:lvlText w:val="(%1)"/>
      <w:numFmt w:val="lowerLetter"/>
      <w:start w:val="1"/>
    </w:lvl>
  </w:abstractNum>
  <w:abstractNum w:abstractNumId="258">
    <w:nsid w:val="1F9EC322"/>
    <w:multiLevelType w:val="hybridMultilevel"/>
    <w:lvl w:ilvl="0">
      <w:lvlJc w:val="left"/>
      <w:lvlText w:val="(%1)"/>
      <w:numFmt w:val="lowerLetter"/>
      <w:start w:val="2"/>
    </w:lvl>
  </w:abstractNum>
  <w:abstractNum w:abstractNumId="259">
    <w:nsid w:val="3410ED56"/>
    <w:multiLevelType w:val="hybridMultilevel"/>
    <w:lvl w:ilvl="0">
      <w:lvlJc w:val="left"/>
      <w:lvlText w:val="(%1)"/>
      <w:numFmt w:val="lowerLetter"/>
      <w:start w:val="1"/>
    </w:lvl>
    <w:lvl w:ilvl="1">
      <w:lvlJc w:val="left"/>
      <w:lvlText w:val="(%2)"/>
      <w:numFmt w:val="lowerLetter"/>
      <w:start w:val="9"/>
    </w:lvl>
  </w:abstractNum>
  <w:abstractNum w:abstractNumId="260">
    <w:nsid w:val="23C049A"/>
    <w:multiLevelType w:val="hybridMultilevel"/>
    <w:lvl w:ilvl="0">
      <w:lvlJc w:val="left"/>
      <w:lvlText w:val="%1"/>
      <w:numFmt w:val="lowerLetter"/>
      <w:start w:val="1"/>
    </w:lvl>
    <w:lvl w:ilvl="1">
      <w:lvlJc w:val="left"/>
      <w:lvlText w:val="(%2)"/>
      <w:numFmt w:val="lowerRoman"/>
      <w:start w:val="2"/>
    </w:lvl>
  </w:abstractNum>
  <w:abstractNum w:abstractNumId="261">
    <w:nsid w:val="5BDA35D4"/>
    <w:multiLevelType w:val="hybridMultilevel"/>
    <w:lvl w:ilvl="0">
      <w:lvlJc w:val="left"/>
      <w:lvlText w:val="(%1)"/>
      <w:numFmt w:val="lowerLetter"/>
      <w:start w:val="3"/>
    </w:lvl>
    <w:lvl w:ilvl="1">
      <w:lvlJc w:val="left"/>
      <w:lvlText w:val="%2"/>
      <w:numFmt w:val="lowerRoman"/>
      <w:start w:val="1"/>
    </w:lvl>
  </w:abstractNum>
  <w:abstractNum w:abstractNumId="262">
    <w:nsid w:val="496FB218"/>
    <w:multiLevelType w:val="hybridMultilevel"/>
    <w:lvl w:ilvl="0">
      <w:lvlJc w:val="left"/>
      <w:lvlText w:val="(%1)"/>
      <w:numFmt w:val="lowerLetter"/>
      <w:start w:val="4"/>
    </w:lvl>
  </w:abstractNum>
  <w:abstractNum w:abstractNumId="263">
    <w:nsid w:val="680EA5D1"/>
    <w:multiLevelType w:val="hybridMultilevel"/>
    <w:lvl w:ilvl="0">
      <w:lvlJc w:val="left"/>
      <w:lvlText w:val="(%1)"/>
      <w:numFmt w:val="lowerLetter"/>
      <w:start w:val="1"/>
    </w:lvl>
  </w:abstractNum>
  <w:abstractNum w:abstractNumId="264">
    <w:nsid w:val="4A9554FE"/>
    <w:multiLevelType w:val="hybridMultilevel"/>
    <w:lvl w:ilvl="0">
      <w:lvlJc w:val="left"/>
      <w:lvlText w:val="(%1)"/>
      <w:numFmt w:val="lowerLetter"/>
      <w:start w:val="1"/>
    </w:lvl>
  </w:abstractNum>
  <w:abstractNum w:abstractNumId="265">
    <w:nsid w:val="392EDBE4"/>
    <w:multiLevelType w:val="hybridMultilevel"/>
    <w:lvl w:ilvl="0">
      <w:lvlJc w:val="left"/>
      <w:lvlText w:val="(%1)"/>
      <w:numFmt w:val="lowerLetter"/>
      <w:start w:val="2"/>
    </w:lvl>
  </w:abstractNum>
  <w:abstractNum w:abstractNumId="266">
    <w:nsid w:val="3D1A2DD9"/>
    <w:multiLevelType w:val="hybridMultilevel"/>
    <w:lvl w:ilvl="0">
      <w:lvlJc w:val="left"/>
      <w:lvlText w:val="(%1)"/>
      <w:numFmt w:val="lowerLetter"/>
      <w:start w:val="1"/>
    </w:lvl>
  </w:abstractNum>
  <w:abstractNum w:abstractNumId="267">
    <w:nsid w:val="7F618FCD"/>
    <w:multiLevelType w:val="hybridMultilevel"/>
    <w:lvl w:ilvl="0">
      <w:lvlJc w:val="left"/>
      <w:lvlText w:val="(%1)"/>
      <w:numFmt w:val="lowerLetter"/>
      <w:start w:val="1"/>
    </w:lvl>
  </w:abstractNum>
  <w:abstractNum w:abstractNumId="268">
    <w:nsid w:val="7843E45"/>
    <w:multiLevelType w:val="hybridMultilevel"/>
    <w:lvl w:ilvl="0">
      <w:lvlJc w:val="left"/>
      <w:lvlText w:val="(%1)"/>
      <w:numFmt w:val="lowerLetter"/>
      <w:start w:val="1"/>
    </w:lvl>
  </w:abstractNum>
  <w:abstractNum w:abstractNumId="269">
    <w:nsid w:val="9815DA3"/>
    <w:multiLevelType w:val="hybridMultilevel"/>
    <w:lvl w:ilvl="0">
      <w:lvlJc w:val="left"/>
      <w:lvlText w:val="(%1)"/>
      <w:numFmt w:val="lowerLetter"/>
      <w:start w:val="1"/>
    </w:lvl>
  </w:abstractNum>
  <w:abstractNum w:abstractNumId="270">
    <w:nsid w:val="5204A191"/>
    <w:multiLevelType w:val="hybridMultilevel"/>
    <w:lvl w:ilvl="0">
      <w:lvlJc w:val="left"/>
      <w:lvlText w:val="(%1)"/>
      <w:numFmt w:val="lowerLetter"/>
      <w:start w:val="2"/>
    </w:lvl>
  </w:abstractNum>
  <w:abstractNum w:abstractNumId="271">
    <w:nsid w:val="4C73A9C6"/>
    <w:multiLevelType w:val="hybridMultilevel"/>
    <w:lvl w:ilvl="0">
      <w:lvlJc w:val="left"/>
      <w:lvlText w:val="(%1)"/>
      <w:numFmt w:val="lowerLetter"/>
      <w:start w:val="1"/>
    </w:lvl>
  </w:abstractNum>
  <w:abstractNum w:abstractNumId="272">
    <w:nsid w:val="1C7E3C01"/>
    <w:multiLevelType w:val="hybridMultilevel"/>
    <w:lvl w:ilvl="0">
      <w:lvlJc w:val="left"/>
      <w:lvlText w:val="(%1)"/>
      <w:numFmt w:val="lowerLetter"/>
      <w:start w:val="1"/>
    </w:lvl>
  </w:abstractNum>
  <w:abstractNum w:abstractNumId="273">
    <w:nsid w:val="1C2201FF"/>
    <w:multiLevelType w:val="hybridMultilevel"/>
    <w:lvl w:ilvl="0">
      <w:lvlJc w:val="left"/>
      <w:lvlText w:val="(%1)"/>
      <w:numFmt w:val="lowerLetter"/>
      <w:start w:val="11"/>
    </w:lvl>
  </w:abstractNum>
  <w:abstractNum w:abstractNumId="274">
    <w:nsid w:val="50ABCEC9"/>
    <w:multiLevelType w:val="hybridMultilevel"/>
    <w:lvl w:ilvl="0">
      <w:lvlJc w:val="left"/>
      <w:lvlText w:val="(%1)"/>
      <w:numFmt w:val="lowerLetter"/>
      <w:start w:val="1"/>
    </w:lvl>
  </w:abstractNum>
  <w:abstractNum w:abstractNumId="275">
    <w:nsid w:val="7635AA2A"/>
    <w:multiLevelType w:val="hybridMultilevel"/>
    <w:lvl w:ilvl="0">
      <w:lvlJc w:val="left"/>
      <w:lvlText w:val="(%1)"/>
      <w:numFmt w:val="lowerLetter"/>
      <w:start w:val="1"/>
    </w:lvl>
  </w:abstractNum>
  <w:abstractNum w:abstractNumId="276">
    <w:nsid w:val="5E74C4D9"/>
    <w:multiLevelType w:val="hybridMultilevel"/>
    <w:lvl w:ilvl="0">
      <w:lvlJc w:val="left"/>
      <w:lvlText w:val="(%1)"/>
      <w:numFmt w:val="lowerLetter"/>
      <w:start w:val="1"/>
    </w:lvl>
  </w:abstractNum>
  <w:abstractNum w:abstractNumId="277">
    <w:nsid w:val="3B3EBE15"/>
    <w:multiLevelType w:val="hybridMultilevel"/>
    <w:lvl w:ilvl="0">
      <w:lvlJc w:val="left"/>
      <w:lvlText w:val="%1"/>
      <w:numFmt w:val="lowerLetter"/>
      <w:start w:val="1"/>
    </w:lvl>
    <w:lvl w:ilvl="1">
      <w:lvlJc w:val="left"/>
      <w:lvlText w:val="(%2)"/>
      <w:numFmt w:val="lowerLetter"/>
      <w:start w:val="3"/>
    </w:lvl>
  </w:abstractNum>
  <w:abstractNum w:abstractNumId="278">
    <w:nsid w:val="3822CB01"/>
    <w:multiLevelType w:val="hybridMultilevel"/>
    <w:lvl w:ilvl="0">
      <w:lvlJc w:val="left"/>
      <w:lvlText w:val="(%1)"/>
      <w:numFmt w:val="lowerLetter"/>
      <w:start w:val="61"/>
    </w:lvl>
    <w:lvl w:ilvl="1">
      <w:lvlJc w:val="left"/>
      <w:lvlText w:val="(%2)"/>
      <w:numFmt w:val="lowerLetter"/>
      <w:start w:val="5"/>
    </w:lvl>
  </w:abstractNum>
  <w:abstractNum w:abstractNumId="279">
    <w:nsid w:val="6CE00443"/>
    <w:multiLevelType w:val="hybridMultilevel"/>
    <w:lvl w:ilvl="0">
      <w:lvlJc w:val="left"/>
      <w:lvlText w:val="%1."/>
      <w:numFmt w:val="decimal"/>
      <w:start w:val="1"/>
    </w:lvl>
    <w:lvl w:ilvl="1">
      <w:lvlJc w:val="left"/>
      <w:lvlText w:val="(%2)"/>
      <w:numFmt w:val="lowerLetter"/>
      <w:start w:val="1"/>
    </w:lvl>
  </w:abstractNum>
  <w:abstractNum w:abstractNumId="280">
    <w:nsid w:val="79F0D62F"/>
    <w:multiLevelType w:val="hybridMultilevel"/>
    <w:lvl w:ilvl="0">
      <w:lvlJc w:val="left"/>
      <w:lvlText w:val="(%1)"/>
      <w:numFmt w:val="lowerLetter"/>
      <w:start w:val="6"/>
    </w:lvl>
  </w:abstractNum>
  <w:abstractNum w:abstractNumId="281">
    <w:nsid w:val="7975E8EE"/>
    <w:multiLevelType w:val="hybridMultilevel"/>
    <w:lvl w:ilvl="0">
      <w:lvlJc w:val="left"/>
      <w:lvlText w:val="(%1)"/>
      <w:numFmt w:val="lowerLetter"/>
      <w:start w:val="13"/>
    </w:lvl>
  </w:abstractNum>
  <w:abstractNum w:abstractNumId="282">
    <w:nsid w:val="73154115"/>
    <w:multiLevelType w:val="hybridMultilevel"/>
    <w:lvl w:ilvl="0">
      <w:lvlJc w:val="left"/>
      <w:lvlText w:val="(%1)"/>
      <w:numFmt w:val="lowerLetter"/>
      <w:start w:val="23"/>
    </w:lvl>
  </w:abstractNum>
  <w:abstractNum w:abstractNumId="283">
    <w:nsid w:val="622D8102"/>
    <w:multiLevelType w:val="hybridMultilevel"/>
    <w:lvl w:ilvl="0">
      <w:lvlJc w:val="left"/>
      <w:lvlText w:val="(%1)"/>
      <w:numFmt w:val="lowerLetter"/>
      <w:start w:val="27"/>
    </w:lvl>
  </w:abstractNum>
  <w:abstractNum w:abstractNumId="284">
    <w:nsid w:val="2AB26587"/>
    <w:multiLevelType w:val="hybridMultilevel"/>
    <w:lvl w:ilvl="0">
      <w:lvlJc w:val="left"/>
      <w:lvlText w:val="%1."/>
      <w:numFmt w:val="decimal"/>
      <w:start w:val="2"/>
    </w:lvl>
  </w:abstractNum>
  <w:abstractNum w:abstractNumId="285">
    <w:nsid w:val="44B3FA61"/>
    <w:multiLevelType w:val="hybridMultilevel"/>
    <w:lvl w:ilvl="0">
      <w:lvlJc w:val="left"/>
      <w:lvlText w:val="(%1)"/>
      <w:numFmt w:val="lowerLetter"/>
      <w:start w:val="1"/>
    </w:lvl>
  </w:abstractNum>
  <w:abstractNum w:abstractNumId="286">
    <w:nsid w:val="1C0CA67C"/>
    <w:multiLevelType w:val="hybridMultilevel"/>
    <w:lvl w:ilvl="0">
      <w:lvlJc w:val="left"/>
      <w:lvlText w:val="(%1)"/>
      <w:numFmt w:val="lowerLetter"/>
      <w:start w:val="2"/>
    </w:lvl>
  </w:abstractNum>
  <w:abstractNum w:abstractNumId="287">
    <w:nsid w:val="3D206613"/>
    <w:multiLevelType w:val="hybridMultilevel"/>
    <w:lvl w:ilvl="0">
      <w:lvlJc w:val="left"/>
      <w:lvlText w:val="%1."/>
      <w:numFmt w:val="decimal"/>
      <w:start w:val="3"/>
    </w:lvl>
    <w:lvl w:ilvl="1">
      <w:lvlJc w:val="left"/>
      <w:lvlText w:val="(%2)"/>
      <w:numFmt w:val="lowerLetter"/>
      <w:start w:val="1"/>
    </w:lvl>
  </w:abstractNum>
  <w:abstractNum w:abstractNumId="288">
    <w:nsid w:val="7993B662"/>
    <w:multiLevelType w:val="hybridMultilevel"/>
    <w:lvl w:ilvl="0">
      <w:lvlJc w:val="left"/>
      <w:lvlText w:val="%1"/>
      <w:numFmt w:val="decimal"/>
      <w:start w:val="1"/>
    </w:lvl>
    <w:lvl w:ilvl="1">
      <w:lvlJc w:val="left"/>
      <w:lvlText w:val="(%2)"/>
      <w:numFmt w:val="lowerLetter"/>
      <w:start w:val="5"/>
    </w:lvl>
  </w:abstractNum>
  <w:abstractNum w:abstractNumId="289">
    <w:nsid w:val="3BAB699E"/>
    <w:multiLevelType w:val="hybridMultilevel"/>
    <w:lvl w:ilvl="0">
      <w:lvlJc w:val="left"/>
      <w:lvlText w:val="%1."/>
      <w:numFmt w:val="decimal"/>
      <w:start w:val="6"/>
    </w:lvl>
    <w:lvl w:ilvl="1">
      <w:lvlJc w:val="left"/>
      <w:lvlText w:val="(%2)"/>
      <w:numFmt w:val="lowerLetter"/>
      <w:start w:val="1"/>
    </w:lvl>
  </w:abstractNum>
  <w:abstractNum w:abstractNumId="290">
    <w:nsid w:val="71315369"/>
    <w:multiLevelType w:val="hybridMultilevel"/>
    <w:lvl w:ilvl="0">
      <w:lvlJc w:val="left"/>
      <w:lvlText w:val="%1."/>
      <w:numFmt w:val="decimal"/>
      <w:start w:val="8"/>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291">
    <w:nsid w:val="7BCFBAF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92">
    <w:nsid w:val="17859F7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93">
    <w:nsid w:val="3AA10581"/>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94">
    <w:nsid w:val="63DE60CD"/>
    <w:multiLevelType w:val="hybridMultilevel"/>
    <w:lvl w:ilvl="0">
      <w:lvlJc w:val="left"/>
      <w:lvlText w:val="%1."/>
      <w:numFmt w:val="decimal"/>
      <w:start w:val="15"/>
    </w:lvl>
  </w:abstractNum>
  <w:abstractNum w:abstractNumId="295">
    <w:nsid w:val="621AF471"/>
    <w:multiLevelType w:val="hybridMultilevel"/>
    <w:lvl w:ilvl="0">
      <w:lvlJc w:val="left"/>
      <w:lvlText w:val="%1."/>
      <w:numFmt w:val="decimal"/>
      <w:start w:val="17"/>
    </w:lvl>
  </w:abstractNum>
  <w:abstractNum w:abstractNumId="296">
    <w:nsid w:val="73CFE165"/>
    <w:multiLevelType w:val="hybridMultilevel"/>
    <w:lvl w:ilvl="0">
      <w:lvlJc w:val="left"/>
      <w:lvlText w:val="%1."/>
      <w:numFmt w:val="decimal"/>
      <w:start w:val="19"/>
    </w:lvl>
    <w:lvl w:ilvl="1">
      <w:lvlJc w:val="left"/>
      <w:lvlText w:val="(%2)"/>
      <w:numFmt w:val="lowerLetter"/>
      <w:start w:val="1"/>
    </w:lvl>
  </w:abstractNum>
  <w:abstractNum w:abstractNumId="297">
    <w:nsid w:val="20F88EA6"/>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98">
    <w:nsid w:val="617C843E"/>
    <w:multiLevelType w:val="hybridMultilevel"/>
    <w:lvl w:ilvl="0">
      <w:lvlJc w:val="left"/>
      <w:lvlText w:val="%1."/>
      <w:numFmt w:val="decimal"/>
      <w:start w:val="21"/>
    </w:lvl>
    <w:lvl w:ilvl="1">
      <w:lvlJc w:val="left"/>
      <w:lvlText w:val="(%2)"/>
      <w:numFmt w:val="lowerLetter"/>
      <w:start w:val="1"/>
    </w:lvl>
    <w:lvl w:ilvl="2">
      <w:lvlJc w:val="left"/>
      <w:lvlText w:val="(%3)"/>
      <w:numFmt w:val="lowerLetter"/>
      <w:start w:val="9"/>
    </w:lvl>
  </w:abstractNum>
  <w:abstractNum w:abstractNumId="299">
    <w:nsid w:val="7B541FAB"/>
    <w:multiLevelType w:val="hybridMultilevel"/>
    <w:lvl w:ilvl="0">
      <w:lvlJc w:val="left"/>
      <w:lvlText w:val="(%1)"/>
      <w:numFmt w:val="lowerLetter"/>
      <w:start w:val="3"/>
    </w:lvl>
  </w:abstractNum>
  <w:abstractNum w:abstractNumId="300">
    <w:nsid w:val="2A79EC49"/>
    <w:multiLevelType w:val="hybridMultilevel"/>
    <w:lvl w:ilvl="0">
      <w:lvlJc w:val="left"/>
      <w:lvlText w:val="%1."/>
      <w:numFmt w:val="decimal"/>
      <w:start w:val="22"/>
    </w:lvl>
  </w:abstractNum>
  <w:abstractNum w:abstractNumId="301">
    <w:nsid w:val="338125CF"/>
    <w:multiLevelType w:val="hybridMultilevel"/>
    <w:lvl w:ilvl="0">
      <w:lvlJc w:val="left"/>
      <w:lvlText w:val="%1."/>
      <w:numFmt w:val="decimal"/>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2025-08-18T23:15:31Z</dcterms:created>
  <dcterms:modified xsi:type="dcterms:W3CDTF">2025-08-18T23:15:31Z</dcterms:modified>
</cp:coreProperties>
</file>